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E29A" w14:textId="14D510EE" w:rsidR="00897249" w:rsidRPr="002A336E" w:rsidRDefault="00897249" w:rsidP="00897249">
      <w:pPr>
        <w:pStyle w:val="Porat"/>
        <w:tabs>
          <w:tab w:val="clear" w:pos="4153"/>
          <w:tab w:val="clear" w:pos="8306"/>
        </w:tabs>
        <w:jc w:val="center"/>
        <w:rPr>
          <w:rFonts w:ascii="Times New Roman" w:hAnsi="Times New Roman"/>
          <w:b/>
          <w:sz w:val="28"/>
          <w:szCs w:val="28"/>
        </w:rPr>
      </w:pPr>
      <w:r w:rsidRPr="002A336E">
        <w:rPr>
          <w:rFonts w:ascii="Times New Roman" w:hAnsi="Times New Roman"/>
          <w:b/>
          <w:sz w:val="28"/>
        </w:rPr>
        <w:t>Turiba University</w:t>
      </w:r>
    </w:p>
    <w:p w14:paraId="60D11BA3" w14:textId="77777777" w:rsidR="00897249" w:rsidRPr="002A336E" w:rsidRDefault="00897249" w:rsidP="00897249">
      <w:pPr>
        <w:pStyle w:val="Porat"/>
        <w:tabs>
          <w:tab w:val="clear" w:pos="4153"/>
          <w:tab w:val="clear" w:pos="8306"/>
        </w:tabs>
        <w:jc w:val="center"/>
        <w:rPr>
          <w:rFonts w:ascii="Times New Roman" w:hAnsi="Times New Roman"/>
          <w:b/>
          <w:sz w:val="24"/>
        </w:rPr>
      </w:pPr>
    </w:p>
    <w:p w14:paraId="511E396B" w14:textId="7A6CE0CC" w:rsidR="00897249" w:rsidRPr="002A336E" w:rsidRDefault="00897249" w:rsidP="00897249">
      <w:pPr>
        <w:jc w:val="center"/>
        <w:rPr>
          <w:rFonts w:ascii="Times New Roman" w:hAnsi="Times New Roman"/>
          <w:b/>
          <w:sz w:val="32"/>
          <w:szCs w:val="32"/>
        </w:rPr>
      </w:pPr>
      <w:r w:rsidRPr="002A336E">
        <w:rPr>
          <w:rFonts w:ascii="Times New Roman" w:hAnsi="Times New Roman"/>
          <w:b/>
          <w:sz w:val="32"/>
        </w:rPr>
        <w:t>Olegas Beriozovas</w:t>
      </w:r>
    </w:p>
    <w:p w14:paraId="0F8DABB8" w14:textId="77777777" w:rsidR="00897249" w:rsidRPr="002A336E" w:rsidRDefault="00897249" w:rsidP="00897249">
      <w:pPr>
        <w:jc w:val="center"/>
        <w:rPr>
          <w:rFonts w:ascii="Times New Roman" w:hAnsi="Times New Roman"/>
        </w:rPr>
      </w:pPr>
    </w:p>
    <w:p w14:paraId="49017042" w14:textId="77777777" w:rsidR="00897249" w:rsidRPr="002A336E" w:rsidRDefault="00897249" w:rsidP="00897249">
      <w:pPr>
        <w:jc w:val="center"/>
        <w:rPr>
          <w:rFonts w:ascii="Times New Roman" w:hAnsi="Times New Roman"/>
        </w:rPr>
      </w:pPr>
    </w:p>
    <w:p w14:paraId="573C7994" w14:textId="77777777" w:rsidR="00897249" w:rsidRPr="002A336E" w:rsidRDefault="00897249" w:rsidP="00897249">
      <w:pPr>
        <w:jc w:val="center"/>
        <w:rPr>
          <w:rFonts w:ascii="Times New Roman" w:hAnsi="Times New Roman"/>
        </w:rPr>
      </w:pPr>
    </w:p>
    <w:p w14:paraId="4611084B" w14:textId="77777777" w:rsidR="00897249" w:rsidRPr="002A336E" w:rsidRDefault="00897249" w:rsidP="00897249">
      <w:pPr>
        <w:jc w:val="center"/>
        <w:rPr>
          <w:rFonts w:ascii="Times New Roman" w:hAnsi="Times New Roman"/>
        </w:rPr>
      </w:pPr>
    </w:p>
    <w:p w14:paraId="167803CF" w14:textId="77777777" w:rsidR="00897249" w:rsidRPr="002A336E" w:rsidRDefault="00897249" w:rsidP="00897249">
      <w:pPr>
        <w:jc w:val="center"/>
        <w:rPr>
          <w:rFonts w:ascii="Times New Roman" w:hAnsi="Times New Roman"/>
        </w:rPr>
      </w:pPr>
    </w:p>
    <w:p w14:paraId="1536D885" w14:textId="77777777" w:rsidR="00897249" w:rsidRPr="002A336E" w:rsidRDefault="00897249" w:rsidP="00897249">
      <w:pPr>
        <w:jc w:val="center"/>
        <w:rPr>
          <w:rFonts w:ascii="Times New Roman" w:hAnsi="Times New Roman"/>
        </w:rPr>
      </w:pPr>
    </w:p>
    <w:p w14:paraId="741D2242" w14:textId="77777777" w:rsidR="00897249" w:rsidRPr="002A336E" w:rsidRDefault="00897249" w:rsidP="00897249">
      <w:pPr>
        <w:jc w:val="center"/>
        <w:rPr>
          <w:rFonts w:ascii="Times New Roman" w:hAnsi="Times New Roman"/>
        </w:rPr>
      </w:pPr>
    </w:p>
    <w:p w14:paraId="6317CB5B" w14:textId="77777777" w:rsidR="00F51B3D" w:rsidRPr="002A336E" w:rsidRDefault="00F51B3D" w:rsidP="00F51B3D">
      <w:pPr>
        <w:jc w:val="center"/>
        <w:rPr>
          <w:rFonts w:ascii="Times New Roman" w:hAnsi="Times New Roman"/>
          <w:b/>
          <w:sz w:val="28"/>
          <w:szCs w:val="28"/>
        </w:rPr>
      </w:pPr>
      <w:r w:rsidRPr="002A336E">
        <w:rPr>
          <w:rFonts w:ascii="Times New Roman" w:hAnsi="Times New Roman"/>
          <w:b/>
          <w:sz w:val="28"/>
          <w:szCs w:val="28"/>
        </w:rPr>
        <w:t>PROMOCIJAS DARBA KOPSAVILKUMS</w:t>
      </w:r>
    </w:p>
    <w:p w14:paraId="5F4269FB" w14:textId="77777777" w:rsidR="00897249" w:rsidRPr="002A336E" w:rsidRDefault="00897249" w:rsidP="00897249">
      <w:pPr>
        <w:jc w:val="center"/>
        <w:rPr>
          <w:rFonts w:ascii="Times New Roman" w:hAnsi="Times New Roman"/>
          <w:b/>
          <w:sz w:val="24"/>
        </w:rPr>
      </w:pPr>
    </w:p>
    <w:p w14:paraId="11E89B5A" w14:textId="77777777" w:rsidR="00897249" w:rsidRPr="002A336E" w:rsidRDefault="00897249" w:rsidP="00897249">
      <w:pPr>
        <w:jc w:val="center"/>
        <w:rPr>
          <w:rFonts w:ascii="Times New Roman" w:hAnsi="Times New Roman"/>
          <w:b/>
          <w:sz w:val="24"/>
        </w:rPr>
      </w:pPr>
    </w:p>
    <w:p w14:paraId="239C8504" w14:textId="77777777" w:rsidR="00897249" w:rsidRPr="002A336E" w:rsidRDefault="00897249" w:rsidP="00897249">
      <w:pPr>
        <w:jc w:val="center"/>
        <w:rPr>
          <w:rFonts w:ascii="Times New Roman" w:hAnsi="Times New Roman"/>
          <w:b/>
          <w:sz w:val="24"/>
        </w:rPr>
      </w:pPr>
    </w:p>
    <w:p w14:paraId="6AC09327" w14:textId="77777777" w:rsidR="00E02811" w:rsidRPr="002A336E" w:rsidRDefault="00E02811" w:rsidP="00E02811">
      <w:pPr>
        <w:jc w:val="center"/>
        <w:rPr>
          <w:rFonts w:ascii="Times New Roman" w:hAnsi="Times New Roman"/>
          <w:b/>
          <w:bCs/>
          <w:sz w:val="36"/>
          <w:szCs w:val="36"/>
        </w:rPr>
      </w:pPr>
      <w:r w:rsidRPr="002A336E">
        <w:rPr>
          <w:rFonts w:ascii="Times New Roman" w:hAnsi="Times New Roman"/>
          <w:b/>
          <w:bCs/>
          <w:sz w:val="36"/>
          <w:szCs w:val="36"/>
        </w:rPr>
        <w:t>EITANĀZIJAS INSTITŪTA TIESISKĀ REGULĒJUMA PROBLĒMAS STARPTAUTISKAJĀS TIESĪBĀS UN ŠĪ INSTITŪTA ĪSTENOŠANAS PERSPEKTĪVAS LIETUVĀ</w:t>
      </w:r>
    </w:p>
    <w:p w14:paraId="2CE025E5" w14:textId="77777777" w:rsidR="00897249" w:rsidRPr="002A336E" w:rsidRDefault="00897249" w:rsidP="00897249">
      <w:pPr>
        <w:jc w:val="center"/>
        <w:rPr>
          <w:rFonts w:ascii="Times New Roman" w:hAnsi="Times New Roman"/>
          <w:sz w:val="24"/>
        </w:rPr>
      </w:pPr>
    </w:p>
    <w:p w14:paraId="6DB26370" w14:textId="77777777" w:rsidR="00897249" w:rsidRPr="002A336E" w:rsidRDefault="00897249" w:rsidP="00897249">
      <w:pPr>
        <w:rPr>
          <w:rFonts w:ascii="Times New Roman" w:hAnsi="Times New Roman"/>
        </w:rPr>
      </w:pPr>
    </w:p>
    <w:p w14:paraId="6F9DBF96" w14:textId="77777777" w:rsidR="00897249" w:rsidRPr="002A336E" w:rsidRDefault="00897249" w:rsidP="00897249">
      <w:pPr>
        <w:rPr>
          <w:rFonts w:ascii="Times New Roman" w:hAnsi="Times New Roman"/>
        </w:rPr>
      </w:pPr>
    </w:p>
    <w:p w14:paraId="11CBE018" w14:textId="77777777" w:rsidR="00897249" w:rsidRPr="002A336E" w:rsidRDefault="00897249" w:rsidP="00897249">
      <w:pPr>
        <w:rPr>
          <w:rFonts w:ascii="Times New Roman" w:hAnsi="Times New Roman"/>
        </w:rPr>
      </w:pPr>
    </w:p>
    <w:p w14:paraId="6CC69B6F" w14:textId="77777777" w:rsidR="00A970F1" w:rsidRPr="002A336E" w:rsidRDefault="00A970F1" w:rsidP="00A970F1">
      <w:pPr>
        <w:jc w:val="center"/>
        <w:rPr>
          <w:rFonts w:ascii="Times New Roman" w:hAnsi="Times New Roman"/>
          <w:bCs/>
          <w:sz w:val="28"/>
        </w:rPr>
      </w:pPr>
      <w:r w:rsidRPr="002A336E">
        <w:rPr>
          <w:rFonts w:ascii="Times New Roman" w:hAnsi="Times New Roman"/>
          <w:bCs/>
          <w:sz w:val="28"/>
        </w:rPr>
        <w:t>Studiju programma: Tiesību zinātne</w:t>
      </w:r>
    </w:p>
    <w:p w14:paraId="7C302400" w14:textId="77777777" w:rsidR="00897249" w:rsidRPr="002A336E" w:rsidRDefault="00897249" w:rsidP="00897249">
      <w:pPr>
        <w:jc w:val="center"/>
        <w:rPr>
          <w:rFonts w:ascii="Times New Roman" w:hAnsi="Times New Roman"/>
          <w:sz w:val="24"/>
        </w:rPr>
      </w:pPr>
    </w:p>
    <w:p w14:paraId="5DE21074" w14:textId="77777777" w:rsidR="00897249" w:rsidRPr="002A336E" w:rsidRDefault="00897249" w:rsidP="00897249">
      <w:pPr>
        <w:jc w:val="center"/>
        <w:rPr>
          <w:rFonts w:ascii="Times New Roman" w:hAnsi="Times New Roman"/>
        </w:rPr>
      </w:pPr>
    </w:p>
    <w:p w14:paraId="449E271B" w14:textId="77777777" w:rsidR="00897249" w:rsidRPr="002A336E" w:rsidRDefault="00897249" w:rsidP="00897249">
      <w:pPr>
        <w:jc w:val="center"/>
        <w:rPr>
          <w:rFonts w:ascii="Times New Roman" w:hAnsi="Times New Roman"/>
        </w:rPr>
      </w:pPr>
    </w:p>
    <w:p w14:paraId="024EFF0B" w14:textId="77777777" w:rsidR="00897249" w:rsidRPr="002A336E" w:rsidRDefault="00897249" w:rsidP="00897249">
      <w:pPr>
        <w:jc w:val="center"/>
        <w:rPr>
          <w:rFonts w:ascii="Times New Roman" w:hAnsi="Times New Roman"/>
        </w:rPr>
      </w:pPr>
    </w:p>
    <w:p w14:paraId="741429B7" w14:textId="77777777" w:rsidR="00B052BD" w:rsidRPr="002A336E" w:rsidRDefault="00B052BD" w:rsidP="00B052BD">
      <w:pPr>
        <w:jc w:val="center"/>
        <w:rPr>
          <w:rFonts w:ascii="Times New Roman" w:hAnsi="Times New Roman"/>
          <w:sz w:val="28"/>
          <w:szCs w:val="28"/>
        </w:rPr>
      </w:pPr>
    </w:p>
    <w:p w14:paraId="21858E77" w14:textId="77777777" w:rsidR="001D3259" w:rsidRPr="002A336E" w:rsidRDefault="001D3259" w:rsidP="001D3259">
      <w:pPr>
        <w:jc w:val="center"/>
        <w:rPr>
          <w:rFonts w:ascii="Times New Roman" w:hAnsi="Times New Roman"/>
          <w:sz w:val="28"/>
          <w:szCs w:val="28"/>
        </w:rPr>
      </w:pPr>
      <w:r w:rsidRPr="002A336E">
        <w:rPr>
          <w:rFonts w:ascii="Times New Roman" w:hAnsi="Times New Roman"/>
          <w:sz w:val="28"/>
          <w:szCs w:val="28"/>
        </w:rPr>
        <w:t>Studiju programma: Tiesību zinātne, Starptautiskās tiesības</w:t>
      </w:r>
    </w:p>
    <w:p w14:paraId="7469F8E7" w14:textId="77777777" w:rsidR="00897249" w:rsidRPr="002A336E" w:rsidRDefault="00897249" w:rsidP="00897249">
      <w:pPr>
        <w:jc w:val="center"/>
        <w:rPr>
          <w:rFonts w:ascii="Times New Roman" w:hAnsi="Times New Roman"/>
        </w:rPr>
      </w:pPr>
    </w:p>
    <w:p w14:paraId="207EB633" w14:textId="77777777" w:rsidR="00897249" w:rsidRPr="002A336E" w:rsidRDefault="00897249" w:rsidP="00897249">
      <w:pPr>
        <w:jc w:val="center"/>
        <w:rPr>
          <w:rFonts w:ascii="Times New Roman" w:hAnsi="Times New Roman"/>
        </w:rPr>
      </w:pPr>
    </w:p>
    <w:p w14:paraId="382074CE" w14:textId="77777777" w:rsidR="00897249" w:rsidRPr="002A336E" w:rsidRDefault="00897249" w:rsidP="00897249">
      <w:pPr>
        <w:jc w:val="center"/>
        <w:rPr>
          <w:rFonts w:ascii="Times New Roman" w:hAnsi="Times New Roman"/>
        </w:rPr>
      </w:pPr>
    </w:p>
    <w:p w14:paraId="502DD81B" w14:textId="77777777" w:rsidR="00897249" w:rsidRPr="002A336E" w:rsidRDefault="00897249" w:rsidP="00897249">
      <w:pPr>
        <w:jc w:val="center"/>
        <w:rPr>
          <w:rFonts w:ascii="Times New Roman" w:hAnsi="Times New Roman"/>
        </w:rPr>
      </w:pPr>
    </w:p>
    <w:p w14:paraId="09C85269" w14:textId="77777777" w:rsidR="00897249" w:rsidRPr="002A336E" w:rsidRDefault="00897249" w:rsidP="00897249">
      <w:pPr>
        <w:jc w:val="center"/>
        <w:rPr>
          <w:rFonts w:ascii="Times New Roman" w:hAnsi="Times New Roman"/>
        </w:rPr>
      </w:pPr>
    </w:p>
    <w:p w14:paraId="650E4E60" w14:textId="77777777" w:rsidR="00897249" w:rsidRPr="002A336E" w:rsidRDefault="00897249" w:rsidP="00897249">
      <w:pPr>
        <w:jc w:val="center"/>
        <w:rPr>
          <w:rFonts w:ascii="Times New Roman" w:hAnsi="Times New Roman"/>
        </w:rPr>
      </w:pPr>
    </w:p>
    <w:p w14:paraId="1A1D4A39" w14:textId="77777777" w:rsidR="00897249" w:rsidRPr="002A336E" w:rsidRDefault="00897249" w:rsidP="00897249">
      <w:pPr>
        <w:jc w:val="center"/>
        <w:rPr>
          <w:rFonts w:ascii="Times New Roman" w:hAnsi="Times New Roman"/>
          <w:b/>
          <w:sz w:val="24"/>
          <w:szCs w:val="24"/>
        </w:rPr>
      </w:pPr>
    </w:p>
    <w:p w14:paraId="70B523C7" w14:textId="77777777" w:rsidR="00897249" w:rsidRPr="002A336E" w:rsidRDefault="00897249" w:rsidP="00897249">
      <w:pPr>
        <w:jc w:val="center"/>
        <w:rPr>
          <w:rFonts w:ascii="Times New Roman" w:hAnsi="Times New Roman"/>
          <w:b/>
          <w:sz w:val="24"/>
          <w:szCs w:val="24"/>
        </w:rPr>
      </w:pPr>
    </w:p>
    <w:p w14:paraId="702A7689" w14:textId="77777777" w:rsidR="00897249" w:rsidRPr="002A336E" w:rsidRDefault="00897249" w:rsidP="00897249">
      <w:pPr>
        <w:jc w:val="center"/>
        <w:rPr>
          <w:rFonts w:ascii="Times New Roman" w:hAnsi="Times New Roman"/>
        </w:rPr>
      </w:pPr>
    </w:p>
    <w:p w14:paraId="52B489F1" w14:textId="77777777" w:rsidR="00640566" w:rsidRPr="002A336E" w:rsidRDefault="00640566" w:rsidP="00897249">
      <w:pPr>
        <w:jc w:val="center"/>
        <w:rPr>
          <w:rFonts w:ascii="Times New Roman" w:hAnsi="Times New Roman"/>
        </w:rPr>
      </w:pPr>
    </w:p>
    <w:p w14:paraId="30D8CC7A" w14:textId="77777777" w:rsidR="00640566" w:rsidRPr="002A336E" w:rsidRDefault="00640566" w:rsidP="00897249">
      <w:pPr>
        <w:jc w:val="center"/>
        <w:rPr>
          <w:rFonts w:ascii="Times New Roman" w:hAnsi="Times New Roman"/>
        </w:rPr>
      </w:pPr>
    </w:p>
    <w:p w14:paraId="3136FD16" w14:textId="77777777" w:rsidR="00640566" w:rsidRPr="002A336E" w:rsidRDefault="00640566" w:rsidP="00897249">
      <w:pPr>
        <w:jc w:val="center"/>
        <w:rPr>
          <w:rFonts w:ascii="Times New Roman" w:hAnsi="Times New Roman"/>
        </w:rPr>
      </w:pPr>
    </w:p>
    <w:p w14:paraId="52253997" w14:textId="77777777" w:rsidR="00640566" w:rsidRPr="002A336E" w:rsidRDefault="00640566" w:rsidP="00897249">
      <w:pPr>
        <w:jc w:val="center"/>
        <w:rPr>
          <w:rFonts w:ascii="Times New Roman" w:hAnsi="Times New Roman"/>
        </w:rPr>
      </w:pPr>
    </w:p>
    <w:p w14:paraId="38C7F9D2" w14:textId="77777777" w:rsidR="00640566" w:rsidRPr="002A336E" w:rsidRDefault="00640566" w:rsidP="00897249">
      <w:pPr>
        <w:jc w:val="center"/>
        <w:rPr>
          <w:rFonts w:ascii="Times New Roman" w:hAnsi="Times New Roman"/>
        </w:rPr>
      </w:pPr>
    </w:p>
    <w:p w14:paraId="0F0D7D6F" w14:textId="77777777" w:rsidR="003A04F2" w:rsidRPr="002A336E" w:rsidRDefault="003A04F2" w:rsidP="00897249">
      <w:pPr>
        <w:jc w:val="center"/>
        <w:rPr>
          <w:rFonts w:ascii="Times New Roman" w:hAnsi="Times New Roman"/>
        </w:rPr>
      </w:pPr>
    </w:p>
    <w:p w14:paraId="28125FAE" w14:textId="77777777" w:rsidR="00897249" w:rsidRPr="002A336E" w:rsidRDefault="00897249" w:rsidP="00897249">
      <w:pPr>
        <w:jc w:val="center"/>
        <w:rPr>
          <w:rFonts w:ascii="Times New Roman" w:hAnsi="Times New Roman"/>
        </w:rPr>
      </w:pPr>
    </w:p>
    <w:p w14:paraId="63ED5E11" w14:textId="77777777" w:rsidR="00897249" w:rsidRPr="002A336E" w:rsidRDefault="00897249" w:rsidP="00897249">
      <w:pPr>
        <w:jc w:val="center"/>
        <w:rPr>
          <w:rFonts w:ascii="Times New Roman" w:hAnsi="Times New Roman"/>
        </w:rPr>
      </w:pPr>
    </w:p>
    <w:p w14:paraId="392D2E8F" w14:textId="77777777" w:rsidR="00AE57FC" w:rsidRPr="002A336E" w:rsidRDefault="00AE57FC" w:rsidP="00897249">
      <w:pPr>
        <w:jc w:val="center"/>
        <w:rPr>
          <w:rFonts w:ascii="Times New Roman" w:hAnsi="Times New Roman"/>
        </w:rPr>
      </w:pPr>
    </w:p>
    <w:p w14:paraId="1B424678" w14:textId="77777777" w:rsidR="00AE57FC" w:rsidRPr="002A336E" w:rsidRDefault="00AE57FC" w:rsidP="00897249">
      <w:pPr>
        <w:jc w:val="center"/>
        <w:rPr>
          <w:rFonts w:ascii="Times New Roman" w:hAnsi="Times New Roman"/>
        </w:rPr>
      </w:pPr>
    </w:p>
    <w:p w14:paraId="7042A1CC" w14:textId="77777777" w:rsidR="00AE57FC" w:rsidRPr="002A336E" w:rsidRDefault="00AE57FC" w:rsidP="00897249">
      <w:pPr>
        <w:jc w:val="center"/>
        <w:rPr>
          <w:rFonts w:ascii="Times New Roman" w:hAnsi="Times New Roman"/>
        </w:rPr>
      </w:pPr>
    </w:p>
    <w:p w14:paraId="36ECD72B" w14:textId="77777777" w:rsidR="001D3259" w:rsidRPr="002A336E" w:rsidRDefault="001D3259" w:rsidP="00897249">
      <w:pPr>
        <w:jc w:val="center"/>
        <w:rPr>
          <w:rFonts w:ascii="Times New Roman" w:hAnsi="Times New Roman"/>
        </w:rPr>
      </w:pPr>
    </w:p>
    <w:p w14:paraId="243E936F" w14:textId="77777777" w:rsidR="00897249" w:rsidRPr="002A336E" w:rsidRDefault="00897249" w:rsidP="00897249">
      <w:pPr>
        <w:jc w:val="center"/>
        <w:rPr>
          <w:rFonts w:ascii="Times New Roman" w:hAnsi="Times New Roman"/>
        </w:rPr>
      </w:pPr>
    </w:p>
    <w:p w14:paraId="0FAADA53" w14:textId="77777777" w:rsidR="00897249" w:rsidRPr="002A336E" w:rsidRDefault="00897249" w:rsidP="00897249">
      <w:pPr>
        <w:jc w:val="center"/>
        <w:rPr>
          <w:rFonts w:ascii="Times New Roman" w:hAnsi="Times New Roman"/>
        </w:rPr>
      </w:pPr>
    </w:p>
    <w:p w14:paraId="2AD15F4B" w14:textId="51775BCE" w:rsidR="002819DC" w:rsidRPr="002A336E" w:rsidRDefault="00897249" w:rsidP="007E15A8">
      <w:pPr>
        <w:jc w:val="center"/>
        <w:rPr>
          <w:rFonts w:ascii="Times New Roman" w:hAnsi="Times New Roman"/>
          <w:b/>
          <w:sz w:val="24"/>
        </w:rPr>
      </w:pPr>
      <w:r w:rsidRPr="002A336E">
        <w:rPr>
          <w:rFonts w:ascii="Times New Roman" w:hAnsi="Times New Roman"/>
          <w:b/>
          <w:sz w:val="24"/>
        </w:rPr>
        <w:t>Riga, 202</w:t>
      </w:r>
      <w:r w:rsidR="007E15A8" w:rsidRPr="002A336E">
        <w:rPr>
          <w:rFonts w:ascii="Times New Roman" w:hAnsi="Times New Roman"/>
          <w:b/>
          <w:sz w:val="24"/>
        </w:rPr>
        <w:t>6</w:t>
      </w:r>
    </w:p>
    <w:p w14:paraId="5E4F3B0E" w14:textId="77777777" w:rsidR="001D3259" w:rsidRPr="002A336E" w:rsidRDefault="001D3259" w:rsidP="007E15A8">
      <w:pPr>
        <w:jc w:val="center"/>
        <w:rPr>
          <w:rFonts w:ascii="Times New Roman" w:hAnsi="Times New Roman"/>
          <w:b/>
          <w:sz w:val="24"/>
        </w:rPr>
      </w:pPr>
    </w:p>
    <w:p w14:paraId="55038AD2" w14:textId="7D8642AA" w:rsidR="00640566" w:rsidRPr="002A336E" w:rsidRDefault="006946B6" w:rsidP="006946B6">
      <w:pPr>
        <w:jc w:val="right"/>
        <w:rPr>
          <w:rFonts w:ascii="Times New Roman" w:hAnsi="Times New Roman"/>
        </w:rPr>
      </w:pPr>
      <w:r w:rsidRPr="002A336E">
        <w:rPr>
          <w:rFonts w:cs="Arial"/>
          <w:lang w:eastAsia="lv-LV" w:bidi="ar-SA"/>
        </w:rPr>
        <w:lastRenderedPageBreak/>
        <w:drawing>
          <wp:inline distT="0" distB="0" distL="0" distR="0" wp14:anchorId="22B868F3" wp14:editId="179EE90D">
            <wp:extent cx="1354455" cy="819785"/>
            <wp:effectExtent l="0" t="0" r="0" b="0"/>
            <wp:docPr id="2" name="Picture 2" descr="Ger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4455" cy="819785"/>
                    </a:xfrm>
                    <a:prstGeom prst="rect">
                      <a:avLst/>
                    </a:prstGeom>
                    <a:noFill/>
                    <a:ln>
                      <a:noFill/>
                    </a:ln>
                  </pic:spPr>
                </pic:pic>
              </a:graphicData>
            </a:graphic>
          </wp:inline>
        </w:drawing>
      </w:r>
    </w:p>
    <w:p w14:paraId="2BC38C80" w14:textId="77777777" w:rsidR="006946B6" w:rsidRPr="002A336E" w:rsidRDefault="006946B6" w:rsidP="006946B6">
      <w:pPr>
        <w:jc w:val="right"/>
        <w:rPr>
          <w:rFonts w:ascii="Times New Roman" w:hAnsi="Times New Roman"/>
        </w:rPr>
      </w:pPr>
    </w:p>
    <w:p w14:paraId="65DD2EC2" w14:textId="77777777" w:rsidR="006946B6" w:rsidRPr="002A336E" w:rsidRDefault="006946B6" w:rsidP="006946B6">
      <w:pPr>
        <w:jc w:val="right"/>
        <w:rPr>
          <w:rFonts w:ascii="Times New Roman" w:hAnsi="Times New Roman"/>
        </w:rPr>
      </w:pPr>
    </w:p>
    <w:p w14:paraId="32575457" w14:textId="3859AFEB" w:rsidR="008D6A92" w:rsidRPr="002A336E" w:rsidRDefault="008D6A92" w:rsidP="008D6A92">
      <w:pPr>
        <w:pStyle w:val="Default"/>
        <w:rPr>
          <w:lang w:val="lv-LV"/>
        </w:rPr>
      </w:pPr>
      <w:r w:rsidRPr="002A336E">
        <w:rPr>
          <w:lang w:val="lv-LV"/>
        </w:rPr>
        <w:t>Doktora grāds tika izstrādāts Turības Universitātes Juridiskajā fakultātē laika posmā no 2023 līdz 2026 gadam.</w:t>
      </w:r>
    </w:p>
    <w:p w14:paraId="5E36468A" w14:textId="77777777" w:rsidR="00104B57" w:rsidRPr="002A336E" w:rsidRDefault="00104B57" w:rsidP="00104B57">
      <w:pPr>
        <w:pStyle w:val="Default"/>
        <w:rPr>
          <w:color w:val="auto"/>
          <w:lang w:val="lv-LV"/>
        </w:rPr>
      </w:pPr>
    </w:p>
    <w:p w14:paraId="633CFBBD" w14:textId="5236FACA" w:rsidR="00104B57" w:rsidRPr="002A336E" w:rsidRDefault="00D02EF2" w:rsidP="00104B57">
      <w:pPr>
        <w:pStyle w:val="Default"/>
        <w:rPr>
          <w:lang w:val="lv-LV"/>
        </w:rPr>
      </w:pPr>
      <w:r w:rsidRPr="002A336E">
        <w:rPr>
          <w:lang w:val="lv-LV"/>
        </w:rPr>
        <w:t>Padomnieks</w:t>
      </w:r>
      <w:r w:rsidR="00104B57" w:rsidRPr="002A336E">
        <w:rPr>
          <w:color w:val="auto"/>
          <w:lang w:val="lv-LV"/>
        </w:rPr>
        <w:t xml:space="preserve">: </w:t>
      </w:r>
    </w:p>
    <w:p w14:paraId="3592792C" w14:textId="0C25F059" w:rsidR="00104B57" w:rsidRPr="002A336E" w:rsidRDefault="00FD0D54" w:rsidP="00104B57">
      <w:pPr>
        <w:ind w:left="720" w:firstLine="720"/>
        <w:rPr>
          <w:rFonts w:ascii="Times New Roman" w:hAnsi="Times New Roman"/>
          <w:sz w:val="24"/>
          <w:szCs w:val="24"/>
        </w:rPr>
      </w:pPr>
      <w:r w:rsidRPr="002A336E">
        <w:rPr>
          <w:rFonts w:ascii="Times New Roman" w:hAnsi="Times New Roman"/>
          <w:sz w:val="24"/>
          <w:szCs w:val="24"/>
        </w:rPr>
        <w:t>Dr. iur</w:t>
      </w:r>
      <w:r w:rsidR="00104B57" w:rsidRPr="002A336E">
        <w:rPr>
          <w:rFonts w:ascii="Times New Roman" w:hAnsi="Times New Roman"/>
          <w:sz w:val="24"/>
          <w:szCs w:val="24"/>
        </w:rPr>
        <w:t xml:space="preserve">: </w:t>
      </w:r>
      <w:r w:rsidRPr="002A336E">
        <w:rPr>
          <w:rFonts w:ascii="Times New Roman" w:hAnsi="Times New Roman"/>
          <w:sz w:val="24"/>
          <w:szCs w:val="24"/>
        </w:rPr>
        <w:t>Dalia Perkumienė</w:t>
      </w:r>
    </w:p>
    <w:p w14:paraId="4F3F5BF5" w14:textId="77777777" w:rsidR="00104B57" w:rsidRPr="002A336E" w:rsidRDefault="00104B57" w:rsidP="00104B57">
      <w:pPr>
        <w:pStyle w:val="Default"/>
        <w:rPr>
          <w:color w:val="auto"/>
          <w:lang w:val="lv-LV"/>
        </w:rPr>
      </w:pPr>
    </w:p>
    <w:p w14:paraId="4CB7B113" w14:textId="77777777" w:rsidR="00104B57" w:rsidRPr="002A336E" w:rsidRDefault="00104B57" w:rsidP="00104B57">
      <w:pPr>
        <w:pStyle w:val="Default"/>
        <w:rPr>
          <w:color w:val="auto"/>
          <w:lang w:val="lv-LV"/>
        </w:rPr>
      </w:pPr>
    </w:p>
    <w:p w14:paraId="203C2975" w14:textId="77777777" w:rsidR="00104B57" w:rsidRPr="002A336E" w:rsidRDefault="00104B57" w:rsidP="00104B57">
      <w:pPr>
        <w:pStyle w:val="Default"/>
        <w:ind w:left="1140"/>
        <w:rPr>
          <w:color w:val="auto"/>
          <w:lang w:val="lv-LV"/>
        </w:rPr>
      </w:pPr>
    </w:p>
    <w:p w14:paraId="3F0F34E9" w14:textId="77777777" w:rsidR="00104B57" w:rsidRPr="002A336E" w:rsidRDefault="00104B57" w:rsidP="00104B57">
      <w:pPr>
        <w:pStyle w:val="Default"/>
        <w:rPr>
          <w:color w:val="auto"/>
          <w:lang w:val="lv-LV"/>
        </w:rPr>
      </w:pPr>
    </w:p>
    <w:p w14:paraId="456DAC74" w14:textId="5BFA86BF" w:rsidR="00104B57" w:rsidRPr="002A336E" w:rsidRDefault="009301F9" w:rsidP="00104B57">
      <w:pPr>
        <w:pStyle w:val="Default"/>
        <w:rPr>
          <w:lang w:val="lv-LV"/>
        </w:rPr>
      </w:pPr>
      <w:r w:rsidRPr="002A336E">
        <w:rPr>
          <w:lang w:val="lv-LV"/>
        </w:rPr>
        <w:t>Oficiālie recenzenti</w:t>
      </w:r>
      <w:r w:rsidR="00104B57" w:rsidRPr="002A336E">
        <w:rPr>
          <w:color w:val="auto"/>
          <w:lang w:val="lv-LV"/>
        </w:rPr>
        <w:t xml:space="preserve">: </w:t>
      </w:r>
    </w:p>
    <w:p w14:paraId="4BA43E87" w14:textId="77777777" w:rsidR="00643D53" w:rsidRPr="002A336E" w:rsidRDefault="00643D53" w:rsidP="00643D53">
      <w:pPr>
        <w:ind w:left="720" w:firstLine="720"/>
        <w:rPr>
          <w:rFonts w:ascii="Times New Roman" w:hAnsi="Times New Roman"/>
          <w:sz w:val="24"/>
          <w:szCs w:val="24"/>
        </w:rPr>
      </w:pPr>
      <w:r w:rsidRPr="002A336E">
        <w:rPr>
          <w:rFonts w:ascii="Times New Roman" w:hAnsi="Times New Roman"/>
          <w:sz w:val="24"/>
          <w:szCs w:val="24"/>
        </w:rPr>
        <w:t>Dr. iur. Tatjana Jurkeviča</w:t>
      </w:r>
    </w:p>
    <w:p w14:paraId="76FFAEF6" w14:textId="77777777" w:rsidR="00643D53" w:rsidRPr="002A336E" w:rsidRDefault="00643D53" w:rsidP="00643D53">
      <w:pPr>
        <w:ind w:left="720" w:firstLine="720"/>
        <w:rPr>
          <w:rFonts w:ascii="Times New Roman" w:hAnsi="Times New Roman"/>
          <w:sz w:val="24"/>
          <w:szCs w:val="24"/>
        </w:rPr>
      </w:pPr>
      <w:r w:rsidRPr="002A336E">
        <w:rPr>
          <w:rFonts w:ascii="Times New Roman" w:hAnsi="Times New Roman"/>
          <w:sz w:val="24"/>
          <w:szCs w:val="24"/>
        </w:rPr>
        <w:t>Dr. iur. Jaroslavs Streļčenoks</w:t>
      </w:r>
    </w:p>
    <w:p w14:paraId="3A71567D" w14:textId="77777777" w:rsidR="00104B57" w:rsidRPr="002A336E" w:rsidRDefault="00104B57" w:rsidP="00104B57">
      <w:pPr>
        <w:ind w:left="720" w:firstLine="720"/>
        <w:rPr>
          <w:rFonts w:ascii="Times New Roman" w:hAnsi="Times New Roman"/>
        </w:rPr>
      </w:pPr>
    </w:p>
    <w:p w14:paraId="290FD9D8" w14:textId="77777777" w:rsidR="00104B57" w:rsidRPr="002A336E" w:rsidRDefault="00104B57" w:rsidP="00104B57">
      <w:pPr>
        <w:ind w:left="720" w:firstLine="720"/>
        <w:rPr>
          <w:rFonts w:ascii="Times New Roman" w:hAnsi="Times New Roman"/>
        </w:rPr>
      </w:pPr>
    </w:p>
    <w:p w14:paraId="6025048A" w14:textId="77777777" w:rsidR="00104B57" w:rsidRPr="002A336E" w:rsidRDefault="00104B57" w:rsidP="00104B57">
      <w:pPr>
        <w:ind w:left="720" w:firstLine="720"/>
        <w:rPr>
          <w:rFonts w:ascii="Times New Roman" w:hAnsi="Times New Roman"/>
        </w:rPr>
      </w:pPr>
    </w:p>
    <w:p w14:paraId="072C1082" w14:textId="77777777" w:rsidR="00104B57" w:rsidRPr="002A336E" w:rsidRDefault="00104B57" w:rsidP="00104B57">
      <w:pPr>
        <w:ind w:left="720" w:firstLine="720"/>
        <w:rPr>
          <w:rFonts w:ascii="Times New Roman" w:hAnsi="Times New Roman"/>
        </w:rPr>
      </w:pPr>
    </w:p>
    <w:p w14:paraId="1AEB8ECF" w14:textId="77777777" w:rsidR="00950C66" w:rsidRPr="002A336E" w:rsidRDefault="00950C66" w:rsidP="00950C66">
      <w:pPr>
        <w:pStyle w:val="Default"/>
        <w:jc w:val="both"/>
        <w:rPr>
          <w:lang w:val="lv-LV"/>
        </w:rPr>
      </w:pPr>
      <w:r w:rsidRPr="002A336E">
        <w:rPr>
          <w:lang w:val="lv-LV"/>
        </w:rPr>
        <w:t>Doktora disertācijas aizstāvēšana/prezentācija notiks Biznesa augstskolas Turība Juridiskās zinātnes doktorantūras padomes atklātā sēdē 2026. gada 24. aprīlī plkst. 15:30 Biznesa augstskolas Turība Juridiskajā fakultātē, Graudu ielā 68, Rīgā, C108. telpā.</w:t>
      </w:r>
    </w:p>
    <w:p w14:paraId="53888E6B" w14:textId="77777777" w:rsidR="00104B57" w:rsidRPr="002A336E" w:rsidRDefault="00104B57" w:rsidP="00104B57">
      <w:pPr>
        <w:pStyle w:val="Default"/>
        <w:jc w:val="both"/>
        <w:rPr>
          <w:color w:val="auto"/>
          <w:lang w:val="lv-LV"/>
        </w:rPr>
      </w:pPr>
    </w:p>
    <w:p w14:paraId="38CC8706" w14:textId="77777777" w:rsidR="00104B57" w:rsidRPr="002A336E" w:rsidRDefault="00104B57" w:rsidP="00104B57">
      <w:pPr>
        <w:pStyle w:val="Default"/>
        <w:jc w:val="both"/>
        <w:rPr>
          <w:color w:val="auto"/>
          <w:lang w:val="lv-LV"/>
        </w:rPr>
      </w:pPr>
    </w:p>
    <w:p w14:paraId="1964B717" w14:textId="77777777" w:rsidR="00104B57" w:rsidRPr="002A336E" w:rsidRDefault="00104B57" w:rsidP="00104B57">
      <w:pPr>
        <w:pStyle w:val="Default"/>
        <w:jc w:val="both"/>
        <w:rPr>
          <w:color w:val="auto"/>
          <w:lang w:val="lv-LV"/>
        </w:rPr>
      </w:pPr>
    </w:p>
    <w:p w14:paraId="47D0B2E4" w14:textId="77777777" w:rsidR="00104B57" w:rsidRPr="002A336E" w:rsidRDefault="00104B57" w:rsidP="00104B57">
      <w:pPr>
        <w:pStyle w:val="Default"/>
        <w:jc w:val="both"/>
        <w:rPr>
          <w:color w:val="auto"/>
          <w:lang w:val="lv-LV"/>
        </w:rPr>
      </w:pPr>
    </w:p>
    <w:p w14:paraId="2C6B9DE2" w14:textId="77777777" w:rsidR="00104B57" w:rsidRPr="002A336E" w:rsidRDefault="00104B57" w:rsidP="00104B57">
      <w:pPr>
        <w:pStyle w:val="Default"/>
        <w:jc w:val="both"/>
        <w:rPr>
          <w:color w:val="auto"/>
          <w:lang w:val="lv-LV"/>
        </w:rPr>
      </w:pPr>
    </w:p>
    <w:p w14:paraId="2B0334D5" w14:textId="77777777" w:rsidR="00950C66" w:rsidRPr="002A336E" w:rsidRDefault="00950C66" w:rsidP="00950C66">
      <w:pPr>
        <w:pStyle w:val="Default"/>
        <w:jc w:val="both"/>
        <w:rPr>
          <w:lang w:val="lv-LV"/>
        </w:rPr>
      </w:pPr>
      <w:r w:rsidRPr="002A336E">
        <w:rPr>
          <w:lang w:val="lv-LV"/>
        </w:rPr>
        <w:t>Ar promocijas darbu un tā kopsavilkumu var iepazīties Turības Biznesa augstskolas bibliotēkā, Graudu ielā 68, Rīgā.</w:t>
      </w:r>
    </w:p>
    <w:p w14:paraId="614D48A0" w14:textId="77777777" w:rsidR="00104B57" w:rsidRPr="002A336E" w:rsidRDefault="00104B57" w:rsidP="00104B57">
      <w:pPr>
        <w:pStyle w:val="Default"/>
        <w:jc w:val="both"/>
        <w:rPr>
          <w:color w:val="auto"/>
          <w:lang w:val="lv-LV"/>
        </w:rPr>
      </w:pPr>
    </w:p>
    <w:p w14:paraId="6CE80F85" w14:textId="77777777" w:rsidR="00104B57" w:rsidRPr="002A336E" w:rsidRDefault="00104B57" w:rsidP="00104B57">
      <w:pPr>
        <w:pStyle w:val="Default"/>
        <w:jc w:val="both"/>
        <w:rPr>
          <w:color w:val="auto"/>
          <w:lang w:val="lv-LV"/>
        </w:rPr>
      </w:pPr>
    </w:p>
    <w:p w14:paraId="79C4DDA8" w14:textId="77777777" w:rsidR="00871AC7" w:rsidRPr="002A336E" w:rsidRDefault="00871AC7" w:rsidP="00871AC7">
      <w:pPr>
        <w:pStyle w:val="Default"/>
        <w:rPr>
          <w:lang w:val="lv-LV"/>
        </w:rPr>
      </w:pPr>
      <w:r w:rsidRPr="002A336E">
        <w:rPr>
          <w:lang w:val="lv-LV"/>
        </w:rPr>
        <w:t>Juridiskās zinātnes doktorantūras padomes priekšsēdētājs:</w:t>
      </w:r>
    </w:p>
    <w:p w14:paraId="50F3C437" w14:textId="32FF9C07" w:rsidR="00104B57" w:rsidRPr="002A336E" w:rsidRDefault="00DE4DD3" w:rsidP="00104B57">
      <w:pPr>
        <w:pStyle w:val="Default"/>
        <w:rPr>
          <w:color w:val="auto"/>
          <w:lang w:val="lv-LV"/>
        </w:rPr>
      </w:pPr>
      <w:r w:rsidRPr="002A336E">
        <w:rPr>
          <w:color w:val="auto"/>
          <w:sz w:val="20"/>
          <w:szCs w:val="20"/>
          <w:lang w:val="lv-LV"/>
        </w:rPr>
        <w:t xml:space="preserve">                            </w:t>
      </w:r>
      <w:r w:rsidRPr="002A336E">
        <w:rPr>
          <w:color w:val="auto"/>
          <w:lang w:val="lv-LV"/>
        </w:rPr>
        <w:t>Dr. Ingrida Veiksa</w:t>
      </w:r>
    </w:p>
    <w:p w14:paraId="32BB618D" w14:textId="77777777" w:rsidR="00104B57" w:rsidRPr="002A336E" w:rsidRDefault="00104B57" w:rsidP="00104B57">
      <w:pPr>
        <w:pStyle w:val="Default"/>
        <w:rPr>
          <w:color w:val="auto"/>
          <w:lang w:val="lv-LV"/>
        </w:rPr>
      </w:pPr>
    </w:p>
    <w:p w14:paraId="599A2375" w14:textId="77777777" w:rsidR="00104B57" w:rsidRPr="002A336E" w:rsidRDefault="00104B57" w:rsidP="00104B57">
      <w:pPr>
        <w:pStyle w:val="Default"/>
        <w:rPr>
          <w:color w:val="auto"/>
          <w:lang w:val="lv-LV"/>
        </w:rPr>
      </w:pPr>
    </w:p>
    <w:p w14:paraId="094F130D" w14:textId="77777777" w:rsidR="00104B57" w:rsidRPr="002A336E" w:rsidRDefault="00104B57" w:rsidP="00104B57">
      <w:pPr>
        <w:pStyle w:val="Default"/>
        <w:rPr>
          <w:color w:val="auto"/>
          <w:lang w:val="lv-LV"/>
        </w:rPr>
      </w:pPr>
    </w:p>
    <w:p w14:paraId="27E3CBFD" w14:textId="77777777" w:rsidR="00871AC7" w:rsidRPr="002A336E" w:rsidRDefault="00871AC7" w:rsidP="00871AC7">
      <w:pPr>
        <w:pStyle w:val="Default"/>
        <w:jc w:val="both"/>
        <w:rPr>
          <w:lang w:val="lv-LV"/>
        </w:rPr>
      </w:pPr>
      <w:r w:rsidRPr="002A336E">
        <w:rPr>
          <w:lang w:val="lv-LV"/>
        </w:rPr>
        <w:t>Juridisko zinātņu doktora padomes sekretārs:</w:t>
      </w:r>
    </w:p>
    <w:p w14:paraId="3F032949" w14:textId="715C635F" w:rsidR="00104B57" w:rsidRPr="002A336E" w:rsidRDefault="00DE4DD3" w:rsidP="00104B57">
      <w:pPr>
        <w:pStyle w:val="Default"/>
        <w:jc w:val="both"/>
        <w:rPr>
          <w:color w:val="auto"/>
          <w:lang w:val="lv-LV"/>
        </w:rPr>
      </w:pPr>
      <w:r w:rsidRPr="002A336E">
        <w:rPr>
          <w:color w:val="auto"/>
          <w:lang w:val="lv-LV"/>
        </w:rPr>
        <w:t xml:space="preserve">                       Dr. Kristine Neimane</w:t>
      </w:r>
    </w:p>
    <w:p w14:paraId="7753BC8B" w14:textId="77777777" w:rsidR="00104B57" w:rsidRPr="002A336E" w:rsidRDefault="00104B57" w:rsidP="00104B57">
      <w:pPr>
        <w:pStyle w:val="Default"/>
        <w:jc w:val="right"/>
        <w:rPr>
          <w:b/>
          <w:bCs/>
          <w:color w:val="auto"/>
          <w:lang w:val="lv-LV"/>
        </w:rPr>
      </w:pPr>
    </w:p>
    <w:p w14:paraId="751520FA" w14:textId="77777777" w:rsidR="005970C9" w:rsidRPr="002A336E" w:rsidRDefault="005970C9" w:rsidP="00104B57">
      <w:pPr>
        <w:pStyle w:val="Default"/>
        <w:jc w:val="right"/>
        <w:rPr>
          <w:b/>
          <w:bCs/>
          <w:color w:val="auto"/>
          <w:lang w:val="lv-LV"/>
        </w:rPr>
      </w:pPr>
    </w:p>
    <w:p w14:paraId="60853006" w14:textId="77777777" w:rsidR="005970C9" w:rsidRPr="002A336E" w:rsidRDefault="005970C9" w:rsidP="00104B57">
      <w:pPr>
        <w:pStyle w:val="Default"/>
        <w:jc w:val="right"/>
        <w:rPr>
          <w:b/>
          <w:bCs/>
          <w:color w:val="auto"/>
          <w:lang w:val="lv-LV"/>
        </w:rPr>
      </w:pPr>
    </w:p>
    <w:p w14:paraId="0C122340" w14:textId="77777777" w:rsidR="001474A4" w:rsidRPr="002A336E" w:rsidRDefault="001474A4" w:rsidP="00104B57">
      <w:pPr>
        <w:pStyle w:val="Default"/>
        <w:jc w:val="right"/>
        <w:rPr>
          <w:b/>
          <w:bCs/>
          <w:color w:val="auto"/>
          <w:lang w:val="lv-LV"/>
        </w:rPr>
      </w:pPr>
    </w:p>
    <w:p w14:paraId="49D4C21B" w14:textId="77777777" w:rsidR="001474A4" w:rsidRPr="002A336E" w:rsidRDefault="001474A4" w:rsidP="00104B57">
      <w:pPr>
        <w:pStyle w:val="Default"/>
        <w:jc w:val="right"/>
        <w:rPr>
          <w:b/>
          <w:bCs/>
          <w:color w:val="auto"/>
          <w:lang w:val="lv-LV"/>
        </w:rPr>
      </w:pPr>
    </w:p>
    <w:p w14:paraId="6B9F6729" w14:textId="77777777" w:rsidR="005970C9" w:rsidRPr="002A336E" w:rsidRDefault="005970C9" w:rsidP="00104B57">
      <w:pPr>
        <w:pStyle w:val="Default"/>
        <w:jc w:val="right"/>
        <w:rPr>
          <w:b/>
          <w:bCs/>
          <w:color w:val="auto"/>
          <w:lang w:val="lv-LV"/>
        </w:rPr>
      </w:pPr>
    </w:p>
    <w:p w14:paraId="5C3CAE88" w14:textId="77777777" w:rsidR="005970C9" w:rsidRPr="002A336E" w:rsidRDefault="005970C9" w:rsidP="00104B57">
      <w:pPr>
        <w:pStyle w:val="Default"/>
        <w:jc w:val="right"/>
        <w:rPr>
          <w:b/>
          <w:bCs/>
          <w:color w:val="auto"/>
          <w:lang w:val="lv-LV"/>
        </w:rPr>
      </w:pPr>
    </w:p>
    <w:p w14:paraId="62751755" w14:textId="0C1AEB72" w:rsidR="00104B57" w:rsidRPr="002A336E" w:rsidRDefault="00104B57" w:rsidP="00104B57">
      <w:pPr>
        <w:pStyle w:val="Default"/>
        <w:jc w:val="right"/>
        <w:rPr>
          <w:color w:val="auto"/>
          <w:lang w:val="lv-LV"/>
        </w:rPr>
      </w:pPr>
      <w:r w:rsidRPr="002A336E">
        <w:rPr>
          <w:color w:val="auto"/>
          <w:lang w:val="lv-LV"/>
        </w:rPr>
        <w:t xml:space="preserve">© </w:t>
      </w:r>
      <w:r w:rsidR="00DE4DD3" w:rsidRPr="002A336E">
        <w:rPr>
          <w:color w:val="auto"/>
          <w:lang w:val="lv-LV"/>
        </w:rPr>
        <w:t>Olegas</w:t>
      </w:r>
      <w:r w:rsidRPr="002A336E">
        <w:rPr>
          <w:color w:val="auto"/>
          <w:lang w:val="lv-LV"/>
        </w:rPr>
        <w:t xml:space="preserve">, </w:t>
      </w:r>
      <w:r w:rsidR="00DE4DD3" w:rsidRPr="002A336E">
        <w:rPr>
          <w:color w:val="auto"/>
          <w:lang w:val="lv-LV"/>
        </w:rPr>
        <w:t>Beriozovas</w:t>
      </w:r>
      <w:r w:rsidRPr="002A336E">
        <w:rPr>
          <w:color w:val="auto"/>
          <w:lang w:val="lv-LV"/>
        </w:rPr>
        <w:t>, 2026</w:t>
      </w:r>
    </w:p>
    <w:p w14:paraId="4FFEE7F0" w14:textId="3141CBDC" w:rsidR="00DE4DD3" w:rsidRPr="002A336E" w:rsidRDefault="00104B57" w:rsidP="001474A4">
      <w:pPr>
        <w:pStyle w:val="Default"/>
        <w:jc w:val="right"/>
        <w:rPr>
          <w:bCs/>
          <w:color w:val="auto"/>
          <w:lang w:val="lv-LV"/>
        </w:rPr>
      </w:pPr>
      <w:r w:rsidRPr="002A336E">
        <w:rPr>
          <w:b/>
          <w:color w:val="auto"/>
          <w:lang w:val="lv-LV"/>
        </w:rPr>
        <w:t xml:space="preserve">© </w:t>
      </w:r>
      <w:r w:rsidRPr="002A336E">
        <w:rPr>
          <w:bCs/>
          <w:color w:val="auto"/>
          <w:lang w:val="lv-LV"/>
        </w:rPr>
        <w:t>Turiba University, 202</w:t>
      </w:r>
      <w:r w:rsidR="001474A4" w:rsidRPr="002A336E">
        <w:rPr>
          <w:bCs/>
          <w:color w:val="auto"/>
          <w:lang w:val="lv-LV"/>
        </w:rPr>
        <w:t>6</w:t>
      </w:r>
    </w:p>
    <w:p w14:paraId="136A0B20" w14:textId="77777777" w:rsidR="00DE4DD3" w:rsidRPr="002A336E" w:rsidRDefault="00DE4DD3" w:rsidP="00104B57">
      <w:pPr>
        <w:pStyle w:val="Default"/>
        <w:jc w:val="right"/>
        <w:rPr>
          <w:bCs/>
          <w:color w:val="auto"/>
          <w:lang w:val="lv-LV"/>
        </w:rPr>
      </w:pPr>
    </w:p>
    <w:p w14:paraId="4DF07FCA" w14:textId="77777777" w:rsidR="00D627B7" w:rsidRPr="002A336E" w:rsidRDefault="00D627B7" w:rsidP="00D627B7">
      <w:pPr>
        <w:pStyle w:val="Default"/>
        <w:jc w:val="both"/>
        <w:rPr>
          <w:b/>
          <w:bCs/>
          <w:sz w:val="28"/>
          <w:szCs w:val="28"/>
          <w:lang w:val="lv-LV"/>
        </w:rPr>
      </w:pPr>
      <w:r w:rsidRPr="002A336E">
        <w:rPr>
          <w:b/>
          <w:bCs/>
          <w:sz w:val="28"/>
          <w:szCs w:val="28"/>
          <w:lang w:val="lv-LV"/>
        </w:rPr>
        <w:t>IEVADS</w:t>
      </w:r>
    </w:p>
    <w:p w14:paraId="4B1D5F29" w14:textId="77777777" w:rsidR="005D4423" w:rsidRPr="002A336E" w:rsidRDefault="005D4423" w:rsidP="00E83EEB">
      <w:pPr>
        <w:pStyle w:val="Default"/>
        <w:jc w:val="both"/>
        <w:rPr>
          <w:b/>
          <w:bCs/>
          <w:color w:val="auto"/>
          <w:sz w:val="28"/>
          <w:szCs w:val="28"/>
          <w:lang w:val="lv-LV"/>
        </w:rPr>
      </w:pPr>
    </w:p>
    <w:p w14:paraId="37E512BC" w14:textId="77777777" w:rsidR="002A336E" w:rsidRPr="002A336E" w:rsidRDefault="002A336E" w:rsidP="002A336E">
      <w:pPr>
        <w:pStyle w:val="Default"/>
        <w:spacing w:line="360" w:lineRule="auto"/>
        <w:jc w:val="both"/>
        <w:rPr>
          <w:b/>
          <w:bCs/>
          <w:lang w:val="lv-LV"/>
        </w:rPr>
      </w:pPr>
      <w:r w:rsidRPr="002A336E">
        <w:rPr>
          <w:b/>
          <w:bCs/>
          <w:lang w:val="lv-LV"/>
        </w:rPr>
        <w:t>Tēmas aktualitāte</w:t>
      </w:r>
    </w:p>
    <w:p w14:paraId="6A0C8738" w14:textId="7344DE7C"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Eitanāzija, kas definēta kā apzināta dzīvības izbeigšana, lai mazinātu ciešanas, joprojām ir pretrunīgi vērtēts juridisks, ētisks un filozofisks jautājums. Tās regulējums dažādās jurisdikcijās atšķiras, jo nepastāv vienota starptautiska definīcija. Kamēr dažas valstis to atļauj stingri noteiktos apstākļos, citas to klasificē kā noziedzīgu nodarījumu.</w:t>
      </w:r>
    </w:p>
    <w:p w14:paraId="7DAC4FC6" w14:textId="5B3305A6"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Lietuvā eitanāzija nav juridiski atzīta un tiek uzskatīta par kriminālnoziegumu. Lai gan pacientiem ir tiesības atteikties no ārstēšanas, tas rada juridisku robežu starp pieļaujamiem pasīviem lēmumiem un aizliegtu aktīvo eitanāziju. Diskusiju papildus ietekmē ētiskie apsvērumi, sabiedrības vērtības un paliatīvās aprūpes kvalitāte.</w:t>
      </w:r>
    </w:p>
    <w:p w14:paraId="21671C4E" w14:textId="601AFB0F"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Zinātniskajā diskursā tiek uzsvērta spriedze starp indivīda autonomiju un dzīvības aizsardzību. Daži autori uzskata, ka eitanāzija var būt ētiski pamatota, ja tiek nodrošināti stingri drošības mehānismi, savukārt citi akcentē riskus, piemēram, ļaunprātīgu izmantošanu un medicīniskās ētikas degradāciju. Vēsturiskie, kultūras un reliģiskie aspekti turpina ietekmēt attieksmi pret eitanāziju, padarot to par vienu no sarežģītākajiem mūsdienu juridiskajiem jautājumiem.</w:t>
      </w:r>
    </w:p>
    <w:p w14:paraId="0BB5B31B" w14:textId="77777777" w:rsidR="002A336E" w:rsidRPr="002A336E" w:rsidRDefault="002A336E" w:rsidP="002A336E">
      <w:pPr>
        <w:pStyle w:val="Default"/>
        <w:spacing w:line="360" w:lineRule="auto"/>
        <w:jc w:val="both"/>
        <w:rPr>
          <w:b/>
          <w:bCs/>
          <w:lang w:val="lv-LV"/>
        </w:rPr>
      </w:pPr>
      <w:r w:rsidRPr="002A336E">
        <w:rPr>
          <w:b/>
          <w:bCs/>
          <w:lang w:val="lv-LV"/>
        </w:rPr>
        <w:t>Disertācijā formulētā problemātiskā situācija</w:t>
      </w:r>
    </w:p>
    <w:p w14:paraId="54A4D352" w14:textId="7AED670B"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Lietuvā eitanāzija rada būtiskus juridiskus un ētiskus izaicinājumus, jo tā konfliktē ar konstitucionālo cilvēka dzīvības aizsardzību un krimināltiesību normām. Aktīvā eitanāzija ir aizliegta, taču pacientiem ir tiesības atteikties no ārstēšanas, kas rada “pelēko zonu” dzīves beigu lēmumos.</w:t>
      </w:r>
    </w:p>
    <w:p w14:paraId="42EB1A2A" w14:textId="7EA9AD3E"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Turklāt paliatīvās aprūpes attīstība un pieejamība rada jautājumus par to, vai tiek nodrošinātas pietiekamas alternatīvas eitanāzijai. Spriedze starp tradicionālajām ētiskajām vērtībām un pieaugošo uzsvaru uz individuālo autonomiju vēl vairāk sarežģī šo jautājumu. Tādējādi Lietuva saglabā konservatīvu juridisko pozīciju, prioritizējot dzīvības aizsardzību, vienlaikus praktiskā realitāte atklāj neatrisinātas juridiskas un ētiskas dilemmas.</w:t>
      </w:r>
    </w:p>
    <w:p w14:paraId="5057A64E" w14:textId="77777777" w:rsidR="002A336E" w:rsidRPr="002A336E" w:rsidRDefault="002A336E" w:rsidP="002A336E">
      <w:pPr>
        <w:pStyle w:val="Default"/>
        <w:spacing w:line="360" w:lineRule="auto"/>
        <w:jc w:val="both"/>
        <w:rPr>
          <w:b/>
          <w:bCs/>
          <w:lang w:val="lv-LV"/>
        </w:rPr>
      </w:pPr>
      <w:r w:rsidRPr="002A336E">
        <w:rPr>
          <w:b/>
          <w:bCs/>
          <w:lang w:val="lv-LV"/>
        </w:rPr>
        <w:t>Promocijas darba zinātniskā novitāte</w:t>
      </w:r>
    </w:p>
    <w:p w14:paraId="4D93F180" w14:textId="3C00BCDD"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Disertācija sniedz visaptverošu eitanāzijas analīzi, integrējot starptautisko, salīdzinošo un nacionālo tiesību perspektīvu. Tā pārsniedz normatīvo analīzi, kritiski izvērtējot eitanāzijas regulējuma praktisko īstenošanu un identificējot galvenos juridiskos izaicinājumus.</w:t>
      </w:r>
    </w:p>
    <w:p w14:paraId="290D5040" w14:textId="71D4F1AF"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 xml:space="preserve">Pētījums izstrādā kritērijus individuālo tiesību un sabiedrības interešu līdzsvarošanai, uzsverot ļaunprātīgas izmantošanas novēršanu un juridisko skaidrību. Tāpat tiek ieviesta starpdisciplināra pieeja, analizējot eitanāzijas regulējuma ietekmi uz veselības aprūpes sistēmu. Turklāt disertācijā tiek </w:t>
      </w:r>
      <w:r w:rsidR="002A336E" w:rsidRPr="002A336E">
        <w:rPr>
          <w:lang w:val="lv-LV"/>
        </w:rPr>
        <w:lastRenderedPageBreak/>
        <w:t>formulētas konceptuālas vadlīnijas iespējamai eitanāzijas ieviešanai Lietuvā, sniedzot ieguldījumu gan juridiskajā zinātnē, gan praktiskajā politikas veidošanā.</w:t>
      </w:r>
    </w:p>
    <w:p w14:paraId="7ECC8103" w14:textId="77777777" w:rsidR="002A336E" w:rsidRPr="002A336E" w:rsidRDefault="002A336E" w:rsidP="002A336E">
      <w:pPr>
        <w:pStyle w:val="Default"/>
        <w:spacing w:line="360" w:lineRule="auto"/>
        <w:jc w:val="both"/>
        <w:rPr>
          <w:b/>
          <w:bCs/>
          <w:lang w:val="lv-LV"/>
        </w:rPr>
      </w:pPr>
      <w:r w:rsidRPr="002A336E">
        <w:rPr>
          <w:b/>
          <w:bCs/>
          <w:lang w:val="lv-LV"/>
        </w:rPr>
        <w:t>Promocijas darba praktiskā nozīme</w:t>
      </w:r>
    </w:p>
    <w:p w14:paraId="067E4129" w14:textId="13CDD3BB"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Disertācijas rezultātus var izmantot likumdošanas praksē un tiesību interpretācijā. Piedāvātie ieteikumi ir vērsti uz eitanāzijas regulējuma skaidrības un konsekvences uzlabošanu, ņemot vērā starptautisko pieredzi un nacionālās īpatnības.</w:t>
      </w:r>
    </w:p>
    <w:p w14:paraId="0BB148B9" w14:textId="26826C50" w:rsidR="002A336E" w:rsidRPr="002A336E" w:rsidRDefault="00AE0E83" w:rsidP="002A336E">
      <w:pPr>
        <w:pStyle w:val="Default"/>
        <w:spacing w:line="360" w:lineRule="auto"/>
        <w:jc w:val="both"/>
        <w:rPr>
          <w:lang w:val="lv-LV"/>
        </w:rPr>
      </w:pPr>
      <w:r>
        <w:rPr>
          <w:lang w:val="lv-LV"/>
        </w:rPr>
        <w:t xml:space="preserve">      </w:t>
      </w:r>
      <w:r w:rsidR="002A336E" w:rsidRPr="002A336E">
        <w:rPr>
          <w:lang w:val="lv-LV"/>
        </w:rPr>
        <w:t>Pētījums ir nozīmīgs likumdevējiem, tiesām un veselības aprūpes speciālistiem, jo tas palīdz identificēt juridiskos konfliktus, praktiskos izaicinājumus un ļaunprātīgas izmantošanas riskus. Tas arī veicina labāku izpratni par ētiskajām dilemām medicīnas praksē un atbalsta informētāku lēmumu pieņemšanu. Turklāt disertācija var kalpot kā akadēmisks materiāls turpmākiem pētījumiem tiesībās, bioētikā un cilvēktiesībās.</w:t>
      </w:r>
    </w:p>
    <w:p w14:paraId="2B3F8600" w14:textId="77777777" w:rsidR="002A336E" w:rsidRPr="002A336E" w:rsidRDefault="002A336E" w:rsidP="002A336E">
      <w:pPr>
        <w:pStyle w:val="Default"/>
        <w:spacing w:line="360" w:lineRule="auto"/>
        <w:jc w:val="both"/>
        <w:rPr>
          <w:b/>
          <w:bCs/>
          <w:lang w:val="lv-LV"/>
        </w:rPr>
      </w:pPr>
      <w:r w:rsidRPr="002A336E">
        <w:rPr>
          <w:b/>
          <w:bCs/>
          <w:lang w:val="lv-LV"/>
        </w:rPr>
        <w:t>Pētījuma priekšmets</w:t>
      </w:r>
    </w:p>
    <w:p w14:paraId="272D6AB5" w14:textId="30076F74"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Pētījuma priekšmets ir juridiskie izaicinājumi un šķēršļi, kas saistīti ar tiesību uz asistētu nāvi (eitanāziju) īstenošanu, īpašu uzmanību pievēršot Lietuvas tiesību sistēmai salīdzinošā un starptautiskā kontekstā.</w:t>
      </w:r>
    </w:p>
    <w:p w14:paraId="14637347" w14:textId="77777777" w:rsidR="002A336E" w:rsidRPr="002A336E" w:rsidRDefault="002A336E" w:rsidP="002A336E">
      <w:pPr>
        <w:pStyle w:val="Default"/>
        <w:spacing w:line="360" w:lineRule="auto"/>
        <w:jc w:val="both"/>
        <w:rPr>
          <w:b/>
          <w:bCs/>
          <w:lang w:val="lv-LV"/>
        </w:rPr>
      </w:pPr>
      <w:r w:rsidRPr="002A336E">
        <w:rPr>
          <w:b/>
          <w:bCs/>
          <w:lang w:val="lv-LV"/>
        </w:rPr>
        <w:t>Pētījuma mērķis</w:t>
      </w:r>
    </w:p>
    <w:p w14:paraId="280FE55B" w14:textId="7EA70140"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Pētījuma mērķis ir analizēt eitanāzijas juridisko regulējumu starptautiskajās tiesībās, izvērtēt dažādus regulēšanas modeļus un noteikt šī institūta ieviešanas iespējas un robežas Lietuvā.</w:t>
      </w:r>
    </w:p>
    <w:p w14:paraId="04DE9F11" w14:textId="77777777" w:rsidR="002A336E" w:rsidRPr="002A336E" w:rsidRDefault="002A336E" w:rsidP="002A336E">
      <w:pPr>
        <w:pStyle w:val="Default"/>
        <w:spacing w:line="360" w:lineRule="auto"/>
        <w:jc w:val="both"/>
        <w:rPr>
          <w:b/>
          <w:bCs/>
          <w:lang w:val="lv-LV"/>
        </w:rPr>
      </w:pPr>
      <w:r w:rsidRPr="002A336E">
        <w:rPr>
          <w:b/>
          <w:bCs/>
          <w:lang w:val="lv-LV"/>
        </w:rPr>
        <w:t>Pētījuma uzdevumi</w:t>
      </w:r>
    </w:p>
    <w:p w14:paraId="6B88FBD5" w14:textId="77777777" w:rsidR="002A336E" w:rsidRPr="002A336E" w:rsidRDefault="002A336E" w:rsidP="002A336E">
      <w:pPr>
        <w:pStyle w:val="Default"/>
        <w:numPr>
          <w:ilvl w:val="0"/>
          <w:numId w:val="9"/>
        </w:numPr>
        <w:spacing w:line="360" w:lineRule="auto"/>
        <w:jc w:val="both"/>
        <w:rPr>
          <w:lang w:val="lv-LV"/>
        </w:rPr>
      </w:pPr>
      <w:r w:rsidRPr="002A336E">
        <w:rPr>
          <w:lang w:val="lv-LV"/>
        </w:rPr>
        <w:t xml:space="preserve">Definēt eitanāzijas jēdzienu. </w:t>
      </w:r>
    </w:p>
    <w:p w14:paraId="0131FE1D" w14:textId="77777777" w:rsidR="002A336E" w:rsidRPr="002A336E" w:rsidRDefault="002A336E" w:rsidP="002A336E">
      <w:pPr>
        <w:pStyle w:val="Default"/>
        <w:numPr>
          <w:ilvl w:val="0"/>
          <w:numId w:val="9"/>
        </w:numPr>
        <w:spacing w:line="360" w:lineRule="auto"/>
        <w:jc w:val="both"/>
        <w:rPr>
          <w:lang w:val="lv-LV"/>
        </w:rPr>
      </w:pPr>
      <w:r w:rsidRPr="002A336E">
        <w:rPr>
          <w:lang w:val="lv-LV"/>
        </w:rPr>
        <w:t xml:space="preserve">Izpētīt nacionālos un starptautiskos tiesību aktus, kas regulē eitanāziju. </w:t>
      </w:r>
    </w:p>
    <w:p w14:paraId="75EE4904" w14:textId="77777777" w:rsidR="002A336E" w:rsidRPr="002A336E" w:rsidRDefault="002A336E" w:rsidP="002A336E">
      <w:pPr>
        <w:pStyle w:val="Default"/>
        <w:numPr>
          <w:ilvl w:val="0"/>
          <w:numId w:val="9"/>
        </w:numPr>
        <w:spacing w:line="360" w:lineRule="auto"/>
        <w:jc w:val="both"/>
        <w:rPr>
          <w:lang w:val="lv-LV"/>
        </w:rPr>
      </w:pPr>
      <w:r w:rsidRPr="002A336E">
        <w:rPr>
          <w:lang w:val="lv-LV"/>
        </w:rPr>
        <w:t xml:space="preserve">Analizēt tiesu praksi un identificēt regulējuma problēmas. </w:t>
      </w:r>
    </w:p>
    <w:p w14:paraId="6EBA90E3" w14:textId="1FDBE805" w:rsidR="002A336E" w:rsidRPr="002A336E" w:rsidRDefault="002A336E" w:rsidP="002A336E">
      <w:pPr>
        <w:pStyle w:val="Default"/>
        <w:numPr>
          <w:ilvl w:val="0"/>
          <w:numId w:val="9"/>
        </w:numPr>
        <w:spacing w:line="360" w:lineRule="auto"/>
        <w:jc w:val="both"/>
        <w:rPr>
          <w:lang w:val="lv-LV"/>
        </w:rPr>
      </w:pPr>
      <w:r w:rsidRPr="002A336E">
        <w:rPr>
          <w:lang w:val="lv-LV"/>
        </w:rPr>
        <w:t xml:space="preserve">Ierosināt juridiskā regulējuma uzlabojumus. </w:t>
      </w:r>
    </w:p>
    <w:p w14:paraId="0655416A" w14:textId="77777777" w:rsidR="002A336E" w:rsidRPr="002A336E" w:rsidRDefault="002A336E" w:rsidP="002A336E">
      <w:pPr>
        <w:pStyle w:val="Default"/>
        <w:spacing w:line="360" w:lineRule="auto"/>
        <w:jc w:val="both"/>
        <w:rPr>
          <w:b/>
          <w:bCs/>
          <w:lang w:val="lv-LV"/>
        </w:rPr>
      </w:pPr>
      <w:r w:rsidRPr="002A336E">
        <w:rPr>
          <w:b/>
          <w:bCs/>
          <w:lang w:val="lv-LV"/>
        </w:rPr>
        <w:t>Pētījuma metodes</w:t>
      </w:r>
    </w:p>
    <w:p w14:paraId="0FBB372F" w14:textId="29A81DCE"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Pētījumā tiek izmantotas gan empīriskās, gan teorētiskās metodes. Dokumentu analīze tiek izmantota tiesību aktu, judikatūras un zinātniskās literatūras izpētei. Sistemātiskā analīze palīdz novērtēt tiesību normu saskaņotību, savukārt salīdzinošā analīze ļauj izvērtēt dažādas tiesību sistēmas.</w:t>
      </w:r>
    </w:p>
    <w:p w14:paraId="79DECA9B" w14:textId="547FD200" w:rsidR="002A336E" w:rsidRPr="002A336E" w:rsidRDefault="002A336E" w:rsidP="002A336E">
      <w:pPr>
        <w:pStyle w:val="Default"/>
        <w:spacing w:line="360" w:lineRule="auto"/>
        <w:jc w:val="both"/>
        <w:rPr>
          <w:lang w:val="lv-LV"/>
        </w:rPr>
      </w:pPr>
      <w:r w:rsidRPr="002A336E">
        <w:rPr>
          <w:lang w:val="lv-LV"/>
        </w:rPr>
        <w:t>Tiek izmantotas loģiski analītiskās un problēmu analīzes metodes, lai interpretētu tiesību normas un identificētu regulējuma nepilnības. Papildus kvalitatīvais pētījums (pusstrukturētas intervijas) sniedz ieskatu praktiskajos izaicinājumos. Tiek izmantota arī datorizēta tematiskā analīze, lai identificētu galvenos modeļus juridiskajā un ētiskajā diskursā.</w:t>
      </w:r>
    </w:p>
    <w:p w14:paraId="730FA5E0" w14:textId="77777777" w:rsidR="002A336E" w:rsidRPr="002A336E" w:rsidRDefault="002A336E" w:rsidP="002A336E">
      <w:pPr>
        <w:pStyle w:val="Default"/>
        <w:spacing w:line="360" w:lineRule="auto"/>
        <w:jc w:val="both"/>
        <w:rPr>
          <w:b/>
          <w:bCs/>
          <w:lang w:val="lv-LV"/>
        </w:rPr>
      </w:pPr>
      <w:r w:rsidRPr="002A336E">
        <w:rPr>
          <w:b/>
          <w:bCs/>
          <w:lang w:val="lv-LV"/>
        </w:rPr>
        <w:t>Hipotēze</w:t>
      </w:r>
    </w:p>
    <w:p w14:paraId="60C1DB23" w14:textId="2332E47D"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Disertācijas hipotēze paredz, ka eitanāzijas ieviešanu Lietuvā ierobežo skaidra juridiskā regulējuma trūkums un dominējošā konstitucionālā doktrīna par cilvēka dzīvības aizsardzību.</w:t>
      </w:r>
    </w:p>
    <w:p w14:paraId="0800AB61" w14:textId="77777777" w:rsidR="002A336E" w:rsidRPr="002A336E" w:rsidRDefault="002A336E" w:rsidP="002A336E">
      <w:pPr>
        <w:pStyle w:val="Default"/>
        <w:spacing w:line="360" w:lineRule="auto"/>
        <w:jc w:val="both"/>
        <w:rPr>
          <w:b/>
          <w:bCs/>
          <w:lang w:val="lv-LV"/>
        </w:rPr>
      </w:pPr>
      <w:r w:rsidRPr="002A336E">
        <w:rPr>
          <w:b/>
          <w:bCs/>
          <w:lang w:val="lv-LV"/>
        </w:rPr>
        <w:lastRenderedPageBreak/>
        <w:t>Pētījuma rezultātu aprobācija</w:t>
      </w:r>
    </w:p>
    <w:p w14:paraId="5B0509CA" w14:textId="3CCF01C1"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Disertācijas rezultāti ir publicēti recenzētos zinātniskos rakstos un prezentēti starptautiskās konferencēs dažādās valstīs. Tas nodrošināja akadēmisku validāciju un ļāva veikt kritisku izvērtējumu dažādos juridiskos un kultūras kontekstos.</w:t>
      </w:r>
    </w:p>
    <w:p w14:paraId="6B556BB6" w14:textId="77777777" w:rsidR="002A336E" w:rsidRPr="002A336E" w:rsidRDefault="002A336E" w:rsidP="002A336E">
      <w:pPr>
        <w:pStyle w:val="Default"/>
        <w:spacing w:line="360" w:lineRule="auto"/>
        <w:jc w:val="both"/>
        <w:rPr>
          <w:b/>
          <w:bCs/>
          <w:lang w:val="lv-LV"/>
        </w:rPr>
      </w:pPr>
      <w:r w:rsidRPr="002A336E">
        <w:rPr>
          <w:b/>
          <w:bCs/>
          <w:lang w:val="lv-LV"/>
        </w:rPr>
        <w:t>Disertācijas struktūra</w:t>
      </w:r>
    </w:p>
    <w:p w14:paraId="47122372" w14:textId="0B907CC4"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Disertācija sastāv no ievada, trim galvenajām nodaļām un secinājumiem ar ieteikumiem.</w:t>
      </w:r>
    </w:p>
    <w:p w14:paraId="1DE6AFD9" w14:textId="4D84BC62" w:rsidR="002A336E" w:rsidRPr="002A336E" w:rsidRDefault="005E1255" w:rsidP="002A336E">
      <w:pPr>
        <w:pStyle w:val="Default"/>
        <w:spacing w:line="360" w:lineRule="auto"/>
        <w:jc w:val="both"/>
        <w:rPr>
          <w:lang w:val="lv-LV"/>
        </w:rPr>
      </w:pPr>
      <w:r>
        <w:rPr>
          <w:lang w:val="lv-LV"/>
        </w:rPr>
        <w:t xml:space="preserve">       </w:t>
      </w:r>
      <w:r w:rsidR="002A336E" w:rsidRPr="002A336E">
        <w:rPr>
          <w:lang w:val="lv-LV"/>
        </w:rPr>
        <w:t>Pirmajā nodaļā tiek analizēts eitanāzijas jēdziens, vēsture un ētiskie aspekti. Otrajā nodaļā tiek analizēts tās juridiskais regulējums nacionālajā un starptautiskajā līmenī. Trešajā nodaļā tiek prezentēts empīriskais pētījums un tā rezultāti.</w:t>
      </w:r>
    </w:p>
    <w:p w14:paraId="7E79880A" w14:textId="04C00AB4" w:rsidR="0049004C" w:rsidRPr="002A336E" w:rsidRDefault="005E1255" w:rsidP="0049004C">
      <w:pPr>
        <w:pStyle w:val="Default"/>
        <w:spacing w:line="360" w:lineRule="auto"/>
        <w:jc w:val="both"/>
        <w:rPr>
          <w:lang w:val="lv-LV"/>
        </w:rPr>
      </w:pPr>
      <w:r>
        <w:rPr>
          <w:lang w:val="lv-LV"/>
        </w:rPr>
        <w:t xml:space="preserve">       </w:t>
      </w:r>
      <w:r w:rsidR="002A336E" w:rsidRPr="002A336E">
        <w:rPr>
          <w:lang w:val="lv-LV"/>
        </w:rPr>
        <w:t>Disertācija noslēdzas ar rezultātu kopsavilkumu un priekšlikumiem eitanāzijas regulējuma uzlabošanai atbilstoši cilvēktiesībām un ētikas standartiem.</w:t>
      </w:r>
    </w:p>
    <w:p w14:paraId="02B9A8B2" w14:textId="77777777" w:rsidR="0049004C" w:rsidRPr="002A336E" w:rsidRDefault="0049004C" w:rsidP="0049004C">
      <w:pPr>
        <w:pStyle w:val="Default"/>
        <w:spacing w:line="360" w:lineRule="auto"/>
        <w:jc w:val="both"/>
        <w:rPr>
          <w:lang w:val="lv-LV"/>
        </w:rPr>
      </w:pPr>
    </w:p>
    <w:p w14:paraId="7E47BC2A" w14:textId="37BE08E0" w:rsidR="00FA0744" w:rsidRPr="002A336E" w:rsidRDefault="006330F6" w:rsidP="0049004C">
      <w:pPr>
        <w:pStyle w:val="Default"/>
        <w:spacing w:line="360" w:lineRule="auto"/>
        <w:jc w:val="both"/>
        <w:rPr>
          <w:b/>
          <w:bCs/>
          <w:lang w:val="lv-LV"/>
        </w:rPr>
      </w:pPr>
      <w:r w:rsidRPr="002A336E">
        <w:rPr>
          <w:b/>
          <w:bCs/>
          <w:lang w:val="lv-LV"/>
        </w:rPr>
        <w:t>DARBA SATURS</w:t>
      </w:r>
    </w:p>
    <w:p w14:paraId="691B7217" w14:textId="6AF434ED" w:rsidR="00550DFF" w:rsidRPr="002A336E" w:rsidRDefault="00550DFF" w:rsidP="00CD6FF8">
      <w:pPr>
        <w:pStyle w:val="prastasiniatinklio"/>
        <w:numPr>
          <w:ilvl w:val="0"/>
          <w:numId w:val="7"/>
        </w:numPr>
        <w:spacing w:line="360" w:lineRule="auto"/>
        <w:jc w:val="both"/>
        <w:rPr>
          <w:b/>
          <w:bCs/>
          <w:color w:val="000000"/>
          <w:lang w:val="lv-LV" w:bidi="en-GB"/>
        </w:rPr>
      </w:pPr>
      <w:r w:rsidRPr="002A336E">
        <w:rPr>
          <w:b/>
          <w:bCs/>
          <w:color w:val="000000"/>
          <w:lang w:val="lv-LV" w:bidi="en-GB"/>
        </w:rPr>
        <w:t>EITANĀZIJAS INSTITŪTA TEORĒTISKAIS PAMATOJUMS STARPTAUTISKO TIESĪBU KONTEKSTĀ</w:t>
      </w:r>
    </w:p>
    <w:p w14:paraId="3A07A2FE" w14:textId="63048F44" w:rsidR="00CD6FF8" w:rsidRPr="00CD6FF8" w:rsidRDefault="005E1255" w:rsidP="00FD4C3E">
      <w:pPr>
        <w:pStyle w:val="prastasiniatinklio"/>
        <w:spacing w:before="0" w:beforeAutospacing="0" w:after="0" w:afterAutospacing="0" w:line="360" w:lineRule="auto"/>
        <w:jc w:val="both"/>
        <w:rPr>
          <w:lang w:val="lv-LV"/>
        </w:rPr>
      </w:pPr>
      <w:r>
        <w:rPr>
          <w:lang w:val="lv-LV"/>
        </w:rPr>
        <w:t xml:space="preserve">      </w:t>
      </w:r>
      <w:r w:rsidR="00CD6FF8" w:rsidRPr="00CD6FF8">
        <w:rPr>
          <w:lang w:val="lv-LV"/>
        </w:rPr>
        <w:t>Šajā nodaļā tiek analizēts eitanāzijas juridiskais regulējums gan nacionālajā, gan starptautiskajā līmenī, īpašu uzmanību pievēršot tam, kā dažādas tiesību sistēmas pieiet tās ieviešanai un kādi galvenie izaicinājumi rodas praksē. Tiek analizēti nacionālie tiesību akti, starptautiskie cilvēktiesību instrumenti un salīdzinošie tiesību modeļi, uzsverot regulējuma sistēmu daudzveidību un nekonsekvenci.</w:t>
      </w:r>
    </w:p>
    <w:p w14:paraId="5204BB1F" w14:textId="4824AD5A" w:rsidR="00CD6FF8" w:rsidRPr="00CD6FF8" w:rsidRDefault="005E1255" w:rsidP="00FD4C3E">
      <w:pPr>
        <w:pStyle w:val="prastasiniatinklio"/>
        <w:spacing w:before="0" w:beforeAutospacing="0" w:after="0" w:afterAutospacing="0" w:line="360" w:lineRule="auto"/>
        <w:jc w:val="both"/>
        <w:rPr>
          <w:lang w:val="lv-LV"/>
        </w:rPr>
      </w:pPr>
      <w:r>
        <w:rPr>
          <w:lang w:val="lv-LV"/>
        </w:rPr>
        <w:t xml:space="preserve">      </w:t>
      </w:r>
      <w:r w:rsidR="00CD6FF8" w:rsidRPr="00CD6FF8">
        <w:rPr>
          <w:lang w:val="lv-LV"/>
        </w:rPr>
        <w:t>Pētījums atklāj, ka starptautiskās tiesības nenodrošina vienotu eitanāzijas regulējumu, bet nosaka vispārīgus cilvēktiesību principus, piemēram, tiesības uz dzīvību, cilvēka cieņu un aizsardzību pret necilvēcīgu izturēšanos. Šie principi dažādās jurisdikcijās tiek interpretēti atšķirīgi, kas noved pie dažādām nacionālajām pieejām – no stingra aizlieguma līdz nosacītai legalizācijai.</w:t>
      </w:r>
    </w:p>
    <w:p w14:paraId="1A8B6DBB" w14:textId="1CB96CE1" w:rsidR="00CD6FF8" w:rsidRPr="00CD6FF8" w:rsidRDefault="005E1255" w:rsidP="00FD4C3E">
      <w:pPr>
        <w:pStyle w:val="prastasiniatinklio"/>
        <w:spacing w:before="0" w:beforeAutospacing="0" w:after="0" w:afterAutospacing="0" w:line="360" w:lineRule="auto"/>
        <w:jc w:val="both"/>
        <w:rPr>
          <w:lang w:val="lv-LV"/>
        </w:rPr>
      </w:pPr>
      <w:r>
        <w:rPr>
          <w:lang w:val="lv-LV"/>
        </w:rPr>
        <w:t xml:space="preserve">      </w:t>
      </w:r>
      <w:r w:rsidR="00CD6FF8" w:rsidRPr="00CD6FF8">
        <w:rPr>
          <w:lang w:val="lv-LV"/>
        </w:rPr>
        <w:t>Salīdzinošā analīze par Eiropas Savienības un ārpus tās esošajām valstīm parāda, ka valstis, kurās eitanāzija ir atļauta, ir izstrādājušas stingrus procedurālos aizsardzības mehānismus, tostarp informētu piekrišanu, medicīnisko izvērtējumu un institucionālo uzraudzību. Tomēr nodaļā tiek identificēti arī būtiski praktiski izaicinājumi, piemēram, nepietiekami kontroles mehānismi, regulējuma piemērošanas nekonsekvence un kritēriju paplašināšana, kas rada bažas par neaizsargātu personu aizsardzību.</w:t>
      </w:r>
    </w:p>
    <w:p w14:paraId="71FD4DC3" w14:textId="047EA5E1" w:rsidR="00CD6FF8" w:rsidRPr="00CD6FF8" w:rsidRDefault="005E1255" w:rsidP="00FD4C3E">
      <w:pPr>
        <w:pStyle w:val="prastasiniatinklio"/>
        <w:spacing w:before="0" w:beforeAutospacing="0" w:after="0" w:afterAutospacing="0" w:line="360" w:lineRule="auto"/>
        <w:jc w:val="both"/>
        <w:rPr>
          <w:lang w:val="lv-LV"/>
        </w:rPr>
      </w:pPr>
      <w:r>
        <w:rPr>
          <w:lang w:val="lv-LV"/>
        </w:rPr>
        <w:t xml:space="preserve">      </w:t>
      </w:r>
      <w:r w:rsidR="00CD6FF8" w:rsidRPr="00CD6FF8">
        <w:rPr>
          <w:lang w:val="lv-LV"/>
        </w:rPr>
        <w:t>Nodaļā tiek aplūkoti arī gadījumi, kad tiesības uz eitanāziju tiek ierobežotas vai liegtas, uzsverot šādu ierobežojumu juridisko un ētisko pamatojumu. Tiek izcelta spriedze starp indivīda autonomiju un valsts pienākumu aizsargāt dzīvību, kas joprojām ir centrālais jautājums juridiskajā regulējumā.</w:t>
      </w:r>
    </w:p>
    <w:p w14:paraId="1D9D1FD6" w14:textId="5FE3D6D4" w:rsidR="00CD6FF8" w:rsidRPr="00CD6FF8" w:rsidRDefault="005E1255" w:rsidP="00FD4C3E">
      <w:pPr>
        <w:pStyle w:val="prastasiniatinklio"/>
        <w:spacing w:before="0" w:beforeAutospacing="0" w:after="0" w:afterAutospacing="0" w:line="360" w:lineRule="auto"/>
        <w:jc w:val="both"/>
        <w:rPr>
          <w:lang w:val="lv-LV"/>
        </w:rPr>
      </w:pPr>
      <w:r>
        <w:rPr>
          <w:lang w:val="lv-LV"/>
        </w:rPr>
        <w:lastRenderedPageBreak/>
        <w:t xml:space="preserve">      </w:t>
      </w:r>
      <w:r w:rsidR="00CD6FF8" w:rsidRPr="00CD6FF8">
        <w:rPr>
          <w:lang w:val="lv-LV"/>
        </w:rPr>
        <w:t>Turklāt analīze pievēršas juridiskajām sekām un atbildībai, kas izriet no ar eitanāziju saistītiem lēmumiem, tostarp medicīnas speciālistu atbildībai un tiesu uzraudzības lomai. Tiek konstatēts, ka neskaidrs juridiskais regulējums var radīt juridisku nenoteiktību, nekonsekventu tiesu praksi un grūtības nodrošināt atbildību.</w:t>
      </w:r>
    </w:p>
    <w:p w14:paraId="6037DBC4" w14:textId="54740E0C" w:rsidR="002B2A5F" w:rsidRPr="002A336E" w:rsidRDefault="005E1255" w:rsidP="00FD4C3E">
      <w:pPr>
        <w:pStyle w:val="prastasiniatinklio"/>
        <w:spacing w:before="0" w:beforeAutospacing="0" w:after="0" w:afterAutospacing="0" w:line="360" w:lineRule="auto"/>
        <w:jc w:val="both"/>
        <w:rPr>
          <w:lang w:val="lv-LV"/>
        </w:rPr>
      </w:pPr>
      <w:r>
        <w:rPr>
          <w:lang w:val="lv-LV"/>
        </w:rPr>
        <w:t xml:space="preserve">      </w:t>
      </w:r>
      <w:r w:rsidR="00CD6FF8" w:rsidRPr="00CD6FF8">
        <w:rPr>
          <w:lang w:val="lv-LV"/>
        </w:rPr>
        <w:t>Kopumā nodaļā secināts, ka eitanāzijas ieviešanu raksturo ievērojama juridiskā fragmentācija, ētiskas dilemmas un praktiskas īstenošanas grūtības. Tiek uzsvērta nepieciešamība pēc skaidrāka juridiskā regulējuma, stingrākiem aizsardzības mehānismiem un līdzsvarotas pieejas, kas nodrošina gan indivīda autonomijas ievērošanu, gan efektīvu cilvēka dzīvības aizsardzību.</w:t>
      </w:r>
    </w:p>
    <w:p w14:paraId="1C2D8CA5" w14:textId="7C440BD9" w:rsidR="008E6834" w:rsidRPr="002A336E" w:rsidRDefault="008E6834" w:rsidP="008E6834">
      <w:pPr>
        <w:pStyle w:val="prastasiniatinklio"/>
        <w:numPr>
          <w:ilvl w:val="0"/>
          <w:numId w:val="7"/>
        </w:numPr>
        <w:spacing w:line="360" w:lineRule="auto"/>
        <w:jc w:val="center"/>
        <w:rPr>
          <w:b/>
          <w:bCs/>
          <w:lang w:val="lv-LV"/>
        </w:rPr>
      </w:pPr>
      <w:r w:rsidRPr="002A336E">
        <w:rPr>
          <w:b/>
          <w:bCs/>
          <w:lang w:val="lv-LV"/>
        </w:rPr>
        <w:t>EITANĀZIJAS INSTITŪTA ĪSTENOŠANA VALSTS UN STARPTAUTISKO TIESĪBU KONTEKSTĀ UN GALVENO PROBLĒMU IDENTIFICĒŠANA</w:t>
      </w:r>
    </w:p>
    <w:p w14:paraId="33C29B26" w14:textId="10FC96F2" w:rsidR="00153BBC" w:rsidRPr="00153BBC" w:rsidRDefault="005E1255" w:rsidP="00153BBC">
      <w:pPr>
        <w:pStyle w:val="prastasiniatinklio"/>
        <w:spacing w:before="0" w:beforeAutospacing="0" w:after="0" w:afterAutospacing="0" w:line="360" w:lineRule="auto"/>
        <w:jc w:val="both"/>
        <w:rPr>
          <w:lang w:val="lv-LV"/>
        </w:rPr>
      </w:pPr>
      <w:r>
        <w:rPr>
          <w:lang w:val="lv-LV"/>
        </w:rPr>
        <w:t xml:space="preserve">      </w:t>
      </w:r>
      <w:r w:rsidR="00153BBC" w:rsidRPr="00153BBC">
        <w:rPr>
          <w:lang w:val="lv-LV"/>
        </w:rPr>
        <w:t>Šajā nodaļā tiek analizēta eitanāzijas institūta īstenošana nacionālo un starptautisko tiesību ietvaros, pievēršot uzmanību regulējuma pieejām, ierobežojumiem un jaunajiem juridiskajiem izaicinājumiem. Tiek analizēti nacionālie tiesību akti, starptautiskie cilvēktiesību instrumenti un salīdzinošā prakse dažādās jurisdikcijās.</w:t>
      </w:r>
    </w:p>
    <w:p w14:paraId="4BC6C98F" w14:textId="44DF3641" w:rsidR="00153BBC" w:rsidRPr="00153BBC" w:rsidRDefault="005E1255" w:rsidP="00153BBC">
      <w:pPr>
        <w:pStyle w:val="prastasiniatinklio"/>
        <w:spacing w:before="0" w:beforeAutospacing="0" w:after="0" w:afterAutospacing="0" w:line="360" w:lineRule="auto"/>
        <w:jc w:val="both"/>
        <w:rPr>
          <w:lang w:val="lv-LV"/>
        </w:rPr>
      </w:pPr>
      <w:r>
        <w:rPr>
          <w:lang w:val="lv-LV"/>
        </w:rPr>
        <w:t xml:space="preserve">      </w:t>
      </w:r>
      <w:r w:rsidR="00153BBC" w:rsidRPr="00153BBC">
        <w:rPr>
          <w:lang w:val="lv-LV"/>
        </w:rPr>
        <w:t>Analīze parāda, ka starptautiskās tiesības nenosaka vienotu eitanāzijas juridisko regulējumu, bet paredz vispārīgus principus, kas saistīti ar tiesībām uz dzīvību, cilvēka cieņu un personisko autonomiju. Rezultātā nacionālās tiesību sistēmas būtiski atšķiras – no stingra aizlieguma līdz regulētai legalizācijai noteiktos apstākļos.</w:t>
      </w:r>
    </w:p>
    <w:p w14:paraId="242F5B1A" w14:textId="5A5504B2" w:rsidR="00153BBC" w:rsidRPr="00153BBC" w:rsidRDefault="005E1255" w:rsidP="00153BBC">
      <w:pPr>
        <w:pStyle w:val="prastasiniatinklio"/>
        <w:spacing w:before="0" w:beforeAutospacing="0" w:after="0" w:afterAutospacing="0" w:line="360" w:lineRule="auto"/>
        <w:jc w:val="both"/>
        <w:rPr>
          <w:lang w:val="lv-LV"/>
        </w:rPr>
      </w:pPr>
      <w:r>
        <w:rPr>
          <w:lang w:val="lv-LV"/>
        </w:rPr>
        <w:t xml:space="preserve">      </w:t>
      </w:r>
      <w:r w:rsidR="00153BBC" w:rsidRPr="00153BBC">
        <w:rPr>
          <w:lang w:val="lv-LV"/>
        </w:rPr>
        <w:t>Eiropas Savienības un ārpus tās esošo valstu salīdzinošais izvērtējums liecina, ka valstis, kurās eitanāzija ir atļauta, piemēro stingrus aizsardzības mehānismus, tostarp brīvprātīgu un informētu piekrišanu, medicīnisko izvērtējumu un institucionālo uzraudzību. Tomēr praktiskā īstenošana atklāj būtiskas problēmas, piemēram, nekonsekventu tiesību normu piemērošanu, nepietiekamu uzraudzību un risku paplašināt piemērošanas kritērijus ārpus sākotnēji paredzētajām robežām.</w:t>
      </w:r>
    </w:p>
    <w:p w14:paraId="47C6BA5A" w14:textId="5B748247" w:rsidR="00153BBC" w:rsidRPr="00153BBC" w:rsidRDefault="005E1255" w:rsidP="00153BBC">
      <w:pPr>
        <w:pStyle w:val="prastasiniatinklio"/>
        <w:spacing w:before="0" w:beforeAutospacing="0" w:after="0" w:afterAutospacing="0" w:line="360" w:lineRule="auto"/>
        <w:jc w:val="both"/>
        <w:rPr>
          <w:lang w:val="lv-LV"/>
        </w:rPr>
      </w:pPr>
      <w:r>
        <w:rPr>
          <w:lang w:val="lv-LV"/>
        </w:rPr>
        <w:t xml:space="preserve">      </w:t>
      </w:r>
      <w:r w:rsidR="00153BBC" w:rsidRPr="00153BBC">
        <w:rPr>
          <w:lang w:val="lv-LV"/>
        </w:rPr>
        <w:t>Nodaļā tiek aplūkoti arī eitanāzijas juridiskie ierobežojumi, uzsverot konfliktu starp indivīda autonomiju un valsts pienākumu aizsargāt dzīvību. Tāpat tiek analizētas juridiskās sekas un atbildība, īpaši attiecībā uz medicīnas speciālistiem un institucionālo atbildību.</w:t>
      </w:r>
    </w:p>
    <w:p w14:paraId="2DE7FA98" w14:textId="7B2BB914" w:rsidR="00153BBC" w:rsidRPr="00153BBC" w:rsidRDefault="005E1255" w:rsidP="00153BBC">
      <w:pPr>
        <w:pStyle w:val="prastasiniatinklio"/>
        <w:spacing w:before="0" w:beforeAutospacing="0" w:after="0" w:afterAutospacing="0" w:line="360" w:lineRule="auto"/>
        <w:jc w:val="both"/>
        <w:rPr>
          <w:lang w:val="lv-LV"/>
        </w:rPr>
      </w:pPr>
      <w:r>
        <w:rPr>
          <w:lang w:val="lv-LV"/>
        </w:rPr>
        <w:t xml:space="preserve">      </w:t>
      </w:r>
      <w:r w:rsidR="00153BBC" w:rsidRPr="00153BBC">
        <w:rPr>
          <w:lang w:val="lv-LV"/>
        </w:rPr>
        <w:t>Kopumā nodaļā tiek identificētas galvenās problēmas eitanāzijas regulējumā un īstenošanā, tostarp juridiskā fragmentācija, skaidrības trūkums, ētiskā spriedze un izaicinājumi neaizsargātu personu aizsardzībā. Tiek secināts, ka nepieciešami saskaņotāki juridiskie regulējumi un stingrāki aizsardzības mehānismi, lai nodrošinātu līdzsvaru starp cilvēktiesībām, ētiskajiem principiem un praktisko piemērošanu.</w:t>
      </w:r>
    </w:p>
    <w:p w14:paraId="3F2443E4" w14:textId="7D94B7CF" w:rsidR="004E3FD6" w:rsidRPr="002A336E" w:rsidRDefault="004E3FD6" w:rsidP="00153BBC">
      <w:pPr>
        <w:pStyle w:val="prastasiniatinklio"/>
        <w:spacing w:line="360" w:lineRule="auto"/>
        <w:jc w:val="both"/>
        <w:rPr>
          <w:lang w:val="lv-LV"/>
        </w:rPr>
      </w:pPr>
    </w:p>
    <w:p w14:paraId="10152439" w14:textId="3786E910" w:rsidR="002F4A2B" w:rsidRPr="002A336E" w:rsidRDefault="002F4A2B" w:rsidP="002F4A2B">
      <w:pPr>
        <w:pStyle w:val="prastasiniatinklio"/>
        <w:numPr>
          <w:ilvl w:val="0"/>
          <w:numId w:val="7"/>
        </w:numPr>
        <w:spacing w:line="360" w:lineRule="auto"/>
        <w:jc w:val="center"/>
        <w:rPr>
          <w:b/>
          <w:bCs/>
          <w:lang w:val="lv-LV"/>
        </w:rPr>
      </w:pPr>
      <w:r w:rsidRPr="002A336E">
        <w:rPr>
          <w:b/>
          <w:bCs/>
          <w:lang w:val="lv-LV"/>
        </w:rPr>
        <w:lastRenderedPageBreak/>
        <w:t>EPISTOMOLOĢISKĀ UN EMPĪRISKĀ PĒTĪJUMA IETVARS: EITANĀZIJAS INSTITŪTA TIESISKĀ REGULĒJUMA PRAKTISKĀ NORISINĀŠANA</w:t>
      </w:r>
    </w:p>
    <w:p w14:paraId="78C7AB80" w14:textId="4123C539" w:rsidR="00B6516F" w:rsidRPr="00AE0E83" w:rsidRDefault="005E1255" w:rsidP="00AE0E83">
      <w:pPr>
        <w:pStyle w:val="prastasiniatinklio"/>
        <w:spacing w:before="0" w:beforeAutospacing="0" w:after="0" w:afterAutospacing="0" w:line="360" w:lineRule="auto"/>
        <w:jc w:val="both"/>
        <w:rPr>
          <w:lang w:val="lv-LV"/>
        </w:rPr>
      </w:pPr>
      <w:r>
        <w:rPr>
          <w:lang w:val="lv-LV"/>
        </w:rPr>
        <w:t xml:space="preserve">      </w:t>
      </w:r>
      <w:r w:rsidR="00B6516F" w:rsidRPr="00AE0E83">
        <w:rPr>
          <w:lang w:val="lv-LV"/>
        </w:rPr>
        <w:t>Šajā nodaļā tiek prezentēts epistemoloģiskais pamats un empīriskās pētniecības ietvars, kas izmantots eitanāzijas regulējuma praktiskās īstenošanas izvērtēšanai. Tajā tiek izklāstīts pētījuma dizains, metodoloģiskā pieeja un datu analīze, integrējot gan teorētiskās, gan empīriskās perspektīvas.</w:t>
      </w:r>
    </w:p>
    <w:p w14:paraId="1F0B3667" w14:textId="77777777" w:rsidR="00B6516F" w:rsidRPr="00AE0E83" w:rsidRDefault="00B6516F" w:rsidP="00AE0E83">
      <w:pPr>
        <w:pStyle w:val="prastasiniatinklio"/>
        <w:spacing w:before="0" w:beforeAutospacing="0" w:after="0" w:afterAutospacing="0" w:line="360" w:lineRule="auto"/>
        <w:jc w:val="both"/>
        <w:rPr>
          <w:lang w:val="lv-LV"/>
        </w:rPr>
      </w:pPr>
      <w:r w:rsidRPr="00AE0E83">
        <w:rPr>
          <w:lang w:val="lv-LV"/>
        </w:rPr>
        <w:t>Pētījums balstās uz dokumentos balstītu epistemoloģisko pieeju, apvienojot juridisko analīzi ar kvalitatīvo empīrisko izpēti. Tiek izmantotas tādas metodes kā dokumentu analīze, salīdzinošā un sistemātiskā analīze, kā arī pusstrukturētas intervijas, lai izpētītu reālās dzīves izaicinājumus eitanāzijas regulējuma piemērošanā.</w:t>
      </w:r>
    </w:p>
    <w:p w14:paraId="0C32CC49" w14:textId="0190C952" w:rsidR="00B6516F" w:rsidRPr="00AE0E83" w:rsidRDefault="005E1255" w:rsidP="00AE0E83">
      <w:pPr>
        <w:pStyle w:val="prastasiniatinklio"/>
        <w:spacing w:before="0" w:beforeAutospacing="0" w:after="0" w:afterAutospacing="0" w:line="360" w:lineRule="auto"/>
        <w:jc w:val="both"/>
        <w:rPr>
          <w:lang w:val="lv-LV"/>
        </w:rPr>
      </w:pPr>
      <w:r>
        <w:rPr>
          <w:lang w:val="lv-LV"/>
        </w:rPr>
        <w:t xml:space="preserve">      </w:t>
      </w:r>
      <w:r w:rsidR="00B6516F" w:rsidRPr="00AE0E83">
        <w:rPr>
          <w:lang w:val="lv-LV"/>
        </w:rPr>
        <w:t>Empīriskais pētījums koncentrējas uz veselības aprūpes speciālistu, juridisko profesionāļu un citu iesaistīto personu pieredzi un viedokļiem, atklājot praktiskas grūtības, kas saistītas ar juridisko skaidrību, ētisko lēmumu pieņemšanu un aizsardzības mehānismu īstenošanu. Īpaša uzmanība tiek pievērsta tādiem jautājumiem kā informēta piekrišana, pacientu aizsardzība, institucionālā uzraudzība un ļaunprātīgas izmantošanas novēršana.</w:t>
      </w:r>
    </w:p>
    <w:p w14:paraId="13D3CF35" w14:textId="7015B26C" w:rsidR="00B6516F" w:rsidRPr="00AE0E83" w:rsidRDefault="005E1255" w:rsidP="00AE0E83">
      <w:pPr>
        <w:pStyle w:val="prastasiniatinklio"/>
        <w:spacing w:before="0" w:beforeAutospacing="0" w:after="0" w:afterAutospacing="0" w:line="360" w:lineRule="auto"/>
        <w:jc w:val="both"/>
        <w:rPr>
          <w:lang w:val="lv-LV"/>
        </w:rPr>
      </w:pPr>
      <w:r>
        <w:rPr>
          <w:lang w:val="lv-LV"/>
        </w:rPr>
        <w:t xml:space="preserve">      </w:t>
      </w:r>
      <w:r w:rsidR="00B6516F" w:rsidRPr="00AE0E83">
        <w:rPr>
          <w:lang w:val="lv-LV"/>
        </w:rPr>
        <w:t>Pētījuma rezultāti atklāj neatbilstības starp formālajiem juridiskajiem ietvariem un to praktisko piemērošanu, parādot, ka pat labi izstrādāti regulējumi var saskarties ar īstenošanas un interpretācijas problēmām. Analīze arī uzsver nepieciešamību saskaņot juridiskās normas ar ētiskajiem principiem un sabiedrības vērtībām.</w:t>
      </w:r>
    </w:p>
    <w:p w14:paraId="66F0B6FF" w14:textId="36DEBBEA" w:rsidR="00B6516F" w:rsidRDefault="005E1255" w:rsidP="00AE0E83">
      <w:pPr>
        <w:pStyle w:val="prastasiniatinklio"/>
        <w:spacing w:before="0" w:beforeAutospacing="0" w:after="0" w:afterAutospacing="0" w:line="360" w:lineRule="auto"/>
        <w:jc w:val="both"/>
        <w:rPr>
          <w:lang w:val="lv-LV"/>
        </w:rPr>
      </w:pPr>
      <w:r>
        <w:rPr>
          <w:lang w:val="lv-LV"/>
        </w:rPr>
        <w:t xml:space="preserve">      </w:t>
      </w:r>
      <w:r w:rsidR="00B6516F" w:rsidRPr="00AE0E83">
        <w:rPr>
          <w:lang w:val="lv-LV"/>
        </w:rPr>
        <w:t>Kopumā nodaļā secināts, ka efektīvam eitanāzijas regulējumam nepieciešami ne tikai skaidri juridiskie noteikumi, bet arī spēcīgi institucionālie mehānismi, profesionālā atbildība un pastāvīga prakses izvērtēšana. Tiek uzsvērta nepieciešamība pēc līdzsvarotas pieejas, kas nodrošina gan cilvēktiesību aizsardzību, gan juridiskā regulējuma praktisku īstenojamību.</w:t>
      </w:r>
    </w:p>
    <w:p w14:paraId="7500366C" w14:textId="77777777" w:rsidR="00AE0E83" w:rsidRPr="002A336E" w:rsidRDefault="00AE0E83" w:rsidP="00AE0E83">
      <w:pPr>
        <w:pStyle w:val="prastasiniatinklio"/>
        <w:spacing w:before="0" w:beforeAutospacing="0" w:after="0" w:afterAutospacing="0" w:line="360" w:lineRule="auto"/>
        <w:jc w:val="both"/>
        <w:rPr>
          <w:lang w:val="lv-LV"/>
        </w:rPr>
      </w:pPr>
    </w:p>
    <w:p w14:paraId="38E20C66" w14:textId="574096C7" w:rsidR="00CD069B" w:rsidRPr="002A336E" w:rsidRDefault="00CD069B" w:rsidP="00CD069B">
      <w:pPr>
        <w:spacing w:line="360" w:lineRule="auto"/>
        <w:jc w:val="both"/>
        <w:rPr>
          <w:rFonts w:ascii="Times New Roman" w:hAnsi="Times New Roman"/>
          <w:b/>
          <w:bCs/>
          <w:sz w:val="24"/>
          <w:szCs w:val="24"/>
          <w:lang w:eastAsia="lt-LT" w:bidi="ar-SA"/>
        </w:rPr>
      </w:pPr>
      <w:r w:rsidRPr="002A336E">
        <w:rPr>
          <w:rFonts w:ascii="Times New Roman" w:hAnsi="Times New Roman"/>
          <w:b/>
          <w:bCs/>
          <w:sz w:val="24"/>
          <w:szCs w:val="24"/>
          <w:lang w:eastAsia="lt-LT" w:bidi="ar-SA"/>
        </w:rPr>
        <w:t>Pētījuma rezultātu aprobācija:</w:t>
      </w:r>
    </w:p>
    <w:p w14:paraId="48A4041A" w14:textId="4650E6AA" w:rsidR="008A6324" w:rsidRPr="002A336E" w:rsidRDefault="007172B9" w:rsidP="008A6324">
      <w:pPr>
        <w:spacing w:line="360" w:lineRule="auto"/>
        <w:jc w:val="both"/>
        <w:rPr>
          <w:rFonts w:ascii="Times New Roman" w:hAnsi="Times New Roman"/>
          <w:sz w:val="24"/>
          <w:szCs w:val="24"/>
        </w:rPr>
      </w:pPr>
      <w:r w:rsidRPr="002A336E">
        <w:rPr>
          <w:rFonts w:ascii="Times New Roman" w:hAnsi="Times New Roman"/>
          <w:sz w:val="24"/>
          <w:szCs w:val="24"/>
        </w:rPr>
        <w:t>1. Beriozovas, O., Perkumienė, D., &amp; Legkova, L. (2022). Problems of legal regulation of inheritance relations in Lithuanian law in the context of European Union law. </w:t>
      </w:r>
      <w:r w:rsidRPr="002A336E">
        <w:rPr>
          <w:rFonts w:ascii="Times New Roman" w:hAnsi="Times New Roman"/>
          <w:i/>
          <w:iCs/>
          <w:sz w:val="24"/>
          <w:szCs w:val="24"/>
        </w:rPr>
        <w:t>Humanities Studies.</w:t>
      </w:r>
      <w:r w:rsidRPr="002A336E">
        <w:rPr>
          <w:rFonts w:ascii="Times New Roman" w:hAnsi="Times New Roman"/>
          <w:sz w:val="24"/>
          <w:szCs w:val="24"/>
        </w:rPr>
        <w:t>, (89), 104-112.</w:t>
      </w:r>
    </w:p>
    <w:p w14:paraId="1A7BF3A3" w14:textId="3027CE1A" w:rsidR="008A6324" w:rsidRPr="002A336E" w:rsidRDefault="007172B9" w:rsidP="008A6324">
      <w:pPr>
        <w:spacing w:line="360" w:lineRule="auto"/>
        <w:jc w:val="both"/>
        <w:rPr>
          <w:rFonts w:ascii="Times New Roman" w:hAnsi="Times New Roman"/>
          <w:sz w:val="24"/>
          <w:szCs w:val="24"/>
        </w:rPr>
      </w:pPr>
      <w:r w:rsidRPr="002A336E">
        <w:rPr>
          <w:rFonts w:ascii="Times New Roman" w:hAnsi="Times New Roman"/>
          <w:sz w:val="24"/>
          <w:szCs w:val="24"/>
        </w:rPr>
        <w:t>2</w:t>
      </w:r>
      <w:r w:rsidR="008A6324" w:rsidRPr="002A336E">
        <w:rPr>
          <w:rFonts w:ascii="Times New Roman" w:hAnsi="Times New Roman"/>
          <w:sz w:val="24"/>
          <w:szCs w:val="24"/>
        </w:rPr>
        <w:t xml:space="preserve">. Beriozovas, O., &amp; Avižienė, G. (2023). Institute Of Euthanasia: Between A Person's Right to Life and The Right to A Dignified Death: Problems and Challenges in the Implementation of Human Rights of Choice in Lithuania. </w:t>
      </w:r>
      <w:r w:rsidR="008A6324" w:rsidRPr="002A336E">
        <w:rPr>
          <w:rFonts w:ascii="Times New Roman" w:hAnsi="Times New Roman"/>
          <w:i/>
          <w:iCs/>
          <w:sz w:val="24"/>
          <w:szCs w:val="24"/>
        </w:rPr>
        <w:t>Acta prosperitatis</w:t>
      </w:r>
      <w:r w:rsidR="008A6324" w:rsidRPr="002A336E">
        <w:rPr>
          <w:rFonts w:ascii="Times New Roman" w:hAnsi="Times New Roman"/>
          <w:sz w:val="24"/>
          <w:szCs w:val="24"/>
        </w:rPr>
        <w:t xml:space="preserve">, </w:t>
      </w:r>
      <w:r w:rsidR="008A6324" w:rsidRPr="002A336E">
        <w:rPr>
          <w:rFonts w:ascii="Times New Roman" w:hAnsi="Times New Roman"/>
          <w:i/>
          <w:iCs/>
          <w:sz w:val="24"/>
          <w:szCs w:val="24"/>
        </w:rPr>
        <w:t>14</w:t>
      </w:r>
      <w:r w:rsidR="008A6324" w:rsidRPr="002A336E">
        <w:rPr>
          <w:rFonts w:ascii="Times New Roman" w:hAnsi="Times New Roman"/>
          <w:sz w:val="24"/>
          <w:szCs w:val="24"/>
        </w:rPr>
        <w:t>(1).</w:t>
      </w:r>
    </w:p>
    <w:p w14:paraId="203E81EB" w14:textId="10F9F2B1" w:rsidR="008A6324" w:rsidRPr="002A336E" w:rsidRDefault="007172B9" w:rsidP="008A6324">
      <w:pPr>
        <w:spacing w:line="360" w:lineRule="auto"/>
        <w:jc w:val="both"/>
        <w:rPr>
          <w:rFonts w:ascii="Times New Roman" w:hAnsi="Times New Roman"/>
          <w:sz w:val="24"/>
          <w:szCs w:val="24"/>
        </w:rPr>
      </w:pPr>
      <w:r w:rsidRPr="002A336E">
        <w:rPr>
          <w:rFonts w:ascii="Times New Roman" w:hAnsi="Times New Roman"/>
          <w:sz w:val="24"/>
          <w:szCs w:val="24"/>
        </w:rPr>
        <w:t>3</w:t>
      </w:r>
      <w:r w:rsidR="008A6324" w:rsidRPr="002A336E">
        <w:rPr>
          <w:rFonts w:ascii="Times New Roman" w:hAnsi="Times New Roman"/>
          <w:sz w:val="24"/>
          <w:szCs w:val="24"/>
        </w:rPr>
        <w:t xml:space="preserve">. Perkumienė, D., Beriozovas, O., &amp; Smilginytė, A. (2022). Human rights analysis from the constitutional perspective in Lithuanian national law context. In </w:t>
      </w:r>
      <w:r w:rsidR="008A6324" w:rsidRPr="002A336E">
        <w:rPr>
          <w:rFonts w:ascii="Times New Roman" w:hAnsi="Times New Roman"/>
          <w:i/>
          <w:iCs/>
          <w:sz w:val="24"/>
          <w:szCs w:val="24"/>
        </w:rPr>
        <w:t>International Applied Research Conference Proceedings Problems and Challenges of Contemporary Law in the Context of International Law</w:t>
      </w:r>
      <w:r w:rsidR="008A6324" w:rsidRPr="002A336E">
        <w:rPr>
          <w:rFonts w:ascii="Times New Roman" w:hAnsi="Times New Roman"/>
          <w:sz w:val="24"/>
          <w:szCs w:val="24"/>
        </w:rPr>
        <w:t xml:space="preserve"> (p. 88-93).</w:t>
      </w:r>
    </w:p>
    <w:p w14:paraId="563F6388" w14:textId="0C31A0C0" w:rsidR="008075C3" w:rsidRPr="002A336E" w:rsidRDefault="008075C3" w:rsidP="008A6324">
      <w:pPr>
        <w:spacing w:line="360" w:lineRule="auto"/>
        <w:jc w:val="both"/>
        <w:rPr>
          <w:rFonts w:ascii="Times New Roman" w:hAnsi="Times New Roman"/>
          <w:b/>
          <w:bCs/>
          <w:sz w:val="24"/>
          <w:szCs w:val="24"/>
        </w:rPr>
      </w:pPr>
      <w:r w:rsidRPr="002A336E">
        <w:rPr>
          <w:rFonts w:ascii="Times New Roman" w:hAnsi="Times New Roman"/>
          <w:b/>
          <w:bCs/>
          <w:sz w:val="24"/>
          <w:szCs w:val="24"/>
        </w:rPr>
        <w:lastRenderedPageBreak/>
        <w:t>Ar doktora disertāciju saistīto zinātnisko ziņojumu saraksts:</w:t>
      </w:r>
    </w:p>
    <w:p w14:paraId="4FB56994"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sz w:val="24"/>
          <w:szCs w:val="24"/>
          <w:lang w:val="lv-LV"/>
        </w:rPr>
      </w:pPr>
      <w:r w:rsidRPr="002A336E">
        <w:rPr>
          <w:rFonts w:ascii="Times New Roman" w:hAnsi="Times New Roman" w:cs="Times New Roman"/>
          <w:sz w:val="24"/>
          <w:szCs w:val="24"/>
          <w:lang w:val="lv-LV"/>
        </w:rPr>
        <w:t>Presentation in the international scientific conference “Euthanasia in Lithuania: Navigating Between the Right to Life and the Right to a Dignified Death” in the Kaunas Forestry and Environmental Engineering University of Applied Science International Scientific Conference “Relevant Issues of Environment Management” in Lithuania, Kaunas, on 7</w:t>
      </w:r>
      <w:r w:rsidRPr="002A336E">
        <w:rPr>
          <w:rFonts w:ascii="Times New Roman" w:hAnsi="Times New Roman" w:cs="Times New Roman"/>
          <w:sz w:val="24"/>
          <w:szCs w:val="24"/>
          <w:vertAlign w:val="superscript"/>
          <w:lang w:val="lv-LV"/>
        </w:rPr>
        <w:t>th</w:t>
      </w:r>
      <w:r w:rsidRPr="002A336E">
        <w:rPr>
          <w:rFonts w:ascii="Times New Roman" w:hAnsi="Times New Roman" w:cs="Times New Roman"/>
          <w:sz w:val="24"/>
          <w:szCs w:val="24"/>
          <w:lang w:val="lv-LV"/>
        </w:rPr>
        <w:t xml:space="preserve"> and 9</w:t>
      </w:r>
      <w:r w:rsidRPr="002A336E">
        <w:rPr>
          <w:rFonts w:ascii="Times New Roman" w:hAnsi="Times New Roman" w:cs="Times New Roman"/>
          <w:sz w:val="24"/>
          <w:szCs w:val="24"/>
          <w:vertAlign w:val="superscript"/>
          <w:lang w:val="lv-LV"/>
        </w:rPr>
        <w:t>th</w:t>
      </w:r>
      <w:r w:rsidRPr="002A336E">
        <w:rPr>
          <w:rFonts w:ascii="Times New Roman" w:hAnsi="Times New Roman" w:cs="Times New Roman"/>
          <w:sz w:val="24"/>
          <w:szCs w:val="24"/>
          <w:lang w:val="lv-LV"/>
        </w:rPr>
        <w:t xml:space="preserve"> April 2024.</w:t>
      </w:r>
    </w:p>
    <w:p w14:paraId="7DA03106"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sz w:val="24"/>
          <w:szCs w:val="24"/>
          <w:lang w:val="lv-LV"/>
        </w:rPr>
      </w:pPr>
      <w:r w:rsidRPr="002A336E">
        <w:rPr>
          <w:rFonts w:ascii="Times New Roman" w:hAnsi="Times New Roman" w:cs="Times New Roman"/>
          <w:sz w:val="24"/>
          <w:szCs w:val="24"/>
          <w:lang w:val="lv-LV"/>
        </w:rPr>
        <w:t>Presentation in the international scientific conference “Institute of Euthanasia: Balancing the Right to Life and the Right to a Dignified Death – Problems and Challenges in Implementing the Human Right of Choice in Lithuania “Contemporary legal problems and challenges in the context of international law 2024, in Lithuania, Vilnius, January 7.</w:t>
      </w:r>
    </w:p>
    <w:p w14:paraId="0585A05B"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sz w:val="24"/>
          <w:szCs w:val="24"/>
          <w:lang w:val="lv-LV"/>
        </w:rPr>
      </w:pPr>
      <w:r w:rsidRPr="002A336E">
        <w:rPr>
          <w:rFonts w:ascii="Times New Roman" w:hAnsi="Times New Roman" w:cs="Times New Roman"/>
          <w:sz w:val="24"/>
          <w:szCs w:val="24"/>
          <w:lang w:val="lv-LV"/>
        </w:rPr>
        <w:t>Presentation in the international conference „ Problems and Challenges in Implementing the Human Right to die “in Istanbul University-Cerrahpasa University International Symposium, 2023, December 5-6.</w:t>
      </w:r>
    </w:p>
    <w:p w14:paraId="72656932"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sz w:val="24"/>
          <w:szCs w:val="24"/>
          <w:lang w:val="lv-LV"/>
        </w:rPr>
      </w:pPr>
      <w:r w:rsidRPr="002A336E">
        <w:rPr>
          <w:rFonts w:ascii="Times New Roman" w:hAnsi="Times New Roman" w:cs="Times New Roman"/>
          <w:sz w:val="24"/>
          <w:szCs w:val="24"/>
          <w:lang w:val="lv-LV"/>
        </w:rPr>
        <w:t>Presentation in the international scientific conference “The Institute of Euthanasia: Between the Right to Life and the Right to Die with Dignity” in Spain, Caceres, on 22</w:t>
      </w:r>
      <w:r w:rsidRPr="002A336E">
        <w:rPr>
          <w:rFonts w:ascii="Times New Roman" w:hAnsi="Times New Roman" w:cs="Times New Roman"/>
          <w:sz w:val="24"/>
          <w:szCs w:val="24"/>
          <w:vertAlign w:val="superscript"/>
          <w:lang w:val="lv-LV"/>
        </w:rPr>
        <w:t>nd</w:t>
      </w:r>
      <w:r w:rsidRPr="002A336E">
        <w:rPr>
          <w:rFonts w:ascii="Times New Roman" w:hAnsi="Times New Roman" w:cs="Times New Roman"/>
          <w:sz w:val="24"/>
          <w:szCs w:val="24"/>
          <w:lang w:val="lv-LV"/>
        </w:rPr>
        <w:t xml:space="preserve"> and 23</w:t>
      </w:r>
      <w:r w:rsidRPr="002A336E">
        <w:rPr>
          <w:rFonts w:ascii="Times New Roman" w:hAnsi="Times New Roman" w:cs="Times New Roman"/>
          <w:sz w:val="24"/>
          <w:szCs w:val="24"/>
          <w:vertAlign w:val="superscript"/>
          <w:lang w:val="lv-LV"/>
        </w:rPr>
        <w:t>rd</w:t>
      </w:r>
      <w:r w:rsidRPr="002A336E">
        <w:rPr>
          <w:rFonts w:ascii="Times New Roman" w:hAnsi="Times New Roman" w:cs="Times New Roman"/>
          <w:sz w:val="24"/>
          <w:szCs w:val="24"/>
          <w:lang w:val="lv-LV"/>
        </w:rPr>
        <w:t xml:space="preserve"> November 2022. </w:t>
      </w:r>
    </w:p>
    <w:p w14:paraId="37818E76"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sz w:val="24"/>
          <w:szCs w:val="24"/>
          <w:lang w:val="lv-LV"/>
        </w:rPr>
      </w:pPr>
      <w:r w:rsidRPr="002A336E">
        <w:rPr>
          <w:rFonts w:ascii="Times New Roman" w:hAnsi="Times New Roman" w:cs="Times New Roman"/>
          <w:sz w:val="24"/>
          <w:szCs w:val="24"/>
          <w:lang w:val="lv-LV"/>
        </w:rPr>
        <w:t>Presentation in the international scientific conference “Right to Die with Dignity: Issues and Challenges”, Morocco, Cady Ayad university on 7</w:t>
      </w:r>
      <w:r w:rsidRPr="002A336E">
        <w:rPr>
          <w:rFonts w:ascii="Times New Roman" w:hAnsi="Times New Roman" w:cs="Times New Roman"/>
          <w:sz w:val="24"/>
          <w:szCs w:val="24"/>
          <w:vertAlign w:val="superscript"/>
          <w:lang w:val="lv-LV"/>
        </w:rPr>
        <w:t>th</w:t>
      </w:r>
      <w:r w:rsidRPr="002A336E">
        <w:rPr>
          <w:rFonts w:ascii="Times New Roman" w:hAnsi="Times New Roman" w:cs="Times New Roman"/>
          <w:sz w:val="24"/>
          <w:szCs w:val="24"/>
          <w:lang w:val="lv-LV"/>
        </w:rPr>
        <w:t xml:space="preserve"> and 11</w:t>
      </w:r>
      <w:r w:rsidRPr="002A336E">
        <w:rPr>
          <w:rFonts w:ascii="Times New Roman" w:hAnsi="Times New Roman" w:cs="Times New Roman"/>
          <w:sz w:val="24"/>
          <w:szCs w:val="24"/>
          <w:vertAlign w:val="superscript"/>
          <w:lang w:val="lv-LV"/>
        </w:rPr>
        <w:t>th</w:t>
      </w:r>
      <w:r w:rsidRPr="002A336E">
        <w:rPr>
          <w:rFonts w:ascii="Times New Roman" w:hAnsi="Times New Roman" w:cs="Times New Roman"/>
          <w:sz w:val="24"/>
          <w:szCs w:val="24"/>
          <w:lang w:val="lv-LV"/>
        </w:rPr>
        <w:t xml:space="preserve"> November 2024.</w:t>
      </w:r>
    </w:p>
    <w:p w14:paraId="004322E8" w14:textId="77777777" w:rsidR="008A6324" w:rsidRPr="002A336E" w:rsidRDefault="008A6324" w:rsidP="008A6324">
      <w:pPr>
        <w:pStyle w:val="Sraopastraipa"/>
        <w:numPr>
          <w:ilvl w:val="0"/>
          <w:numId w:val="3"/>
        </w:numPr>
        <w:spacing w:line="360" w:lineRule="auto"/>
        <w:ind w:left="360"/>
        <w:jc w:val="both"/>
        <w:rPr>
          <w:rFonts w:ascii="Times New Roman" w:hAnsi="Times New Roman" w:cs="Times New Roman"/>
          <w:b/>
          <w:bCs/>
          <w:sz w:val="24"/>
          <w:szCs w:val="24"/>
          <w:lang w:val="lv-LV"/>
        </w:rPr>
      </w:pPr>
      <w:r w:rsidRPr="002A336E">
        <w:rPr>
          <w:rFonts w:ascii="Times New Roman" w:hAnsi="Times New Roman" w:cs="Times New Roman"/>
          <w:sz w:val="24"/>
          <w:szCs w:val="24"/>
          <w:lang w:val="lv-LV"/>
        </w:rPr>
        <w:t>Presentation int the international scientific conference “Industry 5.0 in Healthcare: Ethical, Technological, and Training Perspectives on Euthanasia” in Sapienza University in Rome, Italy on May 7, 2025.</w:t>
      </w:r>
    </w:p>
    <w:p w14:paraId="0B951A40" w14:textId="3E0A1ADC" w:rsidR="006A656F" w:rsidRPr="002A336E" w:rsidRDefault="006A656F" w:rsidP="007F34B8">
      <w:pPr>
        <w:spacing w:line="360" w:lineRule="auto"/>
        <w:jc w:val="center"/>
        <w:rPr>
          <w:rFonts w:ascii="Times New Roman" w:hAnsi="Times New Roman"/>
          <w:b/>
          <w:bCs/>
          <w:sz w:val="24"/>
          <w:szCs w:val="24"/>
        </w:rPr>
      </w:pPr>
      <w:r w:rsidRPr="002A336E">
        <w:rPr>
          <w:rFonts w:ascii="Times New Roman" w:hAnsi="Times New Roman"/>
          <w:b/>
          <w:bCs/>
          <w:sz w:val="24"/>
          <w:szCs w:val="24"/>
        </w:rPr>
        <w:t xml:space="preserve">GALVENIE </w:t>
      </w:r>
      <w:r w:rsidR="007F34B8" w:rsidRPr="002A336E">
        <w:rPr>
          <w:rFonts w:ascii="Times New Roman" w:hAnsi="Times New Roman"/>
          <w:b/>
          <w:bCs/>
          <w:sz w:val="24"/>
          <w:szCs w:val="24"/>
        </w:rPr>
        <w:t>LITERATŪRAS AVOTI</w:t>
      </w:r>
    </w:p>
    <w:p w14:paraId="7DA0D286" w14:textId="577F944F"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Beauchamp, T. L., &amp; Davidson, A. I. (1979). </w:t>
      </w:r>
      <w:r w:rsidRPr="002A336E">
        <w:rPr>
          <w:i/>
          <w:iCs/>
          <w:lang w:val="lv-LV"/>
        </w:rPr>
        <w:t>The Definition of Euthanasia</w:t>
      </w:r>
      <w:r w:rsidRPr="002A336E">
        <w:rPr>
          <w:lang w:val="lv-LV"/>
        </w:rPr>
        <w:t>. Journal of Medicine and Philosophy, 4(3), 294–312.</w:t>
      </w:r>
    </w:p>
    <w:p w14:paraId="1DB95B4A" w14:textId="5CB4E0B4"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Cholbi, M., &amp; Varelius, J. (2015). </w:t>
      </w:r>
      <w:r w:rsidRPr="002A336E">
        <w:rPr>
          <w:i/>
          <w:iCs/>
          <w:lang w:val="lv-LV"/>
        </w:rPr>
        <w:t>New Directions in the Ethics of Assisted Suicide and Euthanasia</w:t>
      </w:r>
      <w:r w:rsidRPr="002A336E">
        <w:rPr>
          <w:lang w:val="lv-LV"/>
        </w:rPr>
        <w:t>. Springer.</w:t>
      </w:r>
    </w:p>
    <w:p w14:paraId="6AEFDC0E" w14:textId="6C00FD43"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Cohen-Almagor, R. (2015). </w:t>
      </w:r>
      <w:r w:rsidRPr="002A336E">
        <w:rPr>
          <w:i/>
          <w:iCs/>
          <w:lang w:val="lv-LV"/>
        </w:rPr>
        <w:t>Euthanasia Policy and Practice in Belgium: Critical Observations</w:t>
      </w:r>
      <w:r w:rsidRPr="002A336E">
        <w:rPr>
          <w:lang w:val="lv-LV"/>
        </w:rPr>
        <w:t>. Journal of Medical Ethics, 41(7), 566–570.</w:t>
      </w:r>
    </w:p>
    <w:p w14:paraId="0ED9EB71" w14:textId="7D00D50B"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Cohen-Almagor, R. (2018). </w:t>
      </w:r>
      <w:r w:rsidRPr="002A336E">
        <w:rPr>
          <w:i/>
          <w:iCs/>
          <w:lang w:val="lv-LV"/>
        </w:rPr>
        <w:t>The Right to Die with Dignity: An Argument in Ethics, Medicine, and Law</w:t>
      </w:r>
      <w:r w:rsidRPr="002A336E">
        <w:rPr>
          <w:lang w:val="lv-LV"/>
        </w:rPr>
        <w:t>. Rutgers University Press.</w:t>
      </w:r>
    </w:p>
    <w:p w14:paraId="592A0652" w14:textId="23FA01CE"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Chambaere, K., &amp; Bernheim, J. L. (2015). </w:t>
      </w:r>
      <w:r w:rsidRPr="002A336E">
        <w:rPr>
          <w:i/>
          <w:iCs/>
          <w:lang w:val="lv-LV"/>
        </w:rPr>
        <w:t>Trends in Euthanasia Requests and Practices in Belgium</w:t>
      </w:r>
      <w:r w:rsidRPr="002A336E">
        <w:rPr>
          <w:lang w:val="lv-LV"/>
        </w:rPr>
        <w:t>. Journal of Medical Ethics, 41(7), 573–578.</w:t>
      </w:r>
    </w:p>
    <w:p w14:paraId="3C416170" w14:textId="49240A96"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Doublet, Y. (2017). </w:t>
      </w:r>
      <w:r w:rsidRPr="002A336E">
        <w:rPr>
          <w:i/>
          <w:iCs/>
          <w:lang w:val="lv-LV"/>
        </w:rPr>
        <w:t>Euthanasia, Ethics and the Limits of Autonomy</w:t>
      </w:r>
      <w:r w:rsidRPr="002A336E">
        <w:rPr>
          <w:lang w:val="lv-LV"/>
        </w:rPr>
        <w:t>. Routledge.</w:t>
      </w:r>
    </w:p>
    <w:p w14:paraId="3343E3E0" w14:textId="06B6F2AA" w:rsidR="007B60DB" w:rsidRPr="002A336E" w:rsidRDefault="007B60DB" w:rsidP="001B6E35">
      <w:pPr>
        <w:pStyle w:val="prastasiniatinklio"/>
        <w:numPr>
          <w:ilvl w:val="0"/>
          <w:numId w:val="6"/>
        </w:numPr>
        <w:spacing w:line="360" w:lineRule="auto"/>
        <w:jc w:val="both"/>
        <w:rPr>
          <w:lang w:val="lv-LV"/>
        </w:rPr>
      </w:pPr>
      <w:r w:rsidRPr="002A336E">
        <w:rPr>
          <w:lang w:val="lv-LV"/>
        </w:rPr>
        <w:lastRenderedPageBreak/>
        <w:t xml:space="preserve">Jones, D. A., &amp; Paton, D. (2015). </w:t>
      </w:r>
      <w:r w:rsidRPr="002A336E">
        <w:rPr>
          <w:i/>
          <w:iCs/>
          <w:lang w:val="lv-LV"/>
        </w:rPr>
        <w:t>How Does Legalization of Physician-Assisted Suicide Affect Suicide Rates?</w:t>
      </w:r>
      <w:r w:rsidRPr="002A336E">
        <w:rPr>
          <w:lang w:val="lv-LV"/>
        </w:rPr>
        <w:t>. Southern Medical Journal, 108(10), 599–604.</w:t>
      </w:r>
    </w:p>
    <w:p w14:paraId="4E89C837" w14:textId="338812E4"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McLachlan, H. V. (2008). </w:t>
      </w:r>
      <w:r w:rsidRPr="002A336E">
        <w:rPr>
          <w:i/>
          <w:iCs/>
          <w:lang w:val="lv-LV"/>
        </w:rPr>
        <w:t>Active and Passive Euthanasia</w:t>
      </w:r>
      <w:r w:rsidRPr="002A336E">
        <w:rPr>
          <w:lang w:val="lv-LV"/>
        </w:rPr>
        <w:t>. Journal of Medical Ethics, 34(10), 745–748.</w:t>
      </w:r>
    </w:p>
    <w:p w14:paraId="16D2B688" w14:textId="064971F9"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Mroz, S., Dierickx, S., Deliens, L., &amp; Chambaere, K. (2021). </w:t>
      </w:r>
      <w:r w:rsidRPr="002A336E">
        <w:rPr>
          <w:i/>
          <w:iCs/>
          <w:lang w:val="lv-LV"/>
        </w:rPr>
        <w:t>Assisted Dying in Europe and Australia: A Comparative Perspective</w:t>
      </w:r>
      <w:r w:rsidRPr="002A336E">
        <w:rPr>
          <w:lang w:val="lv-LV"/>
        </w:rPr>
        <w:t>. Journal of Law and Medicine, 28(4), 828–842.</w:t>
      </w:r>
    </w:p>
    <w:p w14:paraId="2CB13D00" w14:textId="4AA61953"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Pesut, B., Thorne, S., Schiller, C. J., &amp; Roussel, J. (2020). </w:t>
      </w:r>
      <w:r w:rsidRPr="002A336E">
        <w:rPr>
          <w:i/>
          <w:iCs/>
          <w:lang w:val="lv-LV"/>
        </w:rPr>
        <w:t>The Moral Distress of Nurses Involved in Medical Assistance in Dying</w:t>
      </w:r>
      <w:r w:rsidRPr="002A336E">
        <w:rPr>
          <w:lang w:val="lv-LV"/>
        </w:rPr>
        <w:t>. Nursing Ethics, 27(5), 1185–1198.</w:t>
      </w:r>
    </w:p>
    <w:p w14:paraId="267DE851" w14:textId="61266403"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Delbeke, E. (2020). </w:t>
      </w:r>
      <w:r w:rsidRPr="002A336E">
        <w:rPr>
          <w:i/>
          <w:iCs/>
          <w:lang w:val="lv-LV"/>
        </w:rPr>
        <w:t>Continuous Deep Sedation Until Death and Euthanasia: A Legal Analysis</w:t>
      </w:r>
      <w:r w:rsidRPr="002A336E">
        <w:rPr>
          <w:lang w:val="lv-LV"/>
        </w:rPr>
        <w:t>. Medical Law Review, 28(2), 237–259.</w:t>
      </w:r>
    </w:p>
    <w:p w14:paraId="4746318F" w14:textId="18D79F48"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Molefe, M., &amp; Muade, K. (2021). </w:t>
      </w:r>
      <w:r w:rsidRPr="002A336E">
        <w:rPr>
          <w:i/>
          <w:iCs/>
          <w:lang w:val="lv-LV"/>
        </w:rPr>
        <w:t>Ubuntu and the Ethics of Euthanasia</w:t>
      </w:r>
      <w:r w:rsidRPr="002A336E">
        <w:rPr>
          <w:lang w:val="lv-LV"/>
        </w:rPr>
        <w:t>. South African Journal of Philosophy, 40(3), 259–271.</w:t>
      </w:r>
    </w:p>
    <w:p w14:paraId="6AE81563" w14:textId="23065EFB"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Appel, J. M. (2018). </w:t>
      </w:r>
      <w:r w:rsidRPr="002A336E">
        <w:rPr>
          <w:i/>
          <w:iCs/>
          <w:lang w:val="lv-LV"/>
        </w:rPr>
        <w:t>Physician-Assisted Suicide for the Mentally Ill: Ethical Considerations</w:t>
      </w:r>
      <w:r w:rsidRPr="002A336E">
        <w:rPr>
          <w:lang w:val="lv-LV"/>
        </w:rPr>
        <w:t>. Journal of Medical Ethics, 44(3), 165–171.</w:t>
      </w:r>
    </w:p>
    <w:p w14:paraId="64895A05" w14:textId="46768425"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Archer, S., van den Berg, J., &amp; Widdershoven, G. (2016). </w:t>
      </w:r>
      <w:r w:rsidRPr="002A336E">
        <w:rPr>
          <w:i/>
          <w:iCs/>
          <w:lang w:val="lv-LV"/>
        </w:rPr>
        <w:t>Medical Dilemmas in the Practice of Euthanasia</w:t>
      </w:r>
      <w:r w:rsidRPr="002A336E">
        <w:rPr>
          <w:lang w:val="lv-LV"/>
        </w:rPr>
        <w:t>. Bioethics, 30(4), 246–254.</w:t>
      </w:r>
    </w:p>
    <w:p w14:paraId="044F50C1" w14:textId="4BB86BCA" w:rsidR="007B60DB" w:rsidRPr="002A336E" w:rsidRDefault="007B60DB" w:rsidP="001B6E35">
      <w:pPr>
        <w:pStyle w:val="prastasiniatinklio"/>
        <w:numPr>
          <w:ilvl w:val="0"/>
          <w:numId w:val="6"/>
        </w:numPr>
        <w:spacing w:line="360" w:lineRule="auto"/>
        <w:jc w:val="both"/>
        <w:rPr>
          <w:lang w:val="lv-LV"/>
        </w:rPr>
      </w:pPr>
      <w:r w:rsidRPr="002A336E">
        <w:rPr>
          <w:lang w:val="lv-LV"/>
        </w:rPr>
        <w:t xml:space="preserve">European Court of Human Rights. (2011). </w:t>
      </w:r>
      <w:r w:rsidRPr="002A336E">
        <w:rPr>
          <w:i/>
          <w:iCs/>
          <w:lang w:val="lv-LV"/>
        </w:rPr>
        <w:t>Pretty v. the United Kingdom</w:t>
      </w:r>
      <w:r w:rsidRPr="002A336E">
        <w:rPr>
          <w:lang w:val="lv-LV"/>
        </w:rPr>
        <w:t>, Application No. 2346/02.</w:t>
      </w:r>
    </w:p>
    <w:p w14:paraId="42E3BDEA" w14:textId="77777777" w:rsidR="00DF553F" w:rsidRPr="002A336E" w:rsidRDefault="00DF553F" w:rsidP="00DF553F">
      <w:pPr>
        <w:jc w:val="center"/>
        <w:rPr>
          <w:rFonts w:ascii="Times New Roman" w:hAnsi="Times New Roman"/>
          <w:b/>
          <w:bCs/>
          <w:sz w:val="24"/>
          <w:szCs w:val="24"/>
          <w:lang w:eastAsia="lt-LT" w:bidi="ar-SA"/>
        </w:rPr>
      </w:pPr>
      <w:r w:rsidRPr="002A336E">
        <w:rPr>
          <w:rFonts w:ascii="Times New Roman" w:hAnsi="Times New Roman"/>
          <w:b/>
          <w:bCs/>
          <w:sz w:val="24"/>
          <w:szCs w:val="24"/>
          <w:lang w:eastAsia="lt-LT" w:bidi="ar-SA"/>
        </w:rPr>
        <w:t>SECINĀJUMI UN IETEIKUMI, KĀ ARĪ AIZSTĀVĒŠANAI IZVIRZĪTĀS TĒZES</w:t>
      </w:r>
    </w:p>
    <w:p w14:paraId="43FFCE1D" w14:textId="77777777" w:rsidR="00DF553F" w:rsidRPr="002A336E" w:rsidRDefault="00DF553F" w:rsidP="00610EEC">
      <w:pPr>
        <w:rPr>
          <w:rFonts w:ascii="Times New Roman" w:hAnsi="Times New Roman"/>
          <w:b/>
          <w:bCs/>
          <w:sz w:val="24"/>
          <w:szCs w:val="24"/>
          <w:lang w:eastAsia="lt-LT" w:bidi="ar-SA"/>
        </w:rPr>
      </w:pPr>
    </w:p>
    <w:p w14:paraId="6FE2EEF7" w14:textId="77777777" w:rsidR="00DF553F" w:rsidRPr="002A336E" w:rsidRDefault="00DF553F" w:rsidP="00610EEC">
      <w:pPr>
        <w:rPr>
          <w:rFonts w:ascii="Times New Roman" w:hAnsi="Times New Roman"/>
          <w:b/>
          <w:bCs/>
          <w:sz w:val="24"/>
          <w:szCs w:val="24"/>
          <w:lang w:eastAsia="lt-LT" w:bidi="ar-SA"/>
        </w:rPr>
      </w:pPr>
    </w:p>
    <w:p w14:paraId="6A11005B" w14:textId="4B32676A" w:rsidR="00610EEC" w:rsidRPr="002A336E" w:rsidRDefault="00490C4B" w:rsidP="00610EEC">
      <w:pPr>
        <w:rPr>
          <w:rFonts w:ascii="Times New Roman" w:hAnsi="Times New Roman"/>
          <w:b/>
          <w:sz w:val="24"/>
          <w:szCs w:val="24"/>
        </w:rPr>
      </w:pPr>
      <w:r w:rsidRPr="002A336E">
        <w:rPr>
          <w:rFonts w:ascii="Times New Roman" w:hAnsi="Times New Roman"/>
          <w:b/>
          <w:sz w:val="24"/>
          <w:szCs w:val="24"/>
        </w:rPr>
        <w:t>HIPOTĒŽU NOVĒRTĒJUMA KOPSAVILKUMS</w:t>
      </w:r>
    </w:p>
    <w:p w14:paraId="5266E1E5" w14:textId="77777777" w:rsidR="00490C4B" w:rsidRPr="002A336E" w:rsidRDefault="00490C4B" w:rsidP="00610EEC">
      <w:pPr>
        <w:rPr>
          <w:rFonts w:ascii="Times New Roman" w:hAnsi="Times New Roman"/>
          <w:sz w:val="24"/>
          <w:szCs w:val="24"/>
        </w:rPr>
      </w:pPr>
    </w:p>
    <w:p w14:paraId="3934EF43" w14:textId="77777777" w:rsidR="0060138D" w:rsidRPr="002A336E" w:rsidRDefault="0060138D" w:rsidP="00A539E6">
      <w:pPr>
        <w:spacing w:line="360" w:lineRule="auto"/>
        <w:ind w:firstLine="851"/>
        <w:jc w:val="both"/>
        <w:rPr>
          <w:rFonts w:ascii="Times New Roman" w:hAnsi="Times New Roman"/>
          <w:sz w:val="24"/>
          <w:szCs w:val="24"/>
        </w:rPr>
      </w:pPr>
      <w:r w:rsidRPr="002A336E">
        <w:rPr>
          <w:rFonts w:ascii="Times New Roman" w:hAnsi="Times New Roman"/>
          <w:sz w:val="24"/>
          <w:szCs w:val="24"/>
        </w:rPr>
        <w:t>Pētījuma hipotēze, ar kuru tika mēģināts pierādīt, ka eitanāzijas institūta ieviešanas perspektīvas Lietuvā ir ierobežotas skaidra tiesiskā regulējuma trūkuma, kā arī šobrīd spēkā esošās konstitucionālās un likumdošanas doktrīnas par cilvēka dzīvības aizsardzību dēļ, tika apstiprināta, jo analīze parādīja, ka: Lietuvas Republikas Konstitūcija un citi tiesību akti nosaka absolūtu cilvēka dzīvības aizsardzību, kuras interpretācija Konstitucionālās tiesas praksē pagaidām nerada telpu eitanāzijas institūta legalizācijai; nacionālās krimināltiesības jebkādas apzinātas dzīvības atņemšanas darbības kvalificē kā noziedzīgu nodarījumu, neparedzot izņēmumus eitanāzijas gadījumā; starptautisko tiesību normas, lai gan atzīst cilvēka tiesības uz cieņu un privātās dzīves neaizskaramību, nav formulētas pietiekami skaidri, lai tās varētu tieši piemērot kā tiesisku pamatu eitanāzijas institūta regulēšanai Lietuvā.</w:t>
      </w:r>
    </w:p>
    <w:p w14:paraId="41FEB0B7" w14:textId="77777777" w:rsidR="00346126" w:rsidRPr="002A336E" w:rsidRDefault="00346126" w:rsidP="00A539E6">
      <w:pPr>
        <w:spacing w:line="360" w:lineRule="auto"/>
        <w:ind w:firstLine="851"/>
        <w:jc w:val="both"/>
        <w:rPr>
          <w:rFonts w:ascii="Times New Roman" w:hAnsi="Times New Roman"/>
          <w:i/>
          <w:iCs/>
          <w:sz w:val="24"/>
          <w:szCs w:val="24"/>
        </w:rPr>
      </w:pPr>
      <w:r w:rsidRPr="002A336E">
        <w:rPr>
          <w:rFonts w:ascii="Times New Roman" w:hAnsi="Times New Roman"/>
          <w:i/>
          <w:iCs/>
          <w:sz w:val="24"/>
          <w:szCs w:val="24"/>
        </w:rPr>
        <w:t>Lai atbildētu uz darbā izvirzīto mērķi, uzdevumiem un problemātiskajiem jautājumiem, tika formulēti šādi secinājumi:</w:t>
      </w:r>
    </w:p>
    <w:p w14:paraId="4DB0E741" w14:textId="77777777" w:rsidR="00C02B05" w:rsidRPr="002A336E" w:rsidRDefault="00A539E6" w:rsidP="00A539E6">
      <w:pPr>
        <w:spacing w:line="360" w:lineRule="auto"/>
        <w:ind w:firstLine="851"/>
        <w:jc w:val="both"/>
        <w:rPr>
          <w:rFonts w:ascii="Times New Roman" w:hAnsi="Times New Roman"/>
          <w:i/>
          <w:iCs/>
          <w:sz w:val="24"/>
          <w:szCs w:val="24"/>
        </w:rPr>
      </w:pPr>
      <w:r w:rsidRPr="002A336E">
        <w:rPr>
          <w:rFonts w:ascii="Times New Roman" w:hAnsi="Times New Roman"/>
          <w:i/>
          <w:iCs/>
          <w:sz w:val="24"/>
          <w:szCs w:val="24"/>
        </w:rPr>
        <w:lastRenderedPageBreak/>
        <w:t xml:space="preserve">I. </w:t>
      </w:r>
      <w:r w:rsidR="00C02B05" w:rsidRPr="002A336E">
        <w:rPr>
          <w:rFonts w:ascii="Times New Roman" w:hAnsi="Times New Roman"/>
          <w:i/>
          <w:iCs/>
          <w:sz w:val="24"/>
          <w:szCs w:val="24"/>
        </w:rPr>
        <w:t>Secinājumi un ieteikumi par vispārīgiem jautājumiem attiecībā uz dzīvības vērtību un cilvēka tiesībām lemt par individuālo dzīves noslēguma gaitu starptautisko privāttiesību kontekstā.</w:t>
      </w:r>
    </w:p>
    <w:p w14:paraId="2A3B41BF" w14:textId="6208684F" w:rsidR="00A539E6" w:rsidRPr="002A336E" w:rsidRDefault="00A539E6" w:rsidP="00A539E6">
      <w:pPr>
        <w:spacing w:line="360" w:lineRule="auto"/>
        <w:ind w:firstLine="851"/>
        <w:jc w:val="both"/>
        <w:rPr>
          <w:rFonts w:ascii="Times New Roman" w:eastAsia="Calibri" w:hAnsi="Times New Roman"/>
          <w:sz w:val="24"/>
          <w:szCs w:val="24"/>
        </w:rPr>
      </w:pPr>
      <w:r w:rsidRPr="002A336E">
        <w:rPr>
          <w:rFonts w:eastAsia="Calibri"/>
          <w:bCs/>
          <w:szCs w:val="24"/>
        </w:rPr>
        <w:t xml:space="preserve">1. </w:t>
      </w:r>
      <w:r w:rsidR="00D414CF" w:rsidRPr="002A336E">
        <w:rPr>
          <w:rFonts w:ascii="Times New Roman" w:eastAsia="Calibri" w:hAnsi="Times New Roman"/>
          <w:bCs/>
          <w:sz w:val="24"/>
          <w:szCs w:val="24"/>
        </w:rPr>
        <w:t>Secinājums:.</w:t>
      </w:r>
      <w:r w:rsidR="00D414CF" w:rsidRPr="002A336E">
        <w:rPr>
          <w:rFonts w:eastAsia="Calibri"/>
          <w:bCs/>
          <w:szCs w:val="24"/>
        </w:rPr>
        <w:t xml:space="preserve"> </w:t>
      </w:r>
      <w:r w:rsidR="000117F3" w:rsidRPr="002A336E">
        <w:rPr>
          <w:rFonts w:ascii="Times New Roman" w:eastAsia="Calibri" w:hAnsi="Times New Roman"/>
          <w:bCs/>
          <w:sz w:val="24"/>
          <w:szCs w:val="24"/>
        </w:rPr>
        <w:t>Eitanāzija, kas definēta kā apzināta dzīvības izbeigšana nepanesamu sāpju un ciešanu mazināšanas nolūkā, jau gadsimtiem ilgi ir diskusiju objekts un ietver juridiskus, ētiskus, sociālus un reliģiskus apsvērumus. Diskusija par eitanāziju prasa rūpīgu līdzsvara meklēšanu starp individuālās autonomijas un tiesību uz brīvību no ciešanām ievērošanu, no vienas puses, un dzīvības aizsardzību un ļaunprātīgas izmantošanas novēršanu, no otras puses. Eitanāzijas tiesiskais regulējums dažādās valstīs būtiski atšķiras, atspoguļojot katras valsts ētiskās, kultūras un sabiedriskās vērtības. Pastāv valstis, kurās eitanāzija ir absolūti aizliegta un tiek pielīdzināta slepkavībai. Debates par eitanāziju ir īpaši sarežģītas, jo tās skar līdzsvaru starp personiskās autonomijas nodrošināšanu un aizsardzību pret iespējamu personas ekspluatāciju. Eitanāzijas pētījumi galvenokārt ir orientēti uz veselības aprūpes jomu, taču tie ietver arī sociālos, ētiskos, kultūras un zinātniskos aspektus. Eitanāzijas kontekstā pacienta autonomijai ir būtiska nozīme, jo tā nodrošina personai brīvību pieņemt nepiespiestus lēmumus par aprūpi dzīves noslēgumā un iespēju izvēlēties eitanāziju, ja tā tiek uzskatīta par piemērotāko risinājumu.</w:t>
      </w:r>
    </w:p>
    <w:p w14:paraId="67E09FD1" w14:textId="77777777" w:rsidR="0070683C" w:rsidRPr="002A336E" w:rsidRDefault="00A539E6" w:rsidP="00A539E6">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rPr>
        <w:t>1.</w:t>
      </w:r>
      <w:r w:rsidR="0070683C" w:rsidRPr="002A336E">
        <w:rPr>
          <w:rFonts w:ascii="Times New Roman" w:hAnsi="Times New Roman"/>
          <w:sz w:val="24"/>
          <w:szCs w:val="24"/>
        </w:rPr>
        <w:t>Ieteikums: Eitanāzijas kā tiesiska institūta fenomens apliecina, cik sarežģīti ir nodrošināt līdzsvaru starp tiesību uz dzīvību aizsardzību un individuālās autonomijas atzīšanu. Tiesiskajiem risinājumiem, kas regulē eitanāziju, jābalstās starptautiskajos cilvēktiesību standartos, īpašu uzmanību pievēršot cilvēka cieņai un tiesībām netikt pakļautam nepanesamām ciešanām. Lai novērstu ļaunprātīgu izmantošanu, ir nepieciešams izveidot skaidrus kontroles mehānismus, vienlaikus nenoliedzot pacienta tiesības uz brīvu un informētu izvēli.</w:t>
      </w:r>
    </w:p>
    <w:p w14:paraId="7E4CD7A6" w14:textId="77777777" w:rsidR="00EA31DF" w:rsidRPr="002A336E" w:rsidRDefault="00A539E6" w:rsidP="00A539E6">
      <w:pPr>
        <w:spacing w:line="360" w:lineRule="auto"/>
        <w:ind w:firstLine="851"/>
        <w:jc w:val="both"/>
        <w:rPr>
          <w:rFonts w:ascii="Times New Roman" w:hAnsi="Times New Roman"/>
          <w:sz w:val="24"/>
          <w:szCs w:val="24"/>
          <w:u w:val="single"/>
        </w:rPr>
      </w:pPr>
      <w:r w:rsidRPr="002A336E">
        <w:rPr>
          <w:rStyle w:val="rynqvb"/>
          <w:rFonts w:ascii="Times New Roman" w:hAnsi="Times New Roman"/>
          <w:sz w:val="24"/>
          <w:szCs w:val="24"/>
          <w:u w:val="single"/>
        </w:rPr>
        <w:t>2.</w:t>
      </w:r>
      <w:r w:rsidR="00EA31DF" w:rsidRPr="002A336E">
        <w:rPr>
          <w:rFonts w:ascii="Times New Roman" w:hAnsi="Times New Roman"/>
          <w:sz w:val="24"/>
          <w:szCs w:val="24"/>
        </w:rPr>
        <w:t>Ieteikums: Tā kā eitanāzijas regulējums nav tikai juridisks jautājums, bet arī sociāls, medicīnisks un ētisks, jebkādi tiesiskie risinājumi nevar tikt izstrādāti izolēti. Tiem jābalstās starpdisciplinārā pieejā, ietverot medicīnas, bioētikas, reliģijas, socioloģijas un ekonomikas atziņas. Tikai šāda integrēta pieeja var nodrošināt, ka regulējums atbilst gan pacientu individuālajām vajadzībām, gan sabiedrības interesēm.</w:t>
      </w:r>
    </w:p>
    <w:p w14:paraId="0F7E2AE8" w14:textId="5EF3DA22" w:rsidR="00A539E6" w:rsidRPr="002A336E" w:rsidRDefault="00A539E6" w:rsidP="00A539E6">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u w:val="single"/>
        </w:rPr>
        <w:t>3.</w:t>
      </w:r>
      <w:r w:rsidR="00EA5799" w:rsidRPr="002A336E">
        <w:rPr>
          <w:rFonts w:ascii="Times New Roman" w:hAnsi="Times New Roman"/>
          <w:sz w:val="24"/>
          <w:szCs w:val="24"/>
        </w:rPr>
        <w:t>Ieteikums:Diskusija par eitanāziju atklāj, ka daudzās valstīs trūkst visaptverošu datu par  sociālajiem, ekonomiskajiem un psiholoģiskajiem faktoriem, kas nosaka lēmumu izvēlēties eitanāziju. Turpmākajos pētījumos būtu jāanalizē, kā šo izvēli ietekmē sociālā atstumtība, veselības aprūpes sistēmas efektivitāte un kultūras attieksme. Šādas atziņas varētu kļūt par būtisku pamatu nacionālo un starptautisko tiesību aktu pilnveidošanai.</w:t>
      </w:r>
    </w:p>
    <w:p w14:paraId="2C004360" w14:textId="77777777" w:rsidR="00962ABE" w:rsidRPr="002A336E" w:rsidRDefault="00A539E6" w:rsidP="00A539E6">
      <w:pPr>
        <w:spacing w:line="360" w:lineRule="auto"/>
        <w:ind w:firstLine="851"/>
        <w:jc w:val="both"/>
        <w:rPr>
          <w:rFonts w:ascii="Times New Roman" w:eastAsia="Calibri" w:hAnsi="Times New Roman"/>
          <w:bCs/>
          <w:sz w:val="24"/>
          <w:szCs w:val="24"/>
        </w:rPr>
      </w:pPr>
      <w:r w:rsidRPr="002A336E">
        <w:rPr>
          <w:rFonts w:ascii="Times New Roman" w:eastAsia="Calibri" w:hAnsi="Times New Roman"/>
          <w:bCs/>
          <w:sz w:val="24"/>
          <w:szCs w:val="24"/>
        </w:rPr>
        <w:t>2.</w:t>
      </w:r>
      <w:r w:rsidR="00962ABE" w:rsidRPr="002A336E">
        <w:rPr>
          <w:rFonts w:ascii="Times New Roman" w:eastAsia="Calibri" w:hAnsi="Times New Roman"/>
          <w:sz w:val="24"/>
          <w:szCs w:val="24"/>
        </w:rPr>
        <w:t>Secinājums:</w:t>
      </w:r>
      <w:r w:rsidR="00962ABE" w:rsidRPr="002A336E">
        <w:rPr>
          <w:rFonts w:ascii="Times New Roman" w:eastAsia="Calibri" w:hAnsi="Times New Roman"/>
          <w:bCs/>
          <w:sz w:val="24"/>
          <w:szCs w:val="24"/>
        </w:rPr>
        <w:t xml:space="preserve"> No juridiskā skatpunkta aktīvā eitanāzija ir ļoti pretrunīga, jo tā parasti tiek uzskatīta par prettiesisku dzīvības atņemšanu – apzinātu cilvēka dzīvības izbeigšanu. Šāda definīcija atklāj sarežģītu attiecību starp ētikas normām, cilvēka cieņu un tiesiskajām robežām, tādēļ sabiedrībā </w:t>
      </w:r>
      <w:r w:rsidR="00962ABE" w:rsidRPr="002A336E">
        <w:rPr>
          <w:rFonts w:ascii="Times New Roman" w:eastAsia="Calibri" w:hAnsi="Times New Roman"/>
          <w:bCs/>
          <w:sz w:val="24"/>
          <w:szCs w:val="24"/>
        </w:rPr>
        <w:lastRenderedPageBreak/>
        <w:t>pastāv nepārtrauktas diskusijas par eitanāzijas vietu mūsdienu sabiedrībā. Eitanāzija ir daudzšķautņains jautājums, kas apvieno tiesību, medicīnas, filozofijas un bioētikas jomas.</w:t>
      </w:r>
    </w:p>
    <w:p w14:paraId="063D56F6" w14:textId="77777777" w:rsidR="00B17DFC" w:rsidRPr="002A336E" w:rsidRDefault="00A539E6" w:rsidP="00A539E6">
      <w:pPr>
        <w:spacing w:line="360" w:lineRule="auto"/>
        <w:ind w:firstLine="851"/>
        <w:jc w:val="both"/>
        <w:rPr>
          <w:rFonts w:ascii="Times New Roman" w:hAnsi="Times New Roman"/>
          <w:sz w:val="24"/>
          <w:szCs w:val="24"/>
          <w:u w:val="single"/>
        </w:rPr>
      </w:pPr>
      <w:r w:rsidRPr="002A336E">
        <w:rPr>
          <w:rStyle w:val="rynqvb"/>
          <w:rFonts w:ascii="Times New Roman" w:hAnsi="Times New Roman"/>
          <w:sz w:val="24"/>
          <w:szCs w:val="24"/>
          <w:u w:val="single"/>
        </w:rPr>
        <w:t>4.</w:t>
      </w:r>
      <w:r w:rsidR="00B17DFC" w:rsidRPr="002A336E">
        <w:rPr>
          <w:rFonts w:ascii="Times New Roman" w:hAnsi="Times New Roman"/>
          <w:sz w:val="24"/>
          <w:szCs w:val="24"/>
        </w:rPr>
        <w:t>Ieteikums: Ieteicams saglabāt stingru aizliegumu, vienlaikus stiprinot paliatīvās aprūpes sistēmu: likumā skaidri jānosaka, ka aktīvā eitanāzija ir aizliegta, un valstij jānodrošina pieejama un bezmaksas paliatīvā aprūpe. Tāpat būtu jāpilnveido terminālās sedācijas regulējums, lai pacientiem nebūtu ilgstoši jādzīvo nepanesamās sāpēs. Šādā veidā tiktu aizsargāta cilvēka cieņa, neizmantojot apzinātu dzīvības izbeigšanu.</w:t>
      </w:r>
    </w:p>
    <w:p w14:paraId="09913BF3" w14:textId="3F5100D6" w:rsidR="00C72689" w:rsidRPr="002A336E" w:rsidRDefault="00A539E6" w:rsidP="00C72689">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u w:val="single"/>
        </w:rPr>
        <w:t>5.</w:t>
      </w:r>
      <w:r w:rsidR="00C72689" w:rsidRPr="002A336E">
        <w:rPr>
          <w:rFonts w:ascii="Times New Roman" w:hAnsi="Times New Roman"/>
          <w:sz w:val="24"/>
          <w:szCs w:val="24"/>
        </w:rPr>
        <w:t>Ieteikums: Aktīvo eitanāziju atļaut tikai īpašos gadījumos, ja vienlaikus ir izpildīti šādi nosacījumi:</w:t>
      </w:r>
    </w:p>
    <w:p w14:paraId="23B58590" w14:textId="77777777" w:rsidR="00C72689" w:rsidRPr="002A336E" w:rsidRDefault="00C72689" w:rsidP="00C72689">
      <w:pPr>
        <w:numPr>
          <w:ilvl w:val="0"/>
          <w:numId w:val="8"/>
        </w:numPr>
        <w:spacing w:line="360" w:lineRule="auto"/>
        <w:jc w:val="both"/>
        <w:rPr>
          <w:rFonts w:ascii="Times New Roman" w:hAnsi="Times New Roman"/>
          <w:sz w:val="24"/>
          <w:szCs w:val="24"/>
        </w:rPr>
      </w:pPr>
      <w:r w:rsidRPr="002A336E">
        <w:rPr>
          <w:rFonts w:ascii="Times New Roman" w:hAnsi="Times New Roman"/>
          <w:sz w:val="24"/>
          <w:szCs w:val="24"/>
        </w:rPr>
        <w:t>pacientam ir neārstējama, letāla slimība;</w:t>
      </w:r>
    </w:p>
    <w:p w14:paraId="05D1A634" w14:textId="77777777" w:rsidR="00C72689" w:rsidRPr="002A336E" w:rsidRDefault="00C72689" w:rsidP="00C72689">
      <w:pPr>
        <w:numPr>
          <w:ilvl w:val="0"/>
          <w:numId w:val="8"/>
        </w:numPr>
        <w:spacing w:line="360" w:lineRule="auto"/>
        <w:jc w:val="both"/>
        <w:rPr>
          <w:rFonts w:ascii="Times New Roman" w:hAnsi="Times New Roman"/>
          <w:sz w:val="24"/>
          <w:szCs w:val="24"/>
        </w:rPr>
      </w:pPr>
      <w:r w:rsidRPr="002A336E">
        <w:rPr>
          <w:rFonts w:ascii="Times New Roman" w:hAnsi="Times New Roman"/>
          <w:sz w:val="24"/>
          <w:szCs w:val="24"/>
        </w:rPr>
        <w:t>pacients piedzīvo nepanesamas fiziskas vai psiholoģiskas ciešanas;</w:t>
      </w:r>
    </w:p>
    <w:p w14:paraId="56E1D7E7" w14:textId="77777777" w:rsidR="00C72689" w:rsidRPr="002A336E" w:rsidRDefault="00C72689" w:rsidP="00C72689">
      <w:pPr>
        <w:numPr>
          <w:ilvl w:val="0"/>
          <w:numId w:val="8"/>
        </w:numPr>
        <w:spacing w:line="360" w:lineRule="auto"/>
        <w:jc w:val="both"/>
        <w:rPr>
          <w:rFonts w:ascii="Times New Roman" w:hAnsi="Times New Roman"/>
          <w:sz w:val="24"/>
          <w:szCs w:val="24"/>
        </w:rPr>
      </w:pPr>
      <w:r w:rsidRPr="002A336E">
        <w:rPr>
          <w:rFonts w:ascii="Times New Roman" w:hAnsi="Times New Roman"/>
          <w:sz w:val="24"/>
          <w:szCs w:val="24"/>
        </w:rPr>
        <w:t>pacients ir pie samaņas un skaidri, nepārprotami pauž savu gribu.</w:t>
      </w:r>
    </w:p>
    <w:p w14:paraId="3423E480" w14:textId="77777777" w:rsidR="00226767" w:rsidRPr="002A336E" w:rsidRDefault="00A539E6" w:rsidP="00A539E6">
      <w:pPr>
        <w:spacing w:line="360" w:lineRule="auto"/>
        <w:ind w:firstLine="851"/>
        <w:jc w:val="both"/>
        <w:rPr>
          <w:rFonts w:ascii="Times New Roman" w:hAnsi="Times New Roman"/>
          <w:i/>
          <w:iCs/>
          <w:sz w:val="24"/>
          <w:szCs w:val="24"/>
          <w:u w:val="single"/>
        </w:rPr>
      </w:pPr>
      <w:r w:rsidRPr="002A336E">
        <w:rPr>
          <w:rFonts w:ascii="Times New Roman" w:hAnsi="Times New Roman"/>
          <w:sz w:val="24"/>
          <w:szCs w:val="24"/>
        </w:rPr>
        <w:t>II.</w:t>
      </w:r>
      <w:r w:rsidRPr="002A336E">
        <w:rPr>
          <w:rFonts w:ascii="Times New Roman" w:hAnsi="Times New Roman"/>
          <w:i/>
          <w:iCs/>
          <w:sz w:val="24"/>
          <w:szCs w:val="24"/>
        </w:rPr>
        <w:t xml:space="preserve"> </w:t>
      </w:r>
      <w:r w:rsidR="00226767" w:rsidRPr="002A336E">
        <w:rPr>
          <w:rFonts w:ascii="Times New Roman" w:hAnsi="Times New Roman"/>
          <w:sz w:val="24"/>
          <w:szCs w:val="24"/>
        </w:rPr>
        <w:t>Secinājumi un ieteikumi par eitanāzijas kā tiesiska institūta ieviešanu nacionālo un starptautisko tiesību kontekstā, kā arī galveno problēmu identificēšanu.</w:t>
      </w:r>
    </w:p>
    <w:p w14:paraId="48F3D828" w14:textId="40AE18FC" w:rsidR="00A539E6" w:rsidRPr="002A336E" w:rsidRDefault="00A539E6" w:rsidP="00A539E6">
      <w:pPr>
        <w:spacing w:line="360" w:lineRule="auto"/>
        <w:ind w:firstLine="851"/>
        <w:jc w:val="both"/>
        <w:rPr>
          <w:rFonts w:ascii="Times New Roman" w:hAnsi="Times New Roman"/>
          <w:sz w:val="24"/>
          <w:szCs w:val="24"/>
        </w:rPr>
      </w:pPr>
      <w:r w:rsidRPr="002A336E">
        <w:rPr>
          <w:rFonts w:ascii="Times New Roman" w:eastAsia="Calibri" w:hAnsi="Times New Roman"/>
          <w:bCs/>
          <w:sz w:val="24"/>
          <w:szCs w:val="24"/>
        </w:rPr>
        <w:t>3.</w:t>
      </w:r>
      <w:r w:rsidR="008C7475" w:rsidRPr="002A336E">
        <w:rPr>
          <w:rFonts w:ascii="Times New Roman" w:eastAsia="Calibri" w:hAnsi="Times New Roman"/>
          <w:sz w:val="24"/>
          <w:szCs w:val="24"/>
        </w:rPr>
        <w:t>Secinājums:</w:t>
      </w:r>
      <w:r w:rsidR="008C7475" w:rsidRPr="002A336E">
        <w:rPr>
          <w:rFonts w:ascii="Times New Roman" w:eastAsia="Calibri" w:hAnsi="Times New Roman"/>
          <w:bCs/>
          <w:sz w:val="24"/>
          <w:szCs w:val="24"/>
        </w:rPr>
        <w:t xml:space="preserve"> Legalizētas eitanāzijas neesamība Lietuvā rada apstākļus, kuros piespiedu ciešanu turpināšana ir pretrunā personas paša gribai un var tikt uzskatīta par cilvēka cieņas aizskārumu. Šāds tiesiskais regulējums piespiež personu dzīvot ar nepanesamām sāpēm situācijās, kad slimības prognoze neparedz cerības uz uzlabošanos, tādējādi aizskarot personas tiesības uz cieņu.</w:t>
      </w:r>
    </w:p>
    <w:p w14:paraId="374EC034" w14:textId="77777777" w:rsidR="006D2ED6" w:rsidRPr="002A336E" w:rsidRDefault="00A539E6" w:rsidP="00A539E6">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rPr>
        <w:t>6.</w:t>
      </w:r>
      <w:r w:rsidR="006D2ED6" w:rsidRPr="002A336E">
        <w:rPr>
          <w:rFonts w:ascii="Times New Roman" w:hAnsi="Times New Roman"/>
          <w:sz w:val="24"/>
          <w:szCs w:val="24"/>
        </w:rPr>
        <w:t>Ieteikums: Legalizētas eitanāzijas neesamība Lietuvā rada būtiskus jautājumus par atbilstību starptautiskajiem cilvēktiesību standartiem. Situācijās, kad personas ir spiestas izciest nepanesamas ciešanas bez iespējas saņemt tiesiski atļautu atvieglojumu, tas var tikt uzskatīts ne tikai par cilvēka cieņas aizskārumu, bet arī par tiesību uz privāto dzīvi, autonomiju un brīvību no necilvēcīgas vai pazemojošas izturēšanās pārkāpumu, kā tas noteikts Eiropas Cilvēktiesību konvencijā. Lietuvas Republikas Konstitūcijas 19. pants nosaka, ka “cilvēka tiesības uz dzīvību aizsargā likums”. Šī norma tiek interpretēta kā absolūts dzīvības atņemšanas aizliegums, tomēr jautājums par tiesībām uz cienīgu nāvi kā konstitucionāli aizsargātu cilvēka cieņas (21. pants) sastāvdaļu joprojām ir diskutabls. Tādēļ būtu nepieciešams Konstitucionālās tiesas skaidrojums vai Konstitūcijas grozījumi.</w:t>
      </w:r>
    </w:p>
    <w:p w14:paraId="453A91D6" w14:textId="6E18608B" w:rsidR="00E74075" w:rsidRPr="002A336E" w:rsidRDefault="00A539E6" w:rsidP="00E74075">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rPr>
        <w:t>7.</w:t>
      </w:r>
      <w:r w:rsidR="00E74075" w:rsidRPr="002A336E">
        <w:rPr>
          <w:rFonts w:ascii="Times New Roman" w:hAnsi="Times New Roman"/>
          <w:sz w:val="24"/>
          <w:szCs w:val="24"/>
        </w:rPr>
        <w:t>Ieteikums: Ieteicams veikt grozījumus Kriminālkodeksa 129. pantā “Slepkavība”, kā arī normā par “slepkavību pēc cietušā lūguma”, jo pašlaik arī dzīvības atņemšana ar personas piekrišanu un pēc tās lūguma tiek uzskatīta par noziedzīgu nodarījumu, lai gan par to paredzēts maigāks sods. Lai legalizētu eitanāziju, būtu jāparedz izņēmums vai īpašs gadījums, nosakot, ka darbība, kas veikta saskaņā ar stingri reglamentētu procedūru un atbilstoši pacienta gribai, netiek uzskatīta par noziedzīgu nodarījumu.</w:t>
      </w:r>
    </w:p>
    <w:p w14:paraId="33071D26" w14:textId="0CBEF81C" w:rsidR="00A539E6" w:rsidRPr="002A336E" w:rsidRDefault="00E74075" w:rsidP="00E74075">
      <w:pPr>
        <w:spacing w:line="360" w:lineRule="auto"/>
        <w:ind w:firstLine="851"/>
        <w:jc w:val="both"/>
        <w:rPr>
          <w:rFonts w:ascii="Times New Roman" w:hAnsi="Times New Roman"/>
          <w:sz w:val="24"/>
          <w:szCs w:val="24"/>
        </w:rPr>
      </w:pPr>
      <w:r w:rsidRPr="002A336E">
        <w:rPr>
          <w:rFonts w:ascii="Times New Roman" w:hAnsi="Times New Roman"/>
          <w:sz w:val="24"/>
          <w:szCs w:val="24"/>
        </w:rPr>
        <w:lastRenderedPageBreak/>
        <w:t>Tāpat ieteicams papildināt Lietuvas Republikas Kriminālkodeksa 134. pantu “Pašnāvības veicināšana”, iekļaujot tajā gadījumus, kad asistēta pašnāvība vai eitanāzija netiek uzskatīta par noziedzīgu nodarījumu, piemēram, eitanāzijas gadījumā:</w:t>
      </w:r>
    </w:p>
    <w:p w14:paraId="580EBC14" w14:textId="77777777" w:rsidR="0059452E" w:rsidRPr="002A336E" w:rsidRDefault="0059452E" w:rsidP="0059452E">
      <w:pPr>
        <w:spacing w:line="360" w:lineRule="auto"/>
        <w:ind w:firstLine="851"/>
        <w:rPr>
          <w:rFonts w:ascii="Times New Roman" w:hAnsi="Times New Roman"/>
          <w:i/>
          <w:iCs/>
          <w:sz w:val="24"/>
          <w:szCs w:val="24"/>
        </w:rPr>
      </w:pPr>
      <w:r w:rsidRPr="002A336E">
        <w:rPr>
          <w:rFonts w:ascii="Times New Roman" w:hAnsi="Times New Roman"/>
          <w:i/>
          <w:iCs/>
          <w:sz w:val="24"/>
          <w:szCs w:val="24"/>
        </w:rPr>
        <w:t>– pacienta, kurš cieš no neārstējamas, letālas slimības, skaidri pausta un atkārtotos lūgumos apstiprināta griba;</w:t>
      </w:r>
      <w:r w:rsidRPr="002A336E">
        <w:rPr>
          <w:rFonts w:ascii="Times New Roman" w:hAnsi="Times New Roman"/>
          <w:i/>
          <w:iCs/>
          <w:sz w:val="24"/>
          <w:szCs w:val="24"/>
        </w:rPr>
        <w:br/>
        <w:t>– pacienta lēmumam jābūt brīvam, apzinātam un informētam;</w:t>
      </w:r>
      <w:r w:rsidRPr="002A336E">
        <w:rPr>
          <w:rFonts w:ascii="Times New Roman" w:hAnsi="Times New Roman"/>
          <w:i/>
          <w:iCs/>
          <w:sz w:val="24"/>
          <w:szCs w:val="24"/>
        </w:rPr>
        <w:br/>
        <w:t>– ārstu konsilijs, izvērtējot medicīnisko dokumentāciju, apstiprina, ka slimība ir neārstējama un ciešanas – nepanesamas;</w:t>
      </w:r>
      <w:r w:rsidRPr="002A336E">
        <w:rPr>
          <w:rFonts w:ascii="Times New Roman" w:hAnsi="Times New Roman"/>
          <w:i/>
          <w:iCs/>
          <w:sz w:val="24"/>
          <w:szCs w:val="24"/>
        </w:rPr>
        <w:br/>
        <w:t>– īpaša neatkarīga komisija (piemēram, Veselības aprūpes ētikas padome) apstiprina eitanāzijas veikšanu;</w:t>
      </w:r>
      <w:r w:rsidRPr="002A336E">
        <w:rPr>
          <w:rFonts w:ascii="Times New Roman" w:hAnsi="Times New Roman"/>
          <w:i/>
          <w:iCs/>
          <w:sz w:val="24"/>
          <w:szCs w:val="24"/>
        </w:rPr>
        <w:br/>
        <w:t>– procedūru veic tikai ārsts, kuram ir tiesības to darīt, ievērojot likumā un Medicīnas ētikas kodeksā noteiktās prasības;</w:t>
      </w:r>
      <w:r w:rsidRPr="002A336E">
        <w:rPr>
          <w:rFonts w:ascii="Times New Roman" w:hAnsi="Times New Roman"/>
          <w:i/>
          <w:iCs/>
          <w:sz w:val="24"/>
          <w:szCs w:val="24"/>
        </w:rPr>
        <w:br/>
        <w:t>– par eitanāzijas veikšanu, pārkāpjot šajā pantā noteiktos nosacījumus, tiek piemērota kriminālatbildība saskaņā ar šā kodeksa noteikumiem.</w:t>
      </w:r>
    </w:p>
    <w:p w14:paraId="5D38D3EF" w14:textId="77777777" w:rsidR="00A72106" w:rsidRPr="002A336E" w:rsidRDefault="00A539E6" w:rsidP="00A539E6">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u w:val="single"/>
        </w:rPr>
        <w:t>8.</w:t>
      </w:r>
      <w:r w:rsidR="00A72106" w:rsidRPr="002A336E">
        <w:rPr>
          <w:rFonts w:ascii="Times New Roman" w:hAnsi="Times New Roman"/>
          <w:sz w:val="24"/>
          <w:szCs w:val="24"/>
        </w:rPr>
        <w:t>Ieteikums: Pacientu tiesību un veselībai nodarītā kaitējuma atlīdzināšanas likums pašlaik garantē pacienta tiesības atteikties no ārstēšanas, taču neparedz tiesības izvēlēties eitanāziju. To būtu iespējams papildināt ar normām par pacienta tiesībām uz cienīgu nāvi, skaidri reglamentējot procedūru, tās piemērošanas nosacījumus, kā arī informētas piekrišanas kārtību.</w:t>
      </w:r>
    </w:p>
    <w:p w14:paraId="0B3A1E3D" w14:textId="52EEFAED" w:rsidR="00047239" w:rsidRPr="002A336E" w:rsidRDefault="00A539E6" w:rsidP="00A539E6">
      <w:pPr>
        <w:spacing w:line="360" w:lineRule="auto"/>
        <w:ind w:firstLine="851"/>
        <w:jc w:val="both"/>
        <w:rPr>
          <w:rFonts w:ascii="Times New Roman" w:hAnsi="Times New Roman"/>
          <w:sz w:val="24"/>
          <w:szCs w:val="24"/>
          <w:u w:val="single"/>
        </w:rPr>
      </w:pPr>
      <w:r w:rsidRPr="002A336E">
        <w:rPr>
          <w:rStyle w:val="rynqvb"/>
          <w:rFonts w:ascii="Times New Roman" w:hAnsi="Times New Roman"/>
          <w:sz w:val="24"/>
          <w:szCs w:val="24"/>
          <w:u w:val="single"/>
        </w:rPr>
        <w:t>9.</w:t>
      </w:r>
      <w:r w:rsidR="00047239" w:rsidRPr="002A336E">
        <w:rPr>
          <w:rFonts w:ascii="Times New Roman" w:hAnsi="Times New Roman"/>
          <w:sz w:val="24"/>
          <w:szCs w:val="24"/>
        </w:rPr>
        <w:t>Ieteikums: Ieteicams Lietuvas Veselības aprūpes iestāžu likumā / Veselības sistēmas likumā noteikt nosacījumus, kādos ārsti drīkst veikt eitanāziju, paredzēt kontroles sistēmu, kā arī noteikt institūciju, kas uzraudzītu šo procesu (piemēram, īpašu komisiju).</w:t>
      </w:r>
    </w:p>
    <w:p w14:paraId="0C8936DB" w14:textId="6D78782A" w:rsidR="00A539E6" w:rsidRPr="002A336E" w:rsidRDefault="00A539E6" w:rsidP="00A539E6">
      <w:pPr>
        <w:spacing w:line="360" w:lineRule="auto"/>
        <w:ind w:firstLine="851"/>
        <w:jc w:val="both"/>
        <w:rPr>
          <w:rFonts w:ascii="Times New Roman" w:hAnsi="Times New Roman"/>
          <w:sz w:val="24"/>
          <w:szCs w:val="24"/>
        </w:rPr>
      </w:pPr>
      <w:r w:rsidRPr="002A336E">
        <w:rPr>
          <w:rStyle w:val="rynqvb"/>
          <w:rFonts w:ascii="Times New Roman" w:hAnsi="Times New Roman"/>
          <w:sz w:val="24"/>
          <w:szCs w:val="24"/>
          <w:u w:val="single"/>
        </w:rPr>
        <w:t>10.</w:t>
      </w:r>
      <w:r w:rsidR="00F908F3" w:rsidRPr="002A336E">
        <w:rPr>
          <w:rFonts w:ascii="Times New Roman" w:hAnsi="Times New Roman"/>
          <w:sz w:val="24"/>
          <w:szCs w:val="24"/>
        </w:rPr>
        <w:t>Ieteikums: Lietuvas Republikas Civillikumu ieteicams papildināt ar normām par iepriekšējām gribas izpausmēm (advance directives) — dokumentiem, ar kuru starpniecību persona, vēl būdama pie samaņas, var izteikt savu gribu attiecībā uz dzīvību uzturošu ārstēšanu vai eitanāziju nākotnē.</w:t>
      </w:r>
    </w:p>
    <w:p w14:paraId="0AE609C2" w14:textId="4FB0A257" w:rsidR="00A14B1D" w:rsidRPr="002A336E" w:rsidRDefault="00A539E6" w:rsidP="00A539E6">
      <w:pPr>
        <w:spacing w:line="360" w:lineRule="auto"/>
        <w:ind w:firstLine="709"/>
        <w:jc w:val="both"/>
        <w:rPr>
          <w:rFonts w:ascii="Times New Roman" w:eastAsia="Calibri" w:hAnsi="Times New Roman"/>
          <w:bCs/>
          <w:sz w:val="24"/>
          <w:szCs w:val="24"/>
          <w:u w:val="single"/>
        </w:rPr>
      </w:pPr>
      <w:r w:rsidRPr="002A336E">
        <w:rPr>
          <w:rFonts w:ascii="Times New Roman" w:eastAsia="Calibri" w:hAnsi="Times New Roman"/>
          <w:bCs/>
          <w:sz w:val="24"/>
          <w:szCs w:val="24"/>
        </w:rPr>
        <w:t>4.</w:t>
      </w:r>
      <w:r w:rsidR="00A14B1D" w:rsidRPr="002A336E">
        <w:rPr>
          <w:rFonts w:ascii="Times New Roman" w:eastAsia="Calibri" w:hAnsi="Times New Roman"/>
          <w:sz w:val="24"/>
          <w:szCs w:val="24"/>
        </w:rPr>
        <w:t>Secinājums:</w:t>
      </w:r>
      <w:r w:rsidR="00D970D7" w:rsidRPr="002A336E">
        <w:rPr>
          <w:rFonts w:ascii="Times New Roman" w:eastAsia="Calibri" w:hAnsi="Times New Roman"/>
          <w:sz w:val="24"/>
          <w:szCs w:val="24"/>
        </w:rPr>
        <w:t xml:space="preserve"> </w:t>
      </w:r>
      <w:r w:rsidR="00A14B1D" w:rsidRPr="002A336E">
        <w:rPr>
          <w:rFonts w:ascii="Times New Roman" w:eastAsia="Calibri" w:hAnsi="Times New Roman"/>
          <w:sz w:val="24"/>
          <w:szCs w:val="24"/>
        </w:rPr>
        <w:t xml:space="preserve">Lietuvas Republikas likuma </w:t>
      </w:r>
      <w:r w:rsidR="00A14B1D" w:rsidRPr="002A336E">
        <w:rPr>
          <w:rFonts w:ascii="Times New Roman" w:eastAsia="Calibri" w:hAnsi="Times New Roman"/>
          <w:i/>
          <w:iCs/>
          <w:sz w:val="24"/>
          <w:szCs w:val="24"/>
        </w:rPr>
        <w:t>Par cilvēka nāves un kritiskā stāvokļa noteikšanu</w:t>
      </w:r>
      <w:r w:rsidR="00A14B1D" w:rsidRPr="002A336E">
        <w:rPr>
          <w:rFonts w:ascii="Times New Roman" w:eastAsia="Calibri" w:hAnsi="Times New Roman"/>
          <w:sz w:val="24"/>
          <w:szCs w:val="24"/>
        </w:rPr>
        <w:t xml:space="preserve"> 2. panta norma par “bezcerīgu reanimāciju” būtībā liecina, ka pacienta griba nav vienīgais izšķirošais faktors – ir nepieciešama arī ārstu konsilija piekrišana. Likums balstās uz principu par maksimālu dzīvības saglabāšanu pat bezcerīgas prognozes gadījumā. Šāds regulējums ir izteikti paternalistisks, jo tas dod priekšroku ārstu un valsts nostājai, nevis pacienta autonomijai.</w:t>
      </w:r>
    </w:p>
    <w:p w14:paraId="295F53EB" w14:textId="68B523B5" w:rsidR="00A539E6" w:rsidRPr="002A336E" w:rsidRDefault="00A539E6" w:rsidP="0067782F">
      <w:pPr>
        <w:spacing w:line="360" w:lineRule="auto"/>
        <w:ind w:firstLine="709"/>
        <w:jc w:val="both"/>
        <w:rPr>
          <w:u w:val="single"/>
        </w:rPr>
      </w:pPr>
      <w:r w:rsidRPr="002A336E">
        <w:rPr>
          <w:rStyle w:val="rynqvb"/>
          <w:rFonts w:ascii="Times New Roman" w:hAnsi="Times New Roman"/>
          <w:sz w:val="24"/>
          <w:szCs w:val="24"/>
          <w:u w:val="single"/>
        </w:rPr>
        <w:t>11.</w:t>
      </w:r>
      <w:r w:rsidR="0067782F" w:rsidRPr="002A336E">
        <w:rPr>
          <w:rFonts w:ascii="Times New Roman" w:hAnsi="Times New Roman"/>
          <w:sz w:val="24"/>
          <w:szCs w:val="24"/>
        </w:rPr>
        <w:t xml:space="preserve">Ieteikums: Lietuvas Republikas likumā </w:t>
      </w:r>
      <w:r w:rsidR="0067782F" w:rsidRPr="002A336E">
        <w:rPr>
          <w:rFonts w:ascii="Times New Roman" w:hAnsi="Times New Roman"/>
          <w:i/>
          <w:iCs/>
          <w:sz w:val="24"/>
          <w:szCs w:val="24"/>
        </w:rPr>
        <w:t>Par cilvēka nāves un kritiskā stāvokļa noteikšanu</w:t>
      </w:r>
      <w:r w:rsidR="0067782F" w:rsidRPr="002A336E">
        <w:rPr>
          <w:rFonts w:ascii="Times New Roman" w:hAnsi="Times New Roman"/>
          <w:sz w:val="24"/>
          <w:szCs w:val="24"/>
        </w:rPr>
        <w:t xml:space="preserve"> ieteicams noteikt pacienta iepriekšējo gribu un skaidru piekrišanas mehānismu, izmantojot attīstīto valstu modeļus (piemēram, Nīderlandes un Beļģijas pieredzi). Piemēram: </w:t>
      </w:r>
      <w:r w:rsidR="0067782F" w:rsidRPr="002A336E">
        <w:rPr>
          <w:rFonts w:ascii="Times New Roman" w:hAnsi="Times New Roman"/>
          <w:i/>
          <w:iCs/>
          <w:sz w:val="24"/>
          <w:szCs w:val="24"/>
        </w:rPr>
        <w:t xml:space="preserve">“pacientam ir tiesības atteikties no reanimācijas vai citām dzīvību uzturošām procedūrām, ja ir medicīniski konstatēts </w:t>
      </w:r>
      <w:r w:rsidR="0067782F" w:rsidRPr="002A336E">
        <w:rPr>
          <w:rFonts w:ascii="Times New Roman" w:hAnsi="Times New Roman"/>
          <w:i/>
          <w:iCs/>
          <w:sz w:val="24"/>
          <w:szCs w:val="24"/>
        </w:rPr>
        <w:lastRenderedPageBreak/>
        <w:t>bezcerīgs stāvoklis. Šādā gadījumā ārstu konsilija lēmums ir nepieciešams tikai pacienta stāvokļa apstiprināšanai, nevis pacienta gribas noraidīšanai.”</w:t>
      </w:r>
    </w:p>
    <w:p w14:paraId="49233523" w14:textId="1EE92C5C" w:rsidR="00A539E6" w:rsidRPr="002A336E" w:rsidRDefault="00A539E6" w:rsidP="006C725A">
      <w:pPr>
        <w:spacing w:line="360" w:lineRule="auto"/>
        <w:ind w:firstLine="709"/>
        <w:jc w:val="both"/>
        <w:rPr>
          <w:rStyle w:val="rynqvb"/>
          <w:rFonts w:ascii="Times New Roman" w:hAnsi="Times New Roman"/>
          <w:sz w:val="24"/>
          <w:szCs w:val="24"/>
        </w:rPr>
      </w:pPr>
      <w:r w:rsidRPr="002A336E">
        <w:rPr>
          <w:rStyle w:val="rynqvb"/>
          <w:rFonts w:ascii="Times New Roman" w:hAnsi="Times New Roman"/>
          <w:sz w:val="24"/>
          <w:szCs w:val="24"/>
        </w:rPr>
        <w:t>12.</w:t>
      </w:r>
      <w:r w:rsidR="006C725A" w:rsidRPr="002A336E">
        <w:rPr>
          <w:rFonts w:ascii="Times New Roman" w:hAnsi="Times New Roman"/>
          <w:sz w:val="24"/>
          <w:szCs w:val="24"/>
        </w:rPr>
        <w:t xml:space="preserve">Ieteikums: Grozījumu likumā varētu formulēt šādi: </w:t>
      </w:r>
      <w:r w:rsidR="006C725A" w:rsidRPr="002A336E">
        <w:rPr>
          <w:rFonts w:ascii="Times New Roman" w:hAnsi="Times New Roman"/>
          <w:i/>
          <w:iCs/>
          <w:sz w:val="24"/>
          <w:szCs w:val="24"/>
        </w:rPr>
        <w:t>“Pacienta, kurš atrodas bezcerīgā stāvoklī, izteiktā griba atteikties no reanimācijas vai dzīvību uzturošiem pasākumiem ir saistoša veselības aprūpes iestādēm. Ārstu konsilija lēmums ir nepieciešams tikai pacienta stāvokļa noteikšanai.”</w:t>
      </w:r>
      <w:r w:rsidR="006C725A" w:rsidRPr="002A336E">
        <w:rPr>
          <w:rFonts w:ascii="Times New Roman" w:hAnsi="Times New Roman"/>
          <w:sz w:val="24"/>
          <w:szCs w:val="24"/>
        </w:rPr>
        <w:t xml:space="preserve"> Šāds papildinājums būtu pirmais reālais solis, kas tuvinātu Lietuvas sistēmu pasīvās eitanāzijas modelim, bet ilgtermiņā – arī aktīvās eitanāzijas legalizācijai.</w:t>
      </w:r>
    </w:p>
    <w:p w14:paraId="3081DA4F" w14:textId="42899B2E" w:rsidR="00E35BA1" w:rsidRPr="002A336E" w:rsidRDefault="00A539E6" w:rsidP="00A539E6">
      <w:pPr>
        <w:spacing w:line="360" w:lineRule="auto"/>
        <w:ind w:firstLine="709"/>
        <w:jc w:val="both"/>
        <w:rPr>
          <w:rFonts w:ascii="Times New Roman" w:eastAsia="Calibri" w:hAnsi="Times New Roman"/>
          <w:bCs/>
          <w:sz w:val="24"/>
          <w:szCs w:val="24"/>
          <w:u w:val="single"/>
        </w:rPr>
      </w:pPr>
      <w:r w:rsidRPr="002A336E">
        <w:rPr>
          <w:rFonts w:ascii="Times New Roman" w:eastAsia="Calibri" w:hAnsi="Times New Roman"/>
          <w:bCs/>
          <w:sz w:val="24"/>
          <w:szCs w:val="24"/>
        </w:rPr>
        <w:t>5.</w:t>
      </w:r>
      <w:r w:rsidR="00E35BA1" w:rsidRPr="002A336E">
        <w:rPr>
          <w:rFonts w:ascii="Times New Roman" w:eastAsia="Calibri" w:hAnsi="Times New Roman"/>
          <w:sz w:val="24"/>
          <w:szCs w:val="24"/>
        </w:rPr>
        <w:t>Secinājums: Tiesības atteikties no ārstēšanas saskaņā ar Lietuvas tiesībām nozīmē, ka pacients var nepiekrist tam, lai medicīnas speciālisti piemērotu invazīvus dzīvību uzturošus pasākumus. Šāds lēmums tiek uzskatīts par pacienta autonomijas izpausmi, nevis par noziedzīgu nodarījumu, tādēļ ārstiem par pacienta gribas īstenošanu nerodas tiesiskā atbildība. Jāuzsver, ka pacienta lēmums atteikties no ārstēšanas nav pielīdzināms pašnāvībai — pacientam vienkārši tiek ļauts nomirt dabiskā ceļā slimības gaitā, mākslīgi nepagarinot dzīvībai svarīgās funkcijas. Tomēr tas var nozīmēt, ka persona pirms nāves piedzīvo nepanesamas sāpes, tādējādi tiekot aizskartas personas tiesības uz cieņu.</w:t>
      </w:r>
    </w:p>
    <w:p w14:paraId="685C3365" w14:textId="66504F91" w:rsidR="00A81BA2"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u w:val="single"/>
        </w:rPr>
        <w:t>13.</w:t>
      </w:r>
      <w:r w:rsidR="00A81BA2" w:rsidRPr="002A336E">
        <w:rPr>
          <w:rFonts w:ascii="Times New Roman" w:hAnsi="Times New Roman"/>
          <w:sz w:val="24"/>
          <w:szCs w:val="24"/>
        </w:rPr>
        <w:t>Ieteikums: Lai risinātu šo problēmu, ieteicams stiprināt paliatīvās un sāpju mazināšanas aprūpes sistēmu, kā arī likumā noteikt, ka pacientiem, kuri atsakās no ārstēšanas vai dzīvību uzturošiem pasākumiem, automātiski tiek nodrošināta maksimāli iespējamā paliatīvā aprūpe (sāpju mazināšana, sedācija, psiholoģiskais atbalsts). Tam nevajadzētu būt tikai ārsta rīcības brīvībā, bet gan pacienta tiesībām uz bezmaksas un savlaicīgu piekļuvi šādiem pasākumiem. Tāpat ieteicams izveidot valsts mēroga “paliatīvās aprūpes garantiju paketi”, lai cilvēki būtu pārliecināti, ka viņu ciešanas tiks maksimāli mazinātas.</w:t>
      </w:r>
    </w:p>
    <w:p w14:paraId="2D98FCFD" w14:textId="343588EE" w:rsidR="00243E30"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u w:val="single"/>
        </w:rPr>
        <w:t>14.</w:t>
      </w:r>
      <w:r w:rsidR="00243E30" w:rsidRPr="002A336E">
        <w:rPr>
          <w:rFonts w:ascii="Times New Roman" w:hAnsi="Times New Roman"/>
          <w:sz w:val="24"/>
          <w:szCs w:val="24"/>
        </w:rPr>
        <w:t>Ieteikums: Ieteicams noteikt tiesības uz “ārsta izraisītu terminālo sedāciju”. Gadījumos, kad pacients atrodas terminālā slimības stadijā, cieš no nepanesamām sāpēm un ir atteicies no invazīvām procedūrām, likums varētu atļaut ārstam piemērot terminālo sedāciju (t. i., medicīnisku procedūru apziņas nomākšanai līdz dabiskai nāvei). Tā nebūtu eitanāzija, bet gan tiesības uz nesāpīgu un cienīgu nāvi. Šāds modelis jau tiek piemērots dažās Eiropas Savienības valstīs, piemēram, Francijā.</w:t>
      </w:r>
    </w:p>
    <w:p w14:paraId="676066D0" w14:textId="7323C498" w:rsidR="00772D60"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u w:val="single"/>
        </w:rPr>
        <w:t>15</w:t>
      </w:r>
      <w:r w:rsidRPr="002A336E">
        <w:rPr>
          <w:rStyle w:val="rynqvb"/>
          <w:rFonts w:ascii="Times New Roman" w:hAnsi="Times New Roman"/>
          <w:sz w:val="24"/>
          <w:szCs w:val="24"/>
        </w:rPr>
        <w:t>.</w:t>
      </w:r>
      <w:r w:rsidR="00772D60" w:rsidRPr="002A336E">
        <w:rPr>
          <w:rFonts w:ascii="Times New Roman" w:hAnsi="Times New Roman"/>
          <w:sz w:val="24"/>
          <w:szCs w:val="24"/>
        </w:rPr>
        <w:t>Ieteikums: Ieteicams izveidot “iepriekšējās gribas dokumentu”, tādējādi legalizējot iespēju personai jau iepriekš parakstīt dokumentu, kurā tā norāda, ka atsakās no mākslīgas dzīvības pagarināšanas un vēlas maksimālu sāpju mazināšanu un (ja iespējams) terminālo sedāciju. Tas nodrošinātu, ka pacienta lēmums tiek īstenots bez interpretācijas un konfliktiem starp ārstiem un tuviniekiem.</w:t>
      </w:r>
    </w:p>
    <w:p w14:paraId="02F71AB1" w14:textId="65F7FD42" w:rsidR="00FC6209"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rPr>
        <w:t>16.</w:t>
      </w:r>
      <w:r w:rsidR="00FC6209" w:rsidRPr="002A336E">
        <w:rPr>
          <w:rFonts w:ascii="Times New Roman" w:hAnsi="Times New Roman"/>
          <w:sz w:val="24"/>
          <w:szCs w:val="24"/>
        </w:rPr>
        <w:t xml:space="preserve">Ieteikums: Lietuva varētu apsvērt aktīvās eitanāzijas vai asistētas pašnāvības legalizēšanu, pieņemot atsevišķu Eitanāzijas likumu. No juridiskā viedokļa aktīvās eitanāzijas vai asistētas </w:t>
      </w:r>
      <w:r w:rsidR="00FC6209" w:rsidRPr="002A336E">
        <w:rPr>
          <w:rFonts w:ascii="Times New Roman" w:hAnsi="Times New Roman"/>
          <w:sz w:val="24"/>
          <w:szCs w:val="24"/>
        </w:rPr>
        <w:lastRenderedPageBreak/>
        <w:t>pašnāvības legalizācija Lietuvā būtu iespējama tikai pēc atsevišķa Eitanāzijas likuma pieņemšanas. Šāds risinājums ļautu skaidri nošķirt šo jomu no Kriminālkodeksa vispārējām normām, kas pašlaik jebkādu dzīvības atņemšanas vai pašnāvības veicināšanas formu kvalificē kā noziedzīgu nodarījumu. Īpašs likums dotu iespēju detalizēti reglamentēt piemērošanas nosacījumus, iesaistīto subjektu tiesības un pienākumus, kā arī atbildības robežas, tādējādi novēršot tiesisko nenoteiktību un sadrumstalotus izņēmumus.</w:t>
      </w:r>
    </w:p>
    <w:p w14:paraId="73AA9F2F" w14:textId="04740296" w:rsidR="00A539E6" w:rsidRPr="002A336E" w:rsidRDefault="00A539E6" w:rsidP="00A539E6">
      <w:pPr>
        <w:spacing w:line="360" w:lineRule="auto"/>
        <w:ind w:firstLine="709"/>
        <w:jc w:val="both"/>
        <w:rPr>
          <w:rFonts w:ascii="Times New Roman" w:hAnsi="Times New Roman"/>
          <w:sz w:val="24"/>
          <w:szCs w:val="24"/>
        </w:rPr>
      </w:pPr>
      <w:r w:rsidRPr="002A336E">
        <w:rPr>
          <w:rFonts w:ascii="Times New Roman" w:hAnsi="Times New Roman"/>
          <w:sz w:val="24"/>
          <w:szCs w:val="24"/>
        </w:rPr>
        <w:t xml:space="preserve">III. </w:t>
      </w:r>
      <w:r w:rsidR="00390B23" w:rsidRPr="002A336E">
        <w:rPr>
          <w:rFonts w:ascii="Times New Roman" w:hAnsi="Times New Roman"/>
          <w:sz w:val="24"/>
          <w:szCs w:val="24"/>
        </w:rPr>
        <w:t>Secinājumi un ieteikumi par eitanāzijas praktiskās piemērošanas tiesisko regulējumu.</w:t>
      </w:r>
    </w:p>
    <w:p w14:paraId="0F5063D7" w14:textId="77777777" w:rsidR="00390B23" w:rsidRPr="002A336E" w:rsidRDefault="00390B23" w:rsidP="00A539E6">
      <w:pPr>
        <w:spacing w:line="360" w:lineRule="auto"/>
        <w:ind w:firstLine="709"/>
        <w:jc w:val="both"/>
        <w:rPr>
          <w:rFonts w:ascii="Times New Roman" w:hAnsi="Times New Roman"/>
          <w:sz w:val="24"/>
          <w:szCs w:val="24"/>
        </w:rPr>
      </w:pPr>
    </w:p>
    <w:p w14:paraId="2061FB51" w14:textId="77777777" w:rsidR="00B81BDC" w:rsidRPr="002A336E" w:rsidRDefault="00A539E6" w:rsidP="00A539E6">
      <w:pPr>
        <w:spacing w:line="360" w:lineRule="auto"/>
        <w:ind w:firstLine="709"/>
        <w:jc w:val="both"/>
        <w:rPr>
          <w:rFonts w:ascii="Times New Roman" w:eastAsia="Calibri" w:hAnsi="Times New Roman"/>
          <w:bCs/>
          <w:sz w:val="24"/>
          <w:szCs w:val="24"/>
          <w:u w:val="single"/>
        </w:rPr>
      </w:pPr>
      <w:r w:rsidRPr="002A336E">
        <w:rPr>
          <w:rFonts w:ascii="Times New Roman" w:eastAsia="Calibri" w:hAnsi="Times New Roman"/>
          <w:bCs/>
          <w:sz w:val="24"/>
          <w:szCs w:val="24"/>
        </w:rPr>
        <w:t>6.</w:t>
      </w:r>
      <w:r w:rsidR="00B81BDC" w:rsidRPr="002A336E">
        <w:rPr>
          <w:rFonts w:ascii="Times New Roman" w:eastAsia="Calibri" w:hAnsi="Times New Roman"/>
          <w:sz w:val="24"/>
          <w:szCs w:val="24"/>
        </w:rPr>
        <w:t>Secinājums: Aptaujas rezultātu tematiskā analīze parādīja plašu vienprātību par galvenajiem pasākumiem ļaunprātīgas izmantošanas novēršanai eitanāzijas institūtā. Vairākas ekspertu grupas uzsvēra neatkarīgas uzraudzības un kontroles nozīmi, akcentējot pārskatīšanas institūciju, audita un ētikas komiteju lomu atbilstības nodrošināšanā. Daļa intervējamo piekrita nepieciešamībai pēc caurskatāmiem sūdzību iesniegšanas un ziņošanas mehānismiem, uzsverot visaptverošas dokumentācijas un skaidru atbildības procedūru nozīmi efektīvai pārkāpumu risināšanai. Citi empīriskajā pētījumā iesaistītie eksperti koncentrējās uz pastāvīgu ētisko un tiesisko izvērtējumu, izceļot normatīvā regulējuma aktualizēšanas un ētiskās modrības nozīmi, reaģējot uz jauniem izaicinājumiem. Turklāt daži intervējamie uzsvēra ētiskās kultūras un profesionālās apmācības nozīmi, kas vērsta uz veselības aprūpes speciālistu ētiskās atbildības stiprināšanu. Visbeidzot, ekspertu grupa uzsvēra sabiedrības informētības veicināšanu un uzticības veidošanu, saistot caurskatāmību un sabiedrības iesaisti ar ļaunprātīgas izmantošanas novēršanu.</w:t>
      </w:r>
    </w:p>
    <w:p w14:paraId="3A90CB43" w14:textId="5F7ACF61" w:rsidR="00D66BF9" w:rsidRPr="002A336E" w:rsidRDefault="00A539E6" w:rsidP="00A539E6">
      <w:pPr>
        <w:spacing w:line="360" w:lineRule="auto"/>
        <w:ind w:firstLine="709"/>
        <w:jc w:val="both"/>
        <w:rPr>
          <w:rFonts w:ascii="Times New Roman" w:hAnsi="Times New Roman"/>
          <w:sz w:val="24"/>
          <w:szCs w:val="24"/>
        </w:rPr>
      </w:pPr>
      <w:r w:rsidRPr="002A336E">
        <w:rPr>
          <w:rStyle w:val="rynqvb"/>
          <w:rFonts w:ascii="Times New Roman" w:hAnsi="Times New Roman"/>
          <w:sz w:val="24"/>
          <w:szCs w:val="24"/>
          <w:u w:val="single"/>
        </w:rPr>
        <w:t>17.</w:t>
      </w:r>
      <w:r w:rsidR="00D66BF9" w:rsidRPr="002A336E">
        <w:rPr>
          <w:rFonts w:ascii="Times New Roman" w:hAnsi="Times New Roman"/>
          <w:sz w:val="24"/>
          <w:szCs w:val="24"/>
        </w:rPr>
        <w:t>Ieteikums: Ierosināts noteikt skaidrākas tiesiskās prasības attiecībā uz neatkarīgo uzraudzības institūciju sastāvu un kompetencēm, kā arī likumā paredzēt obligātu regulāru un sistemātisku ētiskās un tiesiskās uzraudzības pārskatīšanu.</w:t>
      </w:r>
    </w:p>
    <w:p w14:paraId="0C30F244" w14:textId="77777777" w:rsidR="00381A86" w:rsidRPr="002A336E" w:rsidRDefault="00381A86" w:rsidP="00381A86">
      <w:pPr>
        <w:spacing w:line="360" w:lineRule="auto"/>
        <w:ind w:firstLine="709"/>
        <w:jc w:val="both"/>
        <w:rPr>
          <w:rFonts w:ascii="Times New Roman" w:hAnsi="Times New Roman"/>
          <w:sz w:val="24"/>
          <w:szCs w:val="24"/>
        </w:rPr>
      </w:pPr>
      <w:r w:rsidRPr="002A336E">
        <w:rPr>
          <w:rFonts w:ascii="Times New Roman" w:hAnsi="Times New Roman"/>
          <w:b/>
          <w:bCs/>
          <w:sz w:val="24"/>
          <w:szCs w:val="24"/>
        </w:rPr>
        <w:t>A)</w:t>
      </w:r>
      <w:r w:rsidRPr="002A336E">
        <w:rPr>
          <w:rFonts w:ascii="Times New Roman" w:hAnsi="Times New Roman"/>
          <w:sz w:val="24"/>
          <w:szCs w:val="24"/>
        </w:rPr>
        <w:t xml:space="preserve"> Tā kā Lietuvā pašlaik nepastāv tiesību norma, kas atļautu eitanāziju – ne aktīvo, ne pasīvo –, būtu jāpieņem Eitanāzijas likums. Tas būtu pirmais būtiskais normatīvais akts, kas noteiktu visu regulējuma ietvaru: eitanāzijas jēdzienu, tās piemērošanas nosacījumus, tiesiski atbildīgos subjektus, kontroles mehānismus, izsekojamību, kā arī sūdzību izskatīšanas kārtību.</w:t>
      </w:r>
    </w:p>
    <w:p w14:paraId="4CCAC5F0" w14:textId="77777777" w:rsidR="00381A86" w:rsidRPr="002A336E" w:rsidRDefault="00381A86" w:rsidP="00381A86">
      <w:pPr>
        <w:spacing w:line="360" w:lineRule="auto"/>
        <w:ind w:firstLine="709"/>
        <w:jc w:val="both"/>
        <w:rPr>
          <w:rFonts w:ascii="Times New Roman" w:hAnsi="Times New Roman"/>
          <w:sz w:val="24"/>
          <w:szCs w:val="24"/>
        </w:rPr>
      </w:pPr>
      <w:r w:rsidRPr="002A336E">
        <w:rPr>
          <w:rFonts w:ascii="Times New Roman" w:hAnsi="Times New Roman"/>
          <w:b/>
          <w:bCs/>
          <w:sz w:val="24"/>
          <w:szCs w:val="24"/>
        </w:rPr>
        <w:t>B)</w:t>
      </w:r>
      <w:r w:rsidRPr="002A336E">
        <w:rPr>
          <w:rFonts w:ascii="Times New Roman" w:hAnsi="Times New Roman"/>
          <w:sz w:val="24"/>
          <w:szCs w:val="24"/>
        </w:rPr>
        <w:t xml:space="preserve"> Būtu jāveic grozījumi Kriminālkodeksā, lai precizētu, kādos gadījumos ārsts vai cita persona rīkojas tiesiski (piemēram, ievērojot likuma prasības) un kādos gadījumos iestājas kriminālatbildība; vienlaikus būtu jānosaka nosacījumi, kādos kriminālatbildība netiek piemērota (piemēram, ja eitanāzija ir reglamentēta un veikta atbilstoši visām noteiktajām prasībām).</w:t>
      </w:r>
    </w:p>
    <w:p w14:paraId="1A185A9C" w14:textId="77777777" w:rsidR="00381A86" w:rsidRPr="002A336E" w:rsidRDefault="00381A86" w:rsidP="00381A86">
      <w:pPr>
        <w:spacing w:line="360" w:lineRule="auto"/>
        <w:ind w:firstLine="709"/>
        <w:jc w:val="both"/>
        <w:rPr>
          <w:rFonts w:ascii="Times New Roman" w:hAnsi="Times New Roman"/>
          <w:sz w:val="24"/>
          <w:szCs w:val="24"/>
        </w:rPr>
      </w:pPr>
      <w:r w:rsidRPr="002A336E">
        <w:rPr>
          <w:rFonts w:ascii="Times New Roman" w:hAnsi="Times New Roman"/>
          <w:b/>
          <w:bCs/>
          <w:sz w:val="24"/>
          <w:szCs w:val="24"/>
        </w:rPr>
        <w:t>C)</w:t>
      </w:r>
      <w:r w:rsidRPr="002A336E">
        <w:rPr>
          <w:rFonts w:ascii="Times New Roman" w:hAnsi="Times New Roman"/>
          <w:sz w:val="24"/>
          <w:szCs w:val="24"/>
        </w:rPr>
        <w:t xml:space="preserve"> Veselības aprūpes iestāžu likumā būtu jānosaka veselības aprūpes iestāžu (piemēram, slimnīcu, paliatīvās aprūpes centru) pienākumi: licencēšana, uzraudzība, audits, ētikas komiteju sastāvs, atbildība par dokumentācijas kārtošanu un sūdzību izskatīšanu.</w:t>
      </w:r>
    </w:p>
    <w:p w14:paraId="079AB822" w14:textId="68270BEF" w:rsidR="00393BE0"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u w:val="single"/>
        </w:rPr>
        <w:lastRenderedPageBreak/>
        <w:t>18.</w:t>
      </w:r>
      <w:r w:rsidR="00393BE0" w:rsidRPr="002A336E">
        <w:rPr>
          <w:rFonts w:ascii="Times New Roman" w:hAnsi="Times New Roman"/>
          <w:sz w:val="24"/>
          <w:szCs w:val="24"/>
        </w:rPr>
        <w:t>Ieteikums: Ieteicams izveidot pastāvīgu starpdisciplināru uzraudzības mehānismu (piemēram, apvienojot ārstus, juristus un bioētikas ekspertus) un ieviest centralizētu sūdzību reģistrēšanas un izskatīšanas sistēmu, kas nodrošinātu izsekojamību. Pastāvīga starpdisciplināra uzraudzības institūcija, kurā būtu pārstāvēti ārsti, juristi un bioētiķi, nodrošinātu visaptverošu lēmumu izvērtēšanu. Šāda kopīga izvērtēšana mazinātu risku, ka lēmumi tiek pieņemti šauri, neņemot vērā visus būtiskos apstākļus. Pastāvīgs, nevis ad hoc uzraudzības mehānisms ļautu uzkrāt institucionālo pieredzi un nodrošinātu lēmumu konsekvenci. Regulāri darbojoša institūcija spētu identificēt atkārtotas problēmas, uzraudzīt prakses attīstību un sniegt ieteikumus normatīvā regulējuma vai profesionālo standartu pilnveidošanai. Centralizēti dati nodrošinātu iespēju veikt neatkarīgas pārbaudes, auditus un nepieciešamības gadījumā arī tiesas kontroli.</w:t>
      </w:r>
    </w:p>
    <w:p w14:paraId="485BB7F9" w14:textId="0A622A91" w:rsidR="0097117D"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u w:val="single"/>
        </w:rPr>
        <w:t>19.</w:t>
      </w:r>
      <w:r w:rsidR="0097117D" w:rsidRPr="002A336E">
        <w:rPr>
          <w:rFonts w:ascii="Times New Roman" w:hAnsi="Times New Roman"/>
          <w:sz w:val="24"/>
          <w:szCs w:val="24"/>
        </w:rPr>
        <w:t>Ieteikums: Ieteicams noteikt obligātu ētikas un cilvēktiesību apmācību veselības aprūpes darbiniekiem, kā arī veicināt starptautisko pieredzes apmaiņu un labās prakses pārņemšanu. Šāda apmācība palīdzētu veselības aprūpes speciālistiem labāk izprast pacienta autonomijas, informētas piekrišanas, cilvēka cieņas un nediskriminācijas nozīmi, kā arī skaidri nošķirt likumīgas medicīniskās procedūras no iespējamiem ļaunprātīgas izmantošanas veidiem. Tas mazinātu kļūdu iespējamību un stiprinātu uzticēšanos starp pacientiem, ārstiem un uzraudzības institūcijām.</w:t>
      </w:r>
    </w:p>
    <w:p w14:paraId="5BBCA7CB" w14:textId="0D5F3820" w:rsidR="00A539E6" w:rsidRPr="002A336E" w:rsidRDefault="00A539E6" w:rsidP="00A539E6">
      <w:pPr>
        <w:spacing w:line="360" w:lineRule="auto"/>
        <w:ind w:firstLine="709"/>
        <w:jc w:val="both"/>
        <w:rPr>
          <w:rFonts w:ascii="Times New Roman" w:hAnsi="Times New Roman"/>
          <w:sz w:val="24"/>
          <w:szCs w:val="24"/>
        </w:rPr>
      </w:pPr>
      <w:r w:rsidRPr="002A336E">
        <w:rPr>
          <w:rStyle w:val="rynqvb"/>
          <w:rFonts w:ascii="Times New Roman" w:hAnsi="Times New Roman"/>
          <w:sz w:val="24"/>
          <w:szCs w:val="24"/>
          <w:u w:val="single"/>
        </w:rPr>
        <w:t>20.</w:t>
      </w:r>
      <w:r w:rsidR="008E6BA6" w:rsidRPr="002A336E">
        <w:rPr>
          <w:rFonts w:ascii="Times New Roman" w:hAnsi="Times New Roman"/>
          <w:sz w:val="24"/>
          <w:szCs w:val="24"/>
        </w:rPr>
        <w:t>Ieteikums: Ieteicams nodrošināt regulāru publisku ziņošanu par eitanāzijas institūta darbību, konstatētajiem pārkāpumiem un to novēršanas pasākumiem, kā arī izveidot sabiedriskās konsultēšanās mehānismus (piemēram, pilsoņu padomes vai publiskos forumus). Regulāri publicēti ziņojumi, kas ietver statistikas datus, procedūru norisi, konstatētos pārkāpumus un piemērotos preventīvos pasākumus, ļautu sabiedrībai objektīvi izvērtēt, kā likums tiek īstenots praksē. Sistēmisko problēmu publiska identificēšana dotu iespēju savlaicīgi pilnveidot gan tiesisko regulējumu, gan praktiskās piemērošanas mehānismus.</w:t>
      </w:r>
    </w:p>
    <w:p w14:paraId="0683F829" w14:textId="36BDFE49" w:rsidR="00205403" w:rsidRPr="002A336E" w:rsidRDefault="00A539E6" w:rsidP="00A539E6">
      <w:pPr>
        <w:spacing w:line="360" w:lineRule="auto"/>
        <w:ind w:firstLine="709"/>
        <w:jc w:val="both"/>
        <w:rPr>
          <w:rFonts w:ascii="Times New Roman" w:eastAsia="Calibri" w:hAnsi="Times New Roman"/>
          <w:bCs/>
          <w:sz w:val="24"/>
          <w:szCs w:val="24"/>
        </w:rPr>
      </w:pPr>
      <w:r w:rsidRPr="002A336E">
        <w:rPr>
          <w:rFonts w:ascii="Times New Roman" w:eastAsia="Calibri" w:hAnsi="Times New Roman"/>
          <w:bCs/>
          <w:sz w:val="24"/>
          <w:szCs w:val="24"/>
        </w:rPr>
        <w:t>7.</w:t>
      </w:r>
      <w:r w:rsidR="00E05CE2" w:rsidRPr="002A336E">
        <w:rPr>
          <w:rFonts w:ascii="Times New Roman" w:eastAsia="Calibri" w:hAnsi="Times New Roman"/>
          <w:sz w:val="24"/>
          <w:szCs w:val="24"/>
        </w:rPr>
        <w:t>Secinājums:</w:t>
      </w:r>
      <w:r w:rsidR="00205403" w:rsidRPr="002A336E">
        <w:rPr>
          <w:rFonts w:ascii="Times New Roman" w:eastAsia="Calibri" w:hAnsi="Times New Roman"/>
          <w:bCs/>
          <w:sz w:val="24"/>
          <w:szCs w:val="24"/>
        </w:rPr>
        <w:t xml:space="preserve"> </w:t>
      </w:r>
      <w:r w:rsidR="00E05CE2" w:rsidRPr="002A336E">
        <w:rPr>
          <w:rFonts w:ascii="Times New Roman" w:eastAsia="Calibri" w:hAnsi="Times New Roman"/>
          <w:bCs/>
          <w:sz w:val="24"/>
          <w:szCs w:val="24"/>
        </w:rPr>
        <w:t xml:space="preserve">Sistematizēto ekspertu viedokļu par drošības garantijām rezultāti atklāja, ka Tieslietu ministrija (TM) īpašu uzmanību pievērš atbilstības kritērijiem un sūdzību izskatīšanas procesiem, par prioritāti nosakot stingru sākotnējo izvērtēšanu un caurskatāmas pārbaudes. Veselības ministrija (VM) galvenokārt koncentrējas uz otrā atzinuma nodrošināšanu un dokumentu apkopošanu, tādējādi garantējot uzticamu gadījumu dokumentēšanu. Lietuvas Veselības tiesību institūts (LHTI) uzsvēra stingru sankciju piemērošanu pārkāpumu gadījumos kā atturošu mehānismu, savukārt Lietuvas Nacionālais cilvēktiesību institūts (LNCI) par prioritāti noteica informētas piekrišanas principu pacientu tiesību aizsardzībai. Eiropas Savienības Pamattiesību aģentūra (FRA) uzsvēra labākās starptautiskās prakses piemērošanu un mācīšanos no jau izveidotām sistēmām, bet Starptautiskais veselības un cilvēktiesību centrs (ICHHR) norādīja, ka līdzsvara un savstarpējās kontroles sistēma kopā ar sabiedrības informētību ir būtiska uzticēšanās veicināšanai un pārkāpumu </w:t>
      </w:r>
      <w:r w:rsidR="00E05CE2" w:rsidRPr="002A336E">
        <w:rPr>
          <w:rFonts w:ascii="Times New Roman" w:eastAsia="Calibri" w:hAnsi="Times New Roman"/>
          <w:bCs/>
          <w:sz w:val="24"/>
          <w:szCs w:val="24"/>
        </w:rPr>
        <w:lastRenderedPageBreak/>
        <w:t>novēršanai. Šīs atšķirīgās pieejas apliecina kopīgu apņemšanos novērst ļaunprātīgu izmantošanu, izmantojot katrai institūcijai raksturīgus mehānismus.</w:t>
      </w:r>
    </w:p>
    <w:p w14:paraId="4D0DA177" w14:textId="18C75D31" w:rsidR="00A539E6" w:rsidRPr="002A336E" w:rsidRDefault="00A539E6" w:rsidP="00A539E6">
      <w:pPr>
        <w:spacing w:line="360" w:lineRule="auto"/>
        <w:ind w:firstLine="709"/>
        <w:jc w:val="both"/>
        <w:rPr>
          <w:rFonts w:ascii="Times New Roman" w:hAnsi="Times New Roman"/>
          <w:sz w:val="24"/>
          <w:szCs w:val="24"/>
        </w:rPr>
      </w:pPr>
      <w:r w:rsidRPr="002A336E">
        <w:rPr>
          <w:rStyle w:val="rynqvb"/>
          <w:rFonts w:ascii="Times New Roman" w:hAnsi="Times New Roman"/>
          <w:sz w:val="24"/>
          <w:szCs w:val="24"/>
          <w:u w:val="single"/>
        </w:rPr>
        <w:t>21.</w:t>
      </w:r>
      <w:r w:rsidR="00D56C30" w:rsidRPr="002A336E">
        <w:rPr>
          <w:rFonts w:ascii="Times New Roman" w:hAnsi="Times New Roman"/>
          <w:sz w:val="24"/>
          <w:szCs w:val="24"/>
        </w:rPr>
        <w:t>Ieteikums: Ieteicams veicināt institucionālo koordināciju un sadarbību. Šim nolūkam būtu jāizveido starpresoru koordinācijas padome, kas nodrošinātu Tieslietu ministrijas, Veselības ministrijas, cilvēktiesību institūciju un starptautisko organizāciju ieteikumu savstarpēju saskaņošanu un konsekventu piemērošanu. Tāpat šīs padomes darbā būtu jāiesaista pilsoniskās sabiedrības pārstāvji, lai nodrošinātu caurskatāmību un stiprinātu sabiedrības uzticēšanos.</w:t>
      </w:r>
    </w:p>
    <w:p w14:paraId="1EF83B35" w14:textId="6F8199E2" w:rsidR="00A539E6" w:rsidRPr="002A336E" w:rsidRDefault="00A539E6" w:rsidP="00A539E6">
      <w:pPr>
        <w:spacing w:line="360" w:lineRule="auto"/>
        <w:ind w:firstLine="709"/>
        <w:jc w:val="both"/>
        <w:rPr>
          <w:rStyle w:val="rynqvb"/>
          <w:rFonts w:ascii="Times New Roman" w:hAnsi="Times New Roman"/>
          <w:sz w:val="24"/>
          <w:szCs w:val="24"/>
        </w:rPr>
      </w:pPr>
      <w:r w:rsidRPr="002A336E">
        <w:rPr>
          <w:rStyle w:val="rynqvb"/>
          <w:rFonts w:ascii="Times New Roman" w:hAnsi="Times New Roman"/>
          <w:sz w:val="24"/>
          <w:szCs w:val="24"/>
          <w:u w:val="single"/>
        </w:rPr>
        <w:t>22.</w:t>
      </w:r>
      <w:r w:rsidR="00F802C3" w:rsidRPr="002A336E">
        <w:rPr>
          <w:rFonts w:ascii="Times New Roman" w:hAnsi="Times New Roman"/>
          <w:sz w:val="24"/>
          <w:szCs w:val="24"/>
        </w:rPr>
        <w:t>Ieteikums: Ieteicams izveidot neatkarīgu platformu sūdzību reģistrēšanai un izskatīšanai, kas būtu pieejama pacientiem un viņu tuviniekiem, kā arī noteikt obligātu ziņojumu publicēšanu par saņemtajām sūdzībām, to izskatīšanas metodēm un termiņiem. Neatkarīgas platformas izveide nodrošinātu reālu procesuālo pieejamību pacientiem un viņu tuviniekiem. Atsevišķa institucionāla struktūra ar skaidri noteiktām pilnvarām un garantētu autonomiju stiprinātu lēmumu uzticamību un atbilstību taisnīguma principam.</w:t>
      </w:r>
    </w:p>
    <w:p w14:paraId="34042617" w14:textId="5A18F453" w:rsidR="00A539E6" w:rsidRPr="002A336E" w:rsidRDefault="00A539E6" w:rsidP="00A539E6">
      <w:pPr>
        <w:spacing w:line="360" w:lineRule="auto"/>
        <w:ind w:firstLine="709"/>
        <w:jc w:val="both"/>
        <w:rPr>
          <w:rStyle w:val="rynqvb"/>
          <w:rFonts w:ascii="Times New Roman" w:hAnsi="Times New Roman"/>
          <w:sz w:val="24"/>
          <w:szCs w:val="24"/>
        </w:rPr>
      </w:pPr>
      <w:r w:rsidRPr="002A336E">
        <w:rPr>
          <w:rStyle w:val="rynqvb"/>
          <w:rFonts w:ascii="Times New Roman" w:hAnsi="Times New Roman"/>
          <w:sz w:val="24"/>
          <w:szCs w:val="24"/>
          <w:u w:val="single"/>
        </w:rPr>
        <w:t>23.</w:t>
      </w:r>
      <w:r w:rsidR="006930EE" w:rsidRPr="002A336E">
        <w:rPr>
          <w:rFonts w:ascii="Times New Roman" w:hAnsi="Times New Roman"/>
          <w:sz w:val="24"/>
          <w:szCs w:val="24"/>
        </w:rPr>
        <w:t>Ieteikums: Īstenojot Tieslietu ministrijas uzsvērto stingras personu atlases principu, ieteicams sagatavot un pieņemt īpašu Eitanāzijas likumu, kas sistemātiski reglamentētu visus materiāltiesiskos un procesuālos nosacījumus. Likuma X pantā būtu jānosaka skaidri personas atbilstības kritēriji eitanāzijas piemērošanai, piemēram, vecums, rīcībspēja, diagnosticēta neārstējama slimība, pastāvīgas un nepanesamas sāpes. Šāds tiesiskais regulējums mazinātu rīcības brīvības risku un nodrošinātu vienveidīgu likuma piemērošanu.</w:t>
      </w:r>
    </w:p>
    <w:p w14:paraId="687F84F8" w14:textId="18A1F7FF" w:rsidR="00732B0A" w:rsidRPr="002A336E" w:rsidRDefault="00A539E6" w:rsidP="00A539E6">
      <w:pPr>
        <w:spacing w:line="360" w:lineRule="auto"/>
        <w:ind w:firstLine="709"/>
        <w:jc w:val="both"/>
        <w:rPr>
          <w:rFonts w:ascii="Times New Roman" w:hAnsi="Times New Roman"/>
          <w:sz w:val="24"/>
          <w:szCs w:val="24"/>
          <w:u w:val="single"/>
        </w:rPr>
      </w:pPr>
      <w:r w:rsidRPr="002A336E">
        <w:rPr>
          <w:rStyle w:val="rynqvb"/>
          <w:rFonts w:ascii="Times New Roman" w:hAnsi="Times New Roman"/>
          <w:sz w:val="24"/>
          <w:szCs w:val="24"/>
        </w:rPr>
        <w:t>24.</w:t>
      </w:r>
      <w:r w:rsidR="00732B0A" w:rsidRPr="002A336E">
        <w:rPr>
          <w:rFonts w:ascii="Times New Roman" w:hAnsi="Times New Roman"/>
          <w:sz w:val="24"/>
          <w:szCs w:val="24"/>
        </w:rPr>
        <w:t>Ieteikums: Ņemot vērā Lietuvas Nacionālā cilvēktiesību institūta nostāju, ierosināts nākotnes Eitanāzijas likuma Y pantā detalizēti noteikt informētas piekrišanas saturu un kārtību. Tajā būtu jāparedz pienākums sniegt pacientam pilnīgu informāciju viņam saprotamā valodā par diagnozi, alternatīvām (tostarp paliatīvo aprūpi), iespējamām sekām, kā arī par tiesībām jebkurā brīdī atsaukt savu lēmumu. Tas stiprinātu pacienta autonomijas un cieņas aizsardzību.</w:t>
      </w:r>
    </w:p>
    <w:p w14:paraId="188170EA" w14:textId="6893781C" w:rsidR="00A539E6" w:rsidRPr="002A336E" w:rsidRDefault="00A539E6" w:rsidP="00A539E6">
      <w:pPr>
        <w:spacing w:line="360" w:lineRule="auto"/>
        <w:ind w:firstLine="709"/>
        <w:jc w:val="both"/>
        <w:rPr>
          <w:rStyle w:val="rynqvb"/>
          <w:rFonts w:ascii="Times New Roman" w:hAnsi="Times New Roman"/>
          <w:sz w:val="24"/>
          <w:szCs w:val="24"/>
        </w:rPr>
      </w:pPr>
      <w:r w:rsidRPr="002A336E">
        <w:rPr>
          <w:rStyle w:val="rynqvb"/>
          <w:rFonts w:ascii="Times New Roman" w:hAnsi="Times New Roman"/>
          <w:sz w:val="24"/>
          <w:szCs w:val="24"/>
        </w:rPr>
        <w:t>25.</w:t>
      </w:r>
      <w:r w:rsidR="00D008A7" w:rsidRPr="002A336E">
        <w:rPr>
          <w:rFonts w:ascii="Times New Roman" w:hAnsi="Times New Roman"/>
          <w:sz w:val="24"/>
          <w:szCs w:val="24"/>
        </w:rPr>
        <w:t>Ieteikums: Reaģējot uz Veselības ministrijas noteikto prioritāti, ierosināts nākotnes Eitanāzijas likuma Z pantā paredzēt obligātu neatkarīgu otro (un atsevišķos gadījumos arī trešo) medicīnisko atzinumu. Papildus tam būtu jānosaka pienākums dokumentēt visus lēmuma pieņemšanas posmus standartizētā valsts datu sistēmā, nodrošinot izsekojamību un uzticamu lietas rekonstrukciju.</w:t>
      </w:r>
    </w:p>
    <w:p w14:paraId="4F8DDD18" w14:textId="367ED013" w:rsidR="005D4423" w:rsidRPr="005E1255" w:rsidRDefault="00A539E6" w:rsidP="005E1255">
      <w:pPr>
        <w:spacing w:line="360" w:lineRule="auto"/>
        <w:ind w:firstLine="709"/>
        <w:jc w:val="both"/>
        <w:rPr>
          <w:rFonts w:ascii="Times New Roman" w:hAnsi="Times New Roman"/>
          <w:sz w:val="24"/>
          <w:szCs w:val="24"/>
        </w:rPr>
      </w:pPr>
      <w:r w:rsidRPr="002A336E">
        <w:rPr>
          <w:rStyle w:val="rynqvb"/>
          <w:rFonts w:ascii="Times New Roman" w:hAnsi="Times New Roman"/>
          <w:sz w:val="24"/>
          <w:szCs w:val="24"/>
        </w:rPr>
        <w:t>26.</w:t>
      </w:r>
      <w:r w:rsidR="00767A52" w:rsidRPr="002A336E">
        <w:rPr>
          <w:rFonts w:ascii="Times New Roman" w:hAnsi="Times New Roman"/>
          <w:sz w:val="24"/>
          <w:szCs w:val="24"/>
        </w:rPr>
        <w:t>Ieteikums: Ņemot vērā Lietuvas Veselības tiesību institūta nostāju, ierosināts saskaņot nākotnes Eitanāzijas likumu ar Kriminālkodeksa un Administratīvo pārkāpumu kodeksa normām. Likumā būtu jāparedz stingras sankcijas par procedūru pārkāpumiem, datu viltošanu vai spiediena izdarīšanu uz pacientu. Skaidri noteikta un neizbēgama atbildība kalpotu kā preventīvs līdzeklis ļaunprātīgas izmantošanas novēršanai.</w:t>
      </w:r>
    </w:p>
    <w:p w14:paraId="4D30EA1C" w14:textId="77777777" w:rsidR="006946B6" w:rsidRPr="00640566" w:rsidRDefault="006946B6" w:rsidP="006946B6">
      <w:pPr>
        <w:jc w:val="both"/>
        <w:rPr>
          <w:rFonts w:ascii="Times New Roman" w:hAnsi="Times New Roman"/>
        </w:rPr>
      </w:pPr>
    </w:p>
    <w:sectPr w:rsidR="006946B6" w:rsidRPr="00640566" w:rsidSect="00897249">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95"/>
    <w:multiLevelType w:val="multilevel"/>
    <w:tmpl w:val="9094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84DF8"/>
    <w:multiLevelType w:val="hybridMultilevel"/>
    <w:tmpl w:val="99D61D4C"/>
    <w:lvl w:ilvl="0" w:tplc="2E6E8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7B3148"/>
    <w:multiLevelType w:val="hybridMultilevel"/>
    <w:tmpl w:val="A4525228"/>
    <w:lvl w:ilvl="0" w:tplc="D2C2E1D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2CF97B3F"/>
    <w:multiLevelType w:val="hybridMultilevel"/>
    <w:tmpl w:val="BF7C76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28793C"/>
    <w:multiLevelType w:val="hybridMultilevel"/>
    <w:tmpl w:val="17D0E736"/>
    <w:lvl w:ilvl="0" w:tplc="FB9C4D3A">
      <w:numFmt w:val="bullet"/>
      <w:lvlText w:val=""/>
      <w:lvlJc w:val="left"/>
      <w:pPr>
        <w:ind w:left="780" w:hanging="4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C22452"/>
    <w:multiLevelType w:val="multilevel"/>
    <w:tmpl w:val="2102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96763A"/>
    <w:multiLevelType w:val="multilevel"/>
    <w:tmpl w:val="BEA8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62FEC"/>
    <w:multiLevelType w:val="hybridMultilevel"/>
    <w:tmpl w:val="4B1CE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C11940"/>
    <w:multiLevelType w:val="hybridMultilevel"/>
    <w:tmpl w:val="FA1A6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6093579">
    <w:abstractNumId w:val="5"/>
  </w:num>
  <w:num w:numId="2" w16cid:durableId="724723259">
    <w:abstractNumId w:val="3"/>
  </w:num>
  <w:num w:numId="3" w16cid:durableId="117769388">
    <w:abstractNumId w:val="7"/>
  </w:num>
  <w:num w:numId="4" w16cid:durableId="882130630">
    <w:abstractNumId w:val="4"/>
  </w:num>
  <w:num w:numId="5" w16cid:durableId="903417439">
    <w:abstractNumId w:val="1"/>
  </w:num>
  <w:num w:numId="6" w16cid:durableId="1810825955">
    <w:abstractNumId w:val="8"/>
  </w:num>
  <w:num w:numId="7" w16cid:durableId="1460341712">
    <w:abstractNumId w:val="2"/>
  </w:num>
  <w:num w:numId="8" w16cid:durableId="449009644">
    <w:abstractNumId w:val="6"/>
  </w:num>
  <w:num w:numId="9" w16cid:durableId="121326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82"/>
    <w:rsid w:val="000117F3"/>
    <w:rsid w:val="00047239"/>
    <w:rsid w:val="000778C5"/>
    <w:rsid w:val="0008756B"/>
    <w:rsid w:val="000C0550"/>
    <w:rsid w:val="000F1C97"/>
    <w:rsid w:val="00104B57"/>
    <w:rsid w:val="00140434"/>
    <w:rsid w:val="001474A4"/>
    <w:rsid w:val="00153BBC"/>
    <w:rsid w:val="00181773"/>
    <w:rsid w:val="001B6E35"/>
    <w:rsid w:val="001C0F43"/>
    <w:rsid w:val="001D3259"/>
    <w:rsid w:val="001E4A47"/>
    <w:rsid w:val="00205403"/>
    <w:rsid w:val="00226767"/>
    <w:rsid w:val="00240697"/>
    <w:rsid w:val="00243E30"/>
    <w:rsid w:val="0026275D"/>
    <w:rsid w:val="002819DC"/>
    <w:rsid w:val="00295D70"/>
    <w:rsid w:val="002975C9"/>
    <w:rsid w:val="002A336E"/>
    <w:rsid w:val="002B2A5F"/>
    <w:rsid w:val="002F4A2B"/>
    <w:rsid w:val="00342745"/>
    <w:rsid w:val="00346126"/>
    <w:rsid w:val="00381A86"/>
    <w:rsid w:val="00390B23"/>
    <w:rsid w:val="00393BE0"/>
    <w:rsid w:val="003A04F2"/>
    <w:rsid w:val="003C50E7"/>
    <w:rsid w:val="003F5BBE"/>
    <w:rsid w:val="00405C0A"/>
    <w:rsid w:val="00411482"/>
    <w:rsid w:val="00445345"/>
    <w:rsid w:val="0049004C"/>
    <w:rsid w:val="00490C4B"/>
    <w:rsid w:val="004D278A"/>
    <w:rsid w:val="004E3FD6"/>
    <w:rsid w:val="004F1289"/>
    <w:rsid w:val="00550DFF"/>
    <w:rsid w:val="005908D4"/>
    <w:rsid w:val="0059452E"/>
    <w:rsid w:val="005970C9"/>
    <w:rsid w:val="005D4423"/>
    <w:rsid w:val="005D6F58"/>
    <w:rsid w:val="005E1255"/>
    <w:rsid w:val="0060138D"/>
    <w:rsid w:val="00610EEC"/>
    <w:rsid w:val="00622FA4"/>
    <w:rsid w:val="00630FB2"/>
    <w:rsid w:val="006330F6"/>
    <w:rsid w:val="00640566"/>
    <w:rsid w:val="00643D53"/>
    <w:rsid w:val="0066119C"/>
    <w:rsid w:val="0067782F"/>
    <w:rsid w:val="006930EE"/>
    <w:rsid w:val="006946B6"/>
    <w:rsid w:val="006A656F"/>
    <w:rsid w:val="006B77BF"/>
    <w:rsid w:val="006C725A"/>
    <w:rsid w:val="006D2ED6"/>
    <w:rsid w:val="006E3303"/>
    <w:rsid w:val="0070683C"/>
    <w:rsid w:val="007120DE"/>
    <w:rsid w:val="007172B9"/>
    <w:rsid w:val="00721586"/>
    <w:rsid w:val="00732B0A"/>
    <w:rsid w:val="00746B14"/>
    <w:rsid w:val="00767A52"/>
    <w:rsid w:val="00772D60"/>
    <w:rsid w:val="007A58F5"/>
    <w:rsid w:val="007B60DB"/>
    <w:rsid w:val="007D5181"/>
    <w:rsid w:val="007E15A8"/>
    <w:rsid w:val="007F34B8"/>
    <w:rsid w:val="008075C3"/>
    <w:rsid w:val="00843A08"/>
    <w:rsid w:val="00844EB9"/>
    <w:rsid w:val="00851097"/>
    <w:rsid w:val="00871AC7"/>
    <w:rsid w:val="00897249"/>
    <w:rsid w:val="008A6324"/>
    <w:rsid w:val="008C7475"/>
    <w:rsid w:val="008D6A92"/>
    <w:rsid w:val="008E6834"/>
    <w:rsid w:val="008E6BA6"/>
    <w:rsid w:val="009301F9"/>
    <w:rsid w:val="00950C66"/>
    <w:rsid w:val="00962ABE"/>
    <w:rsid w:val="0097117D"/>
    <w:rsid w:val="00974618"/>
    <w:rsid w:val="009750DE"/>
    <w:rsid w:val="00977CE6"/>
    <w:rsid w:val="009B10EE"/>
    <w:rsid w:val="009B37FF"/>
    <w:rsid w:val="009E74A8"/>
    <w:rsid w:val="00A1074A"/>
    <w:rsid w:val="00A14B1D"/>
    <w:rsid w:val="00A2751D"/>
    <w:rsid w:val="00A31041"/>
    <w:rsid w:val="00A462F9"/>
    <w:rsid w:val="00A539E6"/>
    <w:rsid w:val="00A72106"/>
    <w:rsid w:val="00A81BA2"/>
    <w:rsid w:val="00A970F1"/>
    <w:rsid w:val="00AB26BA"/>
    <w:rsid w:val="00AE0E83"/>
    <w:rsid w:val="00AE57FC"/>
    <w:rsid w:val="00AE78CC"/>
    <w:rsid w:val="00B052BD"/>
    <w:rsid w:val="00B17DFC"/>
    <w:rsid w:val="00B6516F"/>
    <w:rsid w:val="00B81BDC"/>
    <w:rsid w:val="00B91D9E"/>
    <w:rsid w:val="00BD33E5"/>
    <w:rsid w:val="00C02B05"/>
    <w:rsid w:val="00C722A1"/>
    <w:rsid w:val="00C72689"/>
    <w:rsid w:val="00C90603"/>
    <w:rsid w:val="00CD069B"/>
    <w:rsid w:val="00CD6FF8"/>
    <w:rsid w:val="00D008A7"/>
    <w:rsid w:val="00D02EF2"/>
    <w:rsid w:val="00D40C43"/>
    <w:rsid w:val="00D414CF"/>
    <w:rsid w:val="00D56C30"/>
    <w:rsid w:val="00D627B7"/>
    <w:rsid w:val="00D64B4D"/>
    <w:rsid w:val="00D66BF9"/>
    <w:rsid w:val="00D970D7"/>
    <w:rsid w:val="00DA2877"/>
    <w:rsid w:val="00DB20FD"/>
    <w:rsid w:val="00DE4DD3"/>
    <w:rsid w:val="00DF553F"/>
    <w:rsid w:val="00E02811"/>
    <w:rsid w:val="00E05CE2"/>
    <w:rsid w:val="00E16A80"/>
    <w:rsid w:val="00E17772"/>
    <w:rsid w:val="00E21312"/>
    <w:rsid w:val="00E24337"/>
    <w:rsid w:val="00E35BA1"/>
    <w:rsid w:val="00E66EF0"/>
    <w:rsid w:val="00E74075"/>
    <w:rsid w:val="00E83EEB"/>
    <w:rsid w:val="00EA31DF"/>
    <w:rsid w:val="00EA5799"/>
    <w:rsid w:val="00EB7210"/>
    <w:rsid w:val="00EB7263"/>
    <w:rsid w:val="00EF0F89"/>
    <w:rsid w:val="00F46285"/>
    <w:rsid w:val="00F51B3D"/>
    <w:rsid w:val="00F802C3"/>
    <w:rsid w:val="00F908F3"/>
    <w:rsid w:val="00F94125"/>
    <w:rsid w:val="00FA0744"/>
    <w:rsid w:val="00FC6209"/>
    <w:rsid w:val="00FD0D54"/>
    <w:rsid w:val="00FD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F355"/>
  <w15:chartTrackingRefBased/>
  <w15:docId w15:val="{737CE434-02A2-43BB-A155-F03CFF4A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249"/>
    <w:pPr>
      <w:spacing w:after="0" w:line="240" w:lineRule="auto"/>
    </w:pPr>
    <w:rPr>
      <w:rFonts w:ascii="Arial" w:eastAsia="Times New Roman" w:hAnsi="Arial" w:cs="Times New Roman"/>
      <w:kern w:val="0"/>
      <w:sz w:val="20"/>
      <w:szCs w:val="20"/>
      <w:lang w:val="lv-LV" w:eastAsia="en-GB" w:bidi="en-GB"/>
      <w14:ligatures w14:val="none"/>
    </w:rPr>
  </w:style>
  <w:style w:type="paragraph" w:styleId="Antrat1">
    <w:name w:val="heading 1"/>
    <w:basedOn w:val="prastasis"/>
    <w:next w:val="prastasis"/>
    <w:link w:val="Antrat1Diagrama"/>
    <w:uiPriority w:val="9"/>
    <w:qFormat/>
    <w:rsid w:val="004114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bidi="ar-SA"/>
      <w14:ligatures w14:val="standardContextual"/>
    </w:rPr>
  </w:style>
  <w:style w:type="paragraph" w:styleId="Antrat2">
    <w:name w:val="heading 2"/>
    <w:basedOn w:val="prastasis"/>
    <w:next w:val="prastasis"/>
    <w:link w:val="Antrat2Diagrama"/>
    <w:uiPriority w:val="9"/>
    <w:semiHidden/>
    <w:unhideWhenUsed/>
    <w:qFormat/>
    <w:rsid w:val="004114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bidi="ar-SA"/>
      <w14:ligatures w14:val="standardContextual"/>
    </w:rPr>
  </w:style>
  <w:style w:type="paragraph" w:styleId="Antrat3">
    <w:name w:val="heading 3"/>
    <w:basedOn w:val="prastasis"/>
    <w:next w:val="prastasis"/>
    <w:link w:val="Antrat3Diagrama"/>
    <w:uiPriority w:val="9"/>
    <w:semiHidden/>
    <w:unhideWhenUsed/>
    <w:qFormat/>
    <w:rsid w:val="004114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bidi="ar-SA"/>
      <w14:ligatures w14:val="standardContextual"/>
    </w:rPr>
  </w:style>
  <w:style w:type="paragraph" w:styleId="Antrat4">
    <w:name w:val="heading 4"/>
    <w:basedOn w:val="prastasis"/>
    <w:next w:val="prastasis"/>
    <w:link w:val="Antrat4Diagrama"/>
    <w:uiPriority w:val="9"/>
    <w:semiHidden/>
    <w:unhideWhenUsed/>
    <w:qFormat/>
    <w:rsid w:val="004114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bidi="ar-SA"/>
      <w14:ligatures w14:val="standardContextual"/>
    </w:rPr>
  </w:style>
  <w:style w:type="paragraph" w:styleId="Antrat5">
    <w:name w:val="heading 5"/>
    <w:basedOn w:val="prastasis"/>
    <w:next w:val="prastasis"/>
    <w:link w:val="Antrat5Diagrama"/>
    <w:uiPriority w:val="9"/>
    <w:semiHidden/>
    <w:unhideWhenUsed/>
    <w:qFormat/>
    <w:rsid w:val="004114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bidi="ar-SA"/>
      <w14:ligatures w14:val="standardContextual"/>
    </w:rPr>
  </w:style>
  <w:style w:type="paragraph" w:styleId="Antrat6">
    <w:name w:val="heading 6"/>
    <w:basedOn w:val="prastasis"/>
    <w:next w:val="prastasis"/>
    <w:link w:val="Antrat6Diagrama"/>
    <w:uiPriority w:val="9"/>
    <w:semiHidden/>
    <w:unhideWhenUsed/>
    <w:qFormat/>
    <w:rsid w:val="004114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bidi="ar-SA"/>
      <w14:ligatures w14:val="standardContextual"/>
    </w:rPr>
  </w:style>
  <w:style w:type="paragraph" w:styleId="Antrat7">
    <w:name w:val="heading 7"/>
    <w:basedOn w:val="prastasis"/>
    <w:next w:val="prastasis"/>
    <w:link w:val="Antrat7Diagrama"/>
    <w:uiPriority w:val="9"/>
    <w:semiHidden/>
    <w:unhideWhenUsed/>
    <w:qFormat/>
    <w:rsid w:val="004114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bidi="ar-SA"/>
      <w14:ligatures w14:val="standardContextual"/>
    </w:rPr>
  </w:style>
  <w:style w:type="paragraph" w:styleId="Antrat8">
    <w:name w:val="heading 8"/>
    <w:basedOn w:val="prastasis"/>
    <w:next w:val="prastasis"/>
    <w:link w:val="Antrat8Diagrama"/>
    <w:uiPriority w:val="9"/>
    <w:semiHidden/>
    <w:unhideWhenUsed/>
    <w:qFormat/>
    <w:rsid w:val="004114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bidi="ar-SA"/>
      <w14:ligatures w14:val="standardContextual"/>
    </w:rPr>
  </w:style>
  <w:style w:type="paragraph" w:styleId="Antrat9">
    <w:name w:val="heading 9"/>
    <w:basedOn w:val="prastasis"/>
    <w:next w:val="prastasis"/>
    <w:link w:val="Antrat9Diagrama"/>
    <w:uiPriority w:val="9"/>
    <w:semiHidden/>
    <w:unhideWhenUsed/>
    <w:qFormat/>
    <w:rsid w:val="0041148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bidi="ar-SA"/>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4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14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14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14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14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14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14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14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14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1482"/>
    <w:pPr>
      <w:spacing w:after="80"/>
      <w:contextualSpacing/>
    </w:pPr>
    <w:rPr>
      <w:rFonts w:asciiTheme="majorHAnsi" w:eastAsiaTheme="majorEastAsia" w:hAnsiTheme="majorHAnsi" w:cstheme="majorBidi"/>
      <w:spacing w:val="-10"/>
      <w:kern w:val="28"/>
      <w:sz w:val="56"/>
      <w:szCs w:val="56"/>
      <w:lang w:val="lt-LT" w:eastAsia="en-US" w:bidi="ar-SA"/>
      <w14:ligatures w14:val="standardContextual"/>
    </w:rPr>
  </w:style>
  <w:style w:type="character" w:customStyle="1" w:styleId="PavadinimasDiagrama">
    <w:name w:val="Pavadinimas Diagrama"/>
    <w:basedOn w:val="Numatytasispastraiposriftas"/>
    <w:link w:val="Pavadinimas"/>
    <w:uiPriority w:val="10"/>
    <w:rsid w:val="004114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14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bidi="ar-SA"/>
      <w14:ligatures w14:val="standardContextual"/>
    </w:rPr>
  </w:style>
  <w:style w:type="character" w:customStyle="1" w:styleId="PaantratDiagrama">
    <w:name w:val="Paantraštė Diagrama"/>
    <w:basedOn w:val="Numatytasispastraiposriftas"/>
    <w:link w:val="Paantrat"/>
    <w:uiPriority w:val="11"/>
    <w:rsid w:val="004114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14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bidi="ar-SA"/>
      <w14:ligatures w14:val="standardContextual"/>
    </w:rPr>
  </w:style>
  <w:style w:type="character" w:customStyle="1" w:styleId="CitataDiagrama">
    <w:name w:val="Citata Diagrama"/>
    <w:basedOn w:val="Numatytasispastraiposriftas"/>
    <w:link w:val="Citata"/>
    <w:uiPriority w:val="29"/>
    <w:rsid w:val="00411482"/>
    <w:rPr>
      <w:i/>
      <w:iCs/>
      <w:color w:val="404040" w:themeColor="text1" w:themeTint="BF"/>
    </w:rPr>
  </w:style>
  <w:style w:type="paragraph" w:styleId="Sraopastraipa">
    <w:name w:val="List Paragraph"/>
    <w:basedOn w:val="prastasis"/>
    <w:uiPriority w:val="34"/>
    <w:qFormat/>
    <w:rsid w:val="00411482"/>
    <w:pPr>
      <w:spacing w:after="160" w:line="259" w:lineRule="auto"/>
      <w:ind w:left="720"/>
      <w:contextualSpacing/>
    </w:pPr>
    <w:rPr>
      <w:rFonts w:asciiTheme="minorHAnsi" w:eastAsiaTheme="minorHAnsi" w:hAnsiTheme="minorHAnsi" w:cstheme="minorBidi"/>
      <w:kern w:val="2"/>
      <w:sz w:val="22"/>
      <w:szCs w:val="22"/>
      <w:lang w:val="lt-LT" w:eastAsia="en-US" w:bidi="ar-SA"/>
      <w14:ligatures w14:val="standardContextual"/>
    </w:rPr>
  </w:style>
  <w:style w:type="character" w:styleId="Rykuspabraukimas">
    <w:name w:val="Intense Emphasis"/>
    <w:basedOn w:val="Numatytasispastraiposriftas"/>
    <w:uiPriority w:val="21"/>
    <w:qFormat/>
    <w:rsid w:val="00411482"/>
    <w:rPr>
      <w:i/>
      <w:iCs/>
      <w:color w:val="0F4761" w:themeColor="accent1" w:themeShade="BF"/>
    </w:rPr>
  </w:style>
  <w:style w:type="paragraph" w:styleId="Iskirtacitata">
    <w:name w:val="Intense Quote"/>
    <w:basedOn w:val="prastasis"/>
    <w:next w:val="prastasis"/>
    <w:link w:val="IskirtacitataDiagrama"/>
    <w:uiPriority w:val="30"/>
    <w:qFormat/>
    <w:rsid w:val="004114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bidi="ar-SA"/>
      <w14:ligatures w14:val="standardContextual"/>
    </w:rPr>
  </w:style>
  <w:style w:type="character" w:customStyle="1" w:styleId="IskirtacitataDiagrama">
    <w:name w:val="Išskirta citata Diagrama"/>
    <w:basedOn w:val="Numatytasispastraiposriftas"/>
    <w:link w:val="Iskirtacitata"/>
    <w:uiPriority w:val="30"/>
    <w:rsid w:val="00411482"/>
    <w:rPr>
      <w:i/>
      <w:iCs/>
      <w:color w:val="0F4761" w:themeColor="accent1" w:themeShade="BF"/>
    </w:rPr>
  </w:style>
  <w:style w:type="character" w:styleId="Rykinuoroda">
    <w:name w:val="Intense Reference"/>
    <w:basedOn w:val="Numatytasispastraiposriftas"/>
    <w:uiPriority w:val="32"/>
    <w:qFormat/>
    <w:rsid w:val="00411482"/>
    <w:rPr>
      <w:b/>
      <w:bCs/>
      <w:smallCaps/>
      <w:color w:val="0F4761" w:themeColor="accent1" w:themeShade="BF"/>
      <w:spacing w:val="5"/>
    </w:rPr>
  </w:style>
  <w:style w:type="paragraph" w:styleId="Porat">
    <w:name w:val="footer"/>
    <w:basedOn w:val="prastasis"/>
    <w:link w:val="PoratDiagrama"/>
    <w:rsid w:val="00897249"/>
    <w:pPr>
      <w:tabs>
        <w:tab w:val="center" w:pos="4153"/>
        <w:tab w:val="right" w:pos="8306"/>
      </w:tabs>
    </w:pPr>
  </w:style>
  <w:style w:type="character" w:customStyle="1" w:styleId="PoratDiagrama">
    <w:name w:val="Poraštė Diagrama"/>
    <w:basedOn w:val="Numatytasispastraiposriftas"/>
    <w:link w:val="Porat"/>
    <w:rsid w:val="00897249"/>
    <w:rPr>
      <w:rFonts w:ascii="Arial" w:eastAsia="Times New Roman" w:hAnsi="Arial" w:cs="Times New Roman"/>
      <w:kern w:val="0"/>
      <w:sz w:val="20"/>
      <w:szCs w:val="20"/>
      <w:lang w:val="en-GB" w:eastAsia="en-GB" w:bidi="en-GB"/>
      <w14:ligatures w14:val="none"/>
    </w:rPr>
  </w:style>
  <w:style w:type="paragraph" w:customStyle="1" w:styleId="Default">
    <w:name w:val="Default"/>
    <w:rsid w:val="00104B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bidi="en-GB"/>
      <w14:ligatures w14:val="none"/>
    </w:rPr>
  </w:style>
  <w:style w:type="paragraph" w:styleId="prastasiniatinklio">
    <w:name w:val="Normal (Web)"/>
    <w:basedOn w:val="prastasis"/>
    <w:uiPriority w:val="99"/>
    <w:unhideWhenUsed/>
    <w:rsid w:val="00DA2877"/>
    <w:pPr>
      <w:spacing w:before="100" w:beforeAutospacing="1" w:after="100" w:afterAutospacing="1"/>
    </w:pPr>
    <w:rPr>
      <w:rFonts w:ascii="Times New Roman" w:hAnsi="Times New Roman"/>
      <w:sz w:val="24"/>
      <w:szCs w:val="24"/>
      <w:lang w:val="lt-LT" w:eastAsia="lt-LT" w:bidi="ar-SA"/>
    </w:rPr>
  </w:style>
  <w:style w:type="character" w:customStyle="1" w:styleId="rynqvb">
    <w:name w:val="rynqvb"/>
    <w:basedOn w:val="Numatytasispastraiposriftas"/>
    <w:rsid w:val="00A539E6"/>
  </w:style>
  <w:style w:type="paragraph" w:styleId="HTMLiankstoformatuotas">
    <w:name w:val="HTML Preformatted"/>
    <w:basedOn w:val="prastasis"/>
    <w:link w:val="HTMLiankstoformatuotasDiagrama"/>
    <w:uiPriority w:val="99"/>
    <w:semiHidden/>
    <w:unhideWhenUsed/>
    <w:rsid w:val="00D627B7"/>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627B7"/>
    <w:rPr>
      <w:rFonts w:ascii="Consolas" w:eastAsia="Times New Roman" w:hAnsi="Consolas" w:cs="Times New Roman"/>
      <w:kern w:val="0"/>
      <w:sz w:val="20"/>
      <w:szCs w:val="20"/>
      <w:lang w:val="en-US"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4E743509FAC43976D8C5EF8C2118E" ma:contentTypeVersion="11" ma:contentTypeDescription="Create a new document." ma:contentTypeScope="" ma:versionID="ad6414b07443e5f134a8773c4a2e177e">
  <xsd:schema xmlns:xsd="http://www.w3.org/2001/XMLSchema" xmlns:xs="http://www.w3.org/2001/XMLSchema" xmlns:p="http://schemas.microsoft.com/office/2006/metadata/properties" xmlns:ns2="cf671cdd-c684-4a9c-b484-c183283019e1" xmlns:ns3="384b24ba-e324-4234-864b-1ac14dfe11c3" targetNamespace="http://schemas.microsoft.com/office/2006/metadata/properties" ma:root="true" ma:fieldsID="38b9af9c757869f04ffb9d63de237b8b" ns2:_="" ns3:_="">
    <xsd:import namespace="cf671cdd-c684-4a9c-b484-c183283019e1"/>
    <xsd:import namespace="384b24ba-e324-4234-864b-1ac14dfe1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1cdd-c684-4a9c-b484-c18328301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512b98-2fd7-49e6-b107-3b556ba243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b24ba-e324-4234-864b-1ac14dfe11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a0213-0b06-4fdb-994d-e8a096872146}" ma:internalName="TaxCatchAll" ma:showField="CatchAllData" ma:web="384b24ba-e324-4234-864b-1ac14dfe1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71cdd-c684-4a9c-b484-c183283019e1">
      <Terms xmlns="http://schemas.microsoft.com/office/infopath/2007/PartnerControls"/>
    </lcf76f155ced4ddcb4097134ff3c332f>
    <TaxCatchAll xmlns="384b24ba-e324-4234-864b-1ac14dfe11c3" xsi:nil="true"/>
  </documentManagement>
</p:properties>
</file>

<file path=customXml/itemProps1.xml><?xml version="1.0" encoding="utf-8"?>
<ds:datastoreItem xmlns:ds="http://schemas.openxmlformats.org/officeDocument/2006/customXml" ds:itemID="{8582E7A5-3EF7-48C7-8FE7-1ACDBBD7EA9D}"/>
</file>

<file path=customXml/itemProps2.xml><?xml version="1.0" encoding="utf-8"?>
<ds:datastoreItem xmlns:ds="http://schemas.openxmlformats.org/officeDocument/2006/customXml" ds:itemID="{6BEDDCAC-20A3-42CB-A272-79C9B9506028}"/>
</file>

<file path=customXml/itemProps3.xml><?xml version="1.0" encoding="utf-8"?>
<ds:datastoreItem xmlns:ds="http://schemas.openxmlformats.org/officeDocument/2006/customXml" ds:itemID="{81AC2F4F-E29C-46D0-916E-B1E18C6FE396}"/>
</file>

<file path=docProps/app.xml><?xml version="1.0" encoding="utf-8"?>
<Properties xmlns="http://schemas.openxmlformats.org/officeDocument/2006/extended-properties" xmlns:vt="http://schemas.openxmlformats.org/officeDocument/2006/docPropsVTypes">
  <Template>Normal</Template>
  <TotalTime>145</TotalTime>
  <Pages>16</Pages>
  <Words>25038</Words>
  <Characters>14273</Characters>
  <Application>Microsoft Office Word</Application>
  <DocSecurity>0</DocSecurity>
  <Lines>118</Lines>
  <Paragraphs>78</Paragraphs>
  <ScaleCrop>false</ScaleCrop>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Olegas Beriozovas</dc:creator>
  <cp:keywords/>
  <dc:description/>
  <cp:lastModifiedBy>Olegas Beriozovas</cp:lastModifiedBy>
  <cp:revision>157</cp:revision>
  <dcterms:created xsi:type="dcterms:W3CDTF">2026-01-25T12:27:00Z</dcterms:created>
  <dcterms:modified xsi:type="dcterms:W3CDTF">2026-04-02T15:41:00Z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0x0101002A74E743509FAC43976D8C5EF8C2118E</vt:lpwstr>
  </property>
</Properties>
</file>