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sz w:val="2"/>
        </w:rPr>
        <w:id w:val="-67268412"/>
        <w:docPartObj>
          <w:docPartGallery w:val="Cover Pages"/>
          <w:docPartUnique/>
        </w:docPartObj>
      </w:sdtPr>
      <w:sdtEndPr>
        <w:rPr>
          <w:sz w:val="22"/>
        </w:rPr>
      </w:sdtEndPr>
      <w:sdtContent>
        <w:p w14:paraId="5E52052A" w14:textId="2001BEBF" w:rsidR="006F0829" w:rsidRPr="001256EA" w:rsidRDefault="006F0829">
          <w:pPr>
            <w:pStyle w:val="NoSpacing"/>
            <w:rPr>
              <w:rFonts w:ascii="Times New Roman" w:hAnsi="Times New Roman" w:cs="Times New Roman"/>
              <w:sz w:val="2"/>
            </w:rPr>
          </w:pPr>
        </w:p>
        <w:p w14:paraId="0B9CF2F4" w14:textId="3DF37A1C" w:rsidR="006F0829" w:rsidRPr="001256EA" w:rsidRDefault="005D0A6C" w:rsidP="006F0829">
          <w:pPr>
            <w:jc w:val="center"/>
            <w:rPr>
              <w:rFonts w:ascii="Times New Roman" w:hAnsi="Times New Roman" w:cs="Times New Roman"/>
            </w:rPr>
          </w:pPr>
          <w:r w:rsidRPr="001256EA">
            <w:rPr>
              <w:rFonts w:ascii="Times New Roman" w:hAnsi="Times New Roman" w:cs="Times New Roman"/>
              <w:noProof/>
              <w:lang w:eastAsia="lt-LT"/>
            </w:rPr>
            <w:drawing>
              <wp:inline distT="0" distB="0" distL="0" distR="0" wp14:anchorId="40A057B8" wp14:editId="6251F5A0">
                <wp:extent cx="1795329" cy="949569"/>
                <wp:effectExtent l="0" t="0" r="0" b="3175"/>
                <wp:docPr id="3" name="Picture 3" descr="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161" cy="959530"/>
                        </a:xfrm>
                        <a:prstGeom prst="rect">
                          <a:avLst/>
                        </a:prstGeom>
                        <a:noFill/>
                        <a:ln>
                          <a:noFill/>
                        </a:ln>
                      </pic:spPr>
                    </pic:pic>
                  </a:graphicData>
                </a:graphic>
              </wp:inline>
            </w:drawing>
          </w:r>
        </w:p>
        <w:p w14:paraId="0313F337" w14:textId="77777777" w:rsidR="00483866" w:rsidRPr="001256EA" w:rsidRDefault="00483866" w:rsidP="006F0829">
          <w:pPr>
            <w:jc w:val="center"/>
            <w:rPr>
              <w:rFonts w:ascii="Times New Roman" w:hAnsi="Times New Roman" w:cs="Times New Roman"/>
            </w:rPr>
          </w:pPr>
        </w:p>
        <w:p w14:paraId="527DD1BC" w14:textId="77777777" w:rsidR="00483866" w:rsidRPr="001256EA" w:rsidRDefault="00483866" w:rsidP="006F0829">
          <w:pPr>
            <w:jc w:val="center"/>
            <w:rPr>
              <w:rFonts w:ascii="Times New Roman" w:hAnsi="Times New Roman" w:cs="Times New Roman"/>
            </w:rPr>
          </w:pPr>
        </w:p>
        <w:p w14:paraId="29E195A2" w14:textId="77777777" w:rsidR="00483866" w:rsidRPr="001256EA" w:rsidRDefault="00483866" w:rsidP="006F0829">
          <w:pPr>
            <w:jc w:val="center"/>
            <w:rPr>
              <w:rFonts w:ascii="Times New Roman" w:hAnsi="Times New Roman" w:cs="Times New Roman"/>
            </w:rPr>
          </w:pPr>
        </w:p>
        <w:sdt>
          <w:sdtPr>
            <w:rPr>
              <w:rFonts w:ascii="Times New Roman" w:eastAsiaTheme="minorHAnsi" w:hAnsi="Times New Roman" w:cs="Times New Roman"/>
              <w:sz w:val="2"/>
            </w:rPr>
            <w:id w:val="1494991108"/>
            <w:docPartObj>
              <w:docPartGallery w:val="Cover Pages"/>
              <w:docPartUnique/>
            </w:docPartObj>
          </w:sdtPr>
          <w:sdtEndPr>
            <w:rPr>
              <w:sz w:val="22"/>
            </w:rPr>
          </w:sdtEndPr>
          <w:sdtContent>
            <w:p w14:paraId="1464A198" w14:textId="77777777" w:rsidR="005D0A6C" w:rsidRPr="001256EA" w:rsidRDefault="005D0A6C" w:rsidP="005D0A6C">
              <w:pPr>
                <w:pStyle w:val="NoSpacing"/>
                <w:rPr>
                  <w:rFonts w:ascii="Times New Roman" w:hAnsi="Times New Roman" w:cs="Times New Roman"/>
                  <w:sz w:val="2"/>
                </w:rPr>
              </w:pPr>
            </w:p>
            <w:p w14:paraId="1F6AFE12" w14:textId="77777777" w:rsidR="005D0A6C" w:rsidRPr="001256EA" w:rsidRDefault="005D0A6C" w:rsidP="00483866">
              <w:pPr>
                <w:jc w:val="center"/>
                <w:rPr>
                  <w:rFonts w:ascii="Times New Roman" w:hAnsi="Times New Roman" w:cs="Times New Roman"/>
                  <w:b/>
                  <w:bCs/>
                  <w:sz w:val="28"/>
                  <w:szCs w:val="28"/>
                </w:rPr>
              </w:pPr>
              <w:r w:rsidRPr="001256EA">
                <w:rPr>
                  <w:rFonts w:ascii="Times New Roman" w:hAnsi="Times New Roman" w:cs="Times New Roman"/>
                  <w:b/>
                  <w:bCs/>
                  <w:sz w:val="28"/>
                  <w:szCs w:val="28"/>
                </w:rPr>
                <w:t>LEGAL REGULATION PROBLEMS OF THE EUTHANASIA INSTITUTE IN INTERNATIONAL LAW AND PERSPECTIVES OF THIS INSTITUTE IMPLEMENTATION IN LITHUANIA</w:t>
              </w:r>
            </w:p>
            <w:p w14:paraId="66A1BD79" w14:textId="71C3F7D1" w:rsidR="005D0A6C" w:rsidRPr="001256EA" w:rsidRDefault="005D0A6C" w:rsidP="005D0A6C">
              <w:pPr>
                <w:rPr>
                  <w:rFonts w:ascii="Times New Roman" w:hAnsi="Times New Roman" w:cs="Times New Roman"/>
                </w:rPr>
              </w:pPr>
            </w:p>
            <w:p w14:paraId="2D6F5E8C" w14:textId="77777777" w:rsidR="00483866" w:rsidRPr="001256EA" w:rsidRDefault="00483866" w:rsidP="005D0A6C">
              <w:pPr>
                <w:rPr>
                  <w:rFonts w:ascii="Times New Roman" w:hAnsi="Times New Roman" w:cs="Times New Roman"/>
                </w:rPr>
              </w:pPr>
            </w:p>
            <w:p w14:paraId="65EEA8FD" w14:textId="77777777" w:rsidR="005D0A6C" w:rsidRPr="001256EA" w:rsidRDefault="005D0A6C" w:rsidP="005D0A6C">
              <w:pPr>
                <w:jc w:val="center"/>
                <w:rPr>
                  <w:rFonts w:ascii="Times New Roman" w:hAnsi="Times New Roman" w:cs="Times New Roman"/>
                  <w:b/>
                </w:rPr>
              </w:pPr>
              <w:r w:rsidRPr="001256EA">
                <w:rPr>
                  <w:rFonts w:ascii="Times New Roman" w:hAnsi="Times New Roman" w:cs="Times New Roman"/>
                  <w:b/>
                </w:rPr>
                <w:t>DOCTORAL THESIS</w:t>
              </w:r>
            </w:p>
            <w:p w14:paraId="0FD5F08B" w14:textId="77777777" w:rsidR="005D0A6C" w:rsidRPr="001256EA" w:rsidRDefault="005D0A6C" w:rsidP="005D0A6C">
              <w:pPr>
                <w:jc w:val="center"/>
                <w:rPr>
                  <w:rFonts w:ascii="Times New Roman" w:hAnsi="Times New Roman" w:cs="Times New Roman"/>
                  <w:b/>
                </w:rPr>
              </w:pPr>
              <w:r w:rsidRPr="001256EA">
                <w:rPr>
                  <w:rFonts w:ascii="Times New Roman" w:hAnsi="Times New Roman" w:cs="Times New Roman"/>
                  <w:b/>
                </w:rPr>
                <w:t xml:space="preserve">Study </w:t>
              </w:r>
              <w:proofErr w:type="spellStart"/>
              <w:r w:rsidRPr="001256EA">
                <w:rPr>
                  <w:rFonts w:ascii="Times New Roman" w:hAnsi="Times New Roman" w:cs="Times New Roman"/>
                  <w:b/>
                </w:rPr>
                <w:t>programme</w:t>
              </w:r>
              <w:proofErr w:type="spellEnd"/>
              <w:r w:rsidRPr="001256EA">
                <w:rPr>
                  <w:rFonts w:ascii="Times New Roman" w:hAnsi="Times New Roman" w:cs="Times New Roman"/>
                  <w:b/>
                </w:rPr>
                <w:t>: Law Science</w:t>
              </w:r>
            </w:p>
            <w:p w14:paraId="1D79B6ED" w14:textId="77777777" w:rsidR="005D0A6C" w:rsidRPr="001256EA" w:rsidRDefault="005D0A6C" w:rsidP="005D0A6C">
              <w:pPr>
                <w:rPr>
                  <w:rFonts w:ascii="Times New Roman" w:hAnsi="Times New Roman" w:cs="Times New Roman"/>
                </w:rPr>
              </w:pPr>
            </w:p>
            <w:p w14:paraId="123B1835" w14:textId="77777777" w:rsidR="00483866" w:rsidRPr="001256EA" w:rsidRDefault="00483866" w:rsidP="005D0A6C">
              <w:pPr>
                <w:rPr>
                  <w:rFonts w:ascii="Times New Roman" w:hAnsi="Times New Roman" w:cs="Times New Roman"/>
                </w:rPr>
              </w:pPr>
            </w:p>
            <w:p w14:paraId="616B5EF0" w14:textId="342C1F43" w:rsidR="005D0A6C" w:rsidRPr="001256EA" w:rsidRDefault="005D0A6C" w:rsidP="005D0A6C">
              <w:pPr>
                <w:rPr>
                  <w:rFonts w:ascii="Times New Roman" w:hAnsi="Times New Roman" w:cs="Times New Roman"/>
                  <w:b/>
                </w:rPr>
              </w:pPr>
              <w:r w:rsidRPr="001256EA">
                <w:rPr>
                  <w:rFonts w:ascii="Times New Roman" w:hAnsi="Times New Roman" w:cs="Times New Roman"/>
                  <w:b/>
                </w:rPr>
                <w:t>Author:</w:t>
              </w:r>
              <w:r w:rsidRPr="001256EA">
                <w:rPr>
                  <w:rFonts w:ascii="Times New Roman" w:hAnsi="Times New Roman" w:cs="Times New Roman"/>
                  <w:b/>
                </w:rPr>
                <w:tab/>
              </w:r>
              <w:proofErr w:type="spellStart"/>
              <w:r w:rsidR="00277BAA" w:rsidRPr="001256EA">
                <w:rPr>
                  <w:rFonts w:ascii="Times New Roman" w:hAnsi="Times New Roman" w:cs="Times New Roman"/>
                  <w:b/>
                </w:rPr>
                <w:t>Olegas</w:t>
              </w:r>
              <w:proofErr w:type="spellEnd"/>
              <w:r w:rsidR="00277BAA" w:rsidRPr="001256EA">
                <w:rPr>
                  <w:rFonts w:ascii="Times New Roman" w:hAnsi="Times New Roman" w:cs="Times New Roman"/>
                  <w:b/>
                </w:rPr>
                <w:t xml:space="preserve"> </w:t>
              </w:r>
              <w:proofErr w:type="spellStart"/>
              <w:r w:rsidR="00277BAA" w:rsidRPr="001256EA">
                <w:rPr>
                  <w:rFonts w:ascii="Times New Roman" w:hAnsi="Times New Roman" w:cs="Times New Roman"/>
                  <w:b/>
                </w:rPr>
                <w:t>Beriozovas</w:t>
              </w:r>
              <w:proofErr w:type="spellEnd"/>
              <w:r w:rsidRPr="001256EA">
                <w:rPr>
                  <w:rFonts w:ascii="Times New Roman" w:hAnsi="Times New Roman" w:cs="Times New Roman"/>
                  <w:b/>
                  <w:i/>
                </w:rPr>
                <w:tab/>
              </w:r>
              <w:r w:rsidRPr="001256EA">
                <w:rPr>
                  <w:rFonts w:ascii="Times New Roman" w:hAnsi="Times New Roman" w:cs="Times New Roman"/>
                  <w:b/>
                  <w:i/>
                </w:rPr>
                <w:tab/>
              </w:r>
            </w:p>
            <w:p w14:paraId="6F2609E8" w14:textId="77777777" w:rsidR="005D0A6C" w:rsidRPr="001256EA" w:rsidRDefault="005D0A6C" w:rsidP="005D0A6C">
              <w:pPr>
                <w:rPr>
                  <w:rFonts w:ascii="Times New Roman" w:hAnsi="Times New Roman" w:cs="Times New Roman"/>
                  <w:b/>
                </w:rPr>
              </w:pPr>
            </w:p>
            <w:p w14:paraId="2156F8A0" w14:textId="2AB4639A" w:rsidR="005D0A6C" w:rsidRPr="001256EA" w:rsidRDefault="005D0A6C" w:rsidP="005D0A6C">
              <w:pPr>
                <w:rPr>
                  <w:rFonts w:ascii="Times New Roman" w:hAnsi="Times New Roman" w:cs="Times New Roman"/>
                  <w:b/>
                </w:rPr>
              </w:pPr>
              <w:r w:rsidRPr="001256EA">
                <w:rPr>
                  <w:rFonts w:ascii="Times New Roman" w:hAnsi="Times New Roman" w:cs="Times New Roman"/>
                  <w:b/>
                </w:rPr>
                <w:t>Advisor:</w:t>
              </w:r>
              <w:r w:rsidRPr="001256EA">
                <w:rPr>
                  <w:rFonts w:ascii="Times New Roman" w:hAnsi="Times New Roman" w:cs="Times New Roman"/>
                  <w:b/>
                </w:rPr>
                <w:tab/>
              </w:r>
              <w:r w:rsidR="003A6EAE" w:rsidRPr="001256EA">
                <w:rPr>
                  <w:rFonts w:ascii="Times New Roman" w:hAnsi="Times New Roman" w:cs="Times New Roman"/>
                  <w:b/>
                </w:rPr>
                <w:t>prof. dr. Dalia Perkumienė</w:t>
              </w:r>
              <w:r w:rsidRPr="001256EA">
                <w:rPr>
                  <w:rFonts w:ascii="Times New Roman" w:hAnsi="Times New Roman" w:cs="Times New Roman"/>
                  <w:b/>
                </w:rPr>
                <w:tab/>
              </w:r>
              <w:r w:rsidRPr="001256EA">
                <w:rPr>
                  <w:rFonts w:ascii="Times New Roman" w:hAnsi="Times New Roman" w:cs="Times New Roman"/>
                  <w:b/>
                </w:rPr>
                <w:tab/>
                <w:t xml:space="preserve"> </w:t>
              </w:r>
            </w:p>
            <w:p w14:paraId="208CE8F8" w14:textId="77777777" w:rsidR="005D0A6C" w:rsidRPr="001256EA" w:rsidRDefault="005D0A6C" w:rsidP="005D0A6C">
              <w:pPr>
                <w:rPr>
                  <w:rFonts w:ascii="Times New Roman" w:hAnsi="Times New Roman" w:cs="Times New Roman"/>
                  <w:b/>
                </w:rPr>
              </w:pPr>
            </w:p>
            <w:p w14:paraId="59C376DE" w14:textId="77777777" w:rsidR="003A6EAE" w:rsidRPr="001256EA" w:rsidRDefault="003A6EAE" w:rsidP="005D0A6C">
              <w:pPr>
                <w:rPr>
                  <w:rFonts w:ascii="Times New Roman" w:hAnsi="Times New Roman" w:cs="Times New Roman"/>
                  <w:b/>
                </w:rPr>
              </w:pPr>
            </w:p>
            <w:p w14:paraId="29C12CDB" w14:textId="77777777" w:rsidR="003A6EAE" w:rsidRPr="001256EA" w:rsidRDefault="003A6EAE" w:rsidP="005D0A6C">
              <w:pPr>
                <w:rPr>
                  <w:rFonts w:ascii="Times New Roman" w:hAnsi="Times New Roman" w:cs="Times New Roman"/>
                  <w:b/>
                </w:rPr>
              </w:pPr>
            </w:p>
            <w:p w14:paraId="77ECF762" w14:textId="77777777" w:rsidR="003A6EAE" w:rsidRPr="001256EA" w:rsidRDefault="003A6EAE" w:rsidP="005D0A6C">
              <w:pPr>
                <w:rPr>
                  <w:rFonts w:ascii="Times New Roman" w:hAnsi="Times New Roman" w:cs="Times New Roman"/>
                  <w:b/>
                </w:rPr>
              </w:pPr>
            </w:p>
            <w:p w14:paraId="7601A28B" w14:textId="77777777" w:rsidR="003A6EAE" w:rsidRPr="001256EA" w:rsidRDefault="003A6EAE" w:rsidP="005D0A6C">
              <w:pPr>
                <w:rPr>
                  <w:rFonts w:ascii="Times New Roman" w:hAnsi="Times New Roman" w:cs="Times New Roman"/>
                  <w:b/>
                </w:rPr>
              </w:pPr>
            </w:p>
            <w:p w14:paraId="34EE84CF" w14:textId="77777777" w:rsidR="003A6EAE" w:rsidRPr="001256EA" w:rsidRDefault="003A6EAE" w:rsidP="005D0A6C">
              <w:pPr>
                <w:rPr>
                  <w:rFonts w:ascii="Times New Roman" w:hAnsi="Times New Roman" w:cs="Times New Roman"/>
                  <w:b/>
                </w:rPr>
              </w:pPr>
            </w:p>
            <w:p w14:paraId="22D3B3AA" w14:textId="77777777" w:rsidR="003A6EAE" w:rsidRPr="001256EA" w:rsidRDefault="003A6EAE" w:rsidP="005D0A6C">
              <w:pPr>
                <w:rPr>
                  <w:rFonts w:ascii="Times New Roman" w:hAnsi="Times New Roman" w:cs="Times New Roman"/>
                  <w:b/>
                </w:rPr>
              </w:pPr>
            </w:p>
            <w:p w14:paraId="55033C52" w14:textId="77777777" w:rsidR="003A6EAE" w:rsidRPr="001256EA" w:rsidRDefault="003A6EAE" w:rsidP="005D0A6C">
              <w:pPr>
                <w:rPr>
                  <w:rFonts w:ascii="Times New Roman" w:hAnsi="Times New Roman" w:cs="Times New Roman"/>
                  <w:b/>
                </w:rPr>
              </w:pPr>
            </w:p>
            <w:p w14:paraId="13ED3512" w14:textId="77777777" w:rsidR="003A6EAE" w:rsidRPr="001256EA" w:rsidRDefault="003A6EAE" w:rsidP="005D0A6C">
              <w:pPr>
                <w:rPr>
                  <w:rFonts w:ascii="Times New Roman" w:hAnsi="Times New Roman" w:cs="Times New Roman"/>
                  <w:b/>
                </w:rPr>
              </w:pPr>
            </w:p>
            <w:p w14:paraId="0A5408AE" w14:textId="77777777" w:rsidR="003A6EAE" w:rsidRPr="001256EA" w:rsidRDefault="003A6EAE" w:rsidP="005D0A6C">
              <w:pPr>
                <w:rPr>
                  <w:rFonts w:ascii="Times New Roman" w:hAnsi="Times New Roman" w:cs="Times New Roman"/>
                  <w:b/>
                </w:rPr>
              </w:pPr>
            </w:p>
            <w:p w14:paraId="567533C4" w14:textId="77777777" w:rsidR="003A6EAE" w:rsidRPr="001256EA" w:rsidRDefault="003A6EAE" w:rsidP="005D0A6C">
              <w:pPr>
                <w:rPr>
                  <w:rFonts w:ascii="Times New Roman" w:hAnsi="Times New Roman" w:cs="Times New Roman"/>
                  <w:b/>
                </w:rPr>
              </w:pPr>
            </w:p>
            <w:p w14:paraId="23264798" w14:textId="77777777" w:rsidR="00483866" w:rsidRPr="001256EA" w:rsidRDefault="00483866" w:rsidP="005D0A6C">
              <w:pPr>
                <w:rPr>
                  <w:rFonts w:ascii="Times New Roman" w:hAnsi="Times New Roman" w:cs="Times New Roman"/>
                  <w:b/>
                </w:rPr>
              </w:pPr>
            </w:p>
            <w:p w14:paraId="336D0C98" w14:textId="43875A9E" w:rsidR="00483866" w:rsidRPr="001256EA" w:rsidRDefault="005D0A6C" w:rsidP="00483866">
              <w:pPr>
                <w:jc w:val="center"/>
                <w:rPr>
                  <w:rFonts w:ascii="Times New Roman" w:hAnsi="Times New Roman" w:cs="Times New Roman"/>
                </w:rPr>
              </w:pPr>
              <w:r w:rsidRPr="001256EA">
                <w:rPr>
                  <w:rFonts w:ascii="Times New Roman" w:hAnsi="Times New Roman" w:cs="Times New Roman"/>
                  <w:b/>
                </w:rPr>
                <w:t>Riga, 202</w:t>
              </w:r>
              <w:r w:rsidR="00473B43">
                <w:rPr>
                  <w:rFonts w:ascii="Times New Roman" w:hAnsi="Times New Roman" w:cs="Times New Roman"/>
                  <w:b/>
                </w:rPr>
                <w:t>6</w:t>
              </w:r>
            </w:p>
          </w:sdtContent>
        </w:sdt>
      </w:sdtContent>
    </w:sdt>
    <w:p w14:paraId="4B65888D" w14:textId="248AEE7D" w:rsidR="00483866" w:rsidRPr="001256EA" w:rsidRDefault="00453316" w:rsidP="00483866">
      <w:pPr>
        <w:jc w:val="center"/>
        <w:rPr>
          <w:rFonts w:ascii="Times New Roman" w:eastAsia="Times New Roman" w:hAnsi="Times New Roman" w:cs="Times New Roman"/>
          <w:b/>
          <w:bCs/>
          <w:sz w:val="24"/>
          <w:szCs w:val="20"/>
        </w:rPr>
      </w:pPr>
      <w:r w:rsidRPr="001256EA">
        <w:rPr>
          <w:rFonts w:ascii="Times New Roman" w:eastAsia="Times New Roman" w:hAnsi="Times New Roman" w:cs="Times New Roman"/>
          <w:b/>
          <w:bCs/>
          <w:sz w:val="24"/>
          <w:szCs w:val="20"/>
        </w:rPr>
        <w:lastRenderedPageBreak/>
        <w:t>ANNOTATION</w:t>
      </w:r>
    </w:p>
    <w:p w14:paraId="79E84169" w14:textId="77777777" w:rsidR="009F5EFE" w:rsidRPr="001256EA" w:rsidRDefault="001D66A2" w:rsidP="009F5EFE">
      <w:pPr>
        <w:spacing w:after="0" w:line="360" w:lineRule="auto"/>
        <w:ind w:firstLine="851"/>
        <w:jc w:val="both"/>
        <w:rPr>
          <w:rFonts w:ascii="Times New Roman" w:eastAsia="Times New Roman" w:hAnsi="Times New Roman" w:cs="Times New Roman"/>
          <w:b/>
          <w:bCs/>
          <w:sz w:val="24"/>
          <w:szCs w:val="20"/>
        </w:rPr>
      </w:pPr>
      <w:r w:rsidRPr="001256EA">
        <w:rPr>
          <w:rFonts w:ascii="Times New Roman" w:hAnsi="Times New Roman" w:cs="Times New Roman"/>
          <w:sz w:val="24"/>
          <w:szCs w:val="24"/>
        </w:rPr>
        <w:t xml:space="preserve">This doctoral thesis analyzes the problems of legal regulation of the euthanasia institute in international law and the perspectives of its implementation in Lithuania. It addresses the dilemma between the right to life and the right to die, highlighting ethical, legal, and social implications. </w:t>
      </w:r>
    </w:p>
    <w:p w14:paraId="1DFDC3C1" w14:textId="79BA44A4" w:rsidR="001D66A2" w:rsidRPr="001256EA" w:rsidRDefault="001D66A2" w:rsidP="009F5EFE">
      <w:pPr>
        <w:spacing w:after="0" w:line="360" w:lineRule="auto"/>
        <w:ind w:firstLine="851"/>
        <w:jc w:val="both"/>
        <w:rPr>
          <w:rFonts w:ascii="Times New Roman" w:eastAsia="Times New Roman" w:hAnsi="Times New Roman" w:cs="Times New Roman"/>
          <w:b/>
          <w:bCs/>
          <w:sz w:val="24"/>
          <w:szCs w:val="20"/>
        </w:rPr>
      </w:pPr>
      <w:r w:rsidRPr="001256EA">
        <w:rPr>
          <w:rFonts w:ascii="Times New Roman" w:hAnsi="Times New Roman" w:cs="Times New Roman"/>
          <w:sz w:val="24"/>
          <w:szCs w:val="24"/>
        </w:rPr>
        <w:t xml:space="preserve">The theoretical framework is grounded in international human rights instruments, and in debates on autonomy, dignity, and patient protection. Methodologically, it combines document analysis, systematic and comparative approaches, and qualitative semi-structured interviews, providing both normative and empirical understandings. </w:t>
      </w:r>
    </w:p>
    <w:p w14:paraId="79BBC393" w14:textId="5F46A6A2" w:rsidR="001D66A2" w:rsidRPr="001256EA" w:rsidRDefault="001D66A2" w:rsidP="009F5EF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results reveal inconsistencies in national and international regulation, risks of abuse, and challenges for safeguarding vulnerable groups. The thesis proposes legal amendments and institutional safeguards to ensure transparency, accountability, and protection of human rights. </w:t>
      </w:r>
    </w:p>
    <w:p w14:paraId="781523D3" w14:textId="4C2F9BFE" w:rsidR="00453316" w:rsidRPr="001256EA" w:rsidRDefault="00453316" w:rsidP="009F5EF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doctoral thesis consists of </w:t>
      </w:r>
      <w:r w:rsidR="003A6EAE" w:rsidRPr="001256EA">
        <w:rPr>
          <w:rFonts w:ascii="Times New Roman" w:hAnsi="Times New Roman" w:cs="Times New Roman"/>
          <w:sz w:val="24"/>
          <w:szCs w:val="24"/>
        </w:rPr>
        <w:t>1</w:t>
      </w:r>
      <w:r w:rsidR="006C248D" w:rsidRPr="001256EA">
        <w:rPr>
          <w:rFonts w:ascii="Times New Roman" w:hAnsi="Times New Roman" w:cs="Times New Roman"/>
          <w:sz w:val="24"/>
          <w:szCs w:val="24"/>
        </w:rPr>
        <w:t>5</w:t>
      </w:r>
      <w:r w:rsidR="007C5875">
        <w:rPr>
          <w:rFonts w:ascii="Times New Roman" w:hAnsi="Times New Roman" w:cs="Times New Roman"/>
          <w:sz w:val="24"/>
          <w:szCs w:val="24"/>
        </w:rPr>
        <w:t>7</w:t>
      </w:r>
      <w:r w:rsidRPr="001256EA">
        <w:rPr>
          <w:rFonts w:ascii="Times New Roman" w:hAnsi="Times New Roman" w:cs="Times New Roman"/>
          <w:sz w:val="24"/>
          <w:szCs w:val="24"/>
        </w:rPr>
        <w:t xml:space="preserve"> pages.</w:t>
      </w:r>
    </w:p>
    <w:p w14:paraId="145375B2" w14:textId="5E224078" w:rsidR="00453316" w:rsidRPr="001256EA" w:rsidRDefault="00453316" w:rsidP="009F5EFE">
      <w:pPr>
        <w:spacing w:after="0" w:line="360" w:lineRule="auto"/>
        <w:ind w:firstLine="851"/>
        <w:jc w:val="both"/>
        <w:rPr>
          <w:rFonts w:ascii="Times New Roman" w:eastAsia="Times New Roman" w:hAnsi="Times New Roman" w:cs="Times New Roman"/>
          <w:sz w:val="24"/>
          <w:szCs w:val="24"/>
        </w:rPr>
      </w:pPr>
      <w:r w:rsidRPr="001256EA">
        <w:rPr>
          <w:rFonts w:ascii="Times New Roman" w:eastAsia="Times New Roman" w:hAnsi="Times New Roman" w:cs="Times New Roman"/>
          <w:b/>
          <w:bCs/>
          <w:sz w:val="24"/>
          <w:szCs w:val="24"/>
        </w:rPr>
        <w:t>Keywords:</w:t>
      </w:r>
      <w:r w:rsidRPr="001256EA">
        <w:rPr>
          <w:rFonts w:ascii="Times New Roman" w:eastAsia="Times New Roman" w:hAnsi="Times New Roman" w:cs="Times New Roman"/>
          <w:sz w:val="24"/>
          <w:szCs w:val="24"/>
        </w:rPr>
        <w:t xml:space="preserve"> </w:t>
      </w:r>
      <w:r w:rsidR="001D66A2" w:rsidRPr="001256EA">
        <w:rPr>
          <w:rFonts w:ascii="Times New Roman" w:eastAsia="Times New Roman" w:hAnsi="Times New Roman" w:cs="Times New Roman"/>
          <w:sz w:val="24"/>
          <w:szCs w:val="24"/>
        </w:rPr>
        <w:t>Euthanasia, Right to Life, Right to Die, International Law, Lithuania, Human Rights</w:t>
      </w:r>
      <w:r w:rsidR="009F5EFE" w:rsidRPr="001256EA">
        <w:rPr>
          <w:rFonts w:ascii="Times New Roman" w:eastAsia="Times New Roman" w:hAnsi="Times New Roman" w:cs="Times New Roman"/>
          <w:sz w:val="24"/>
          <w:szCs w:val="24"/>
        </w:rPr>
        <w:t>.</w:t>
      </w:r>
    </w:p>
    <w:p w14:paraId="0460C22F" w14:textId="433945E3" w:rsidR="00704624" w:rsidRPr="001256EA" w:rsidRDefault="00704624">
      <w:pPr>
        <w:rPr>
          <w:rFonts w:ascii="Times New Roman" w:hAnsi="Times New Roman" w:cs="Times New Roman"/>
        </w:rPr>
      </w:pPr>
    </w:p>
    <w:p w14:paraId="22252A59" w14:textId="4F68CF62" w:rsidR="00483866" w:rsidRPr="001256EA" w:rsidRDefault="005C4B01" w:rsidP="00483866">
      <w:pPr>
        <w:ind w:left="708" w:firstLine="143"/>
        <w:rPr>
          <w:rFonts w:ascii="Times New Roman" w:hAnsi="Times New Roman" w:cs="Times New Roman"/>
          <w:b/>
          <w:bCs/>
          <w:sz w:val="24"/>
          <w:szCs w:val="24"/>
        </w:rPr>
      </w:pPr>
      <w:r w:rsidRPr="001256EA">
        <w:rPr>
          <w:rFonts w:ascii="Times New Roman" w:hAnsi="Times New Roman" w:cs="Times New Roman"/>
        </w:rPr>
        <w:br w:type="page"/>
      </w:r>
      <w:r w:rsidR="00483866" w:rsidRPr="001256EA">
        <w:rPr>
          <w:rFonts w:ascii="Times New Roman" w:hAnsi="Times New Roman" w:cs="Times New Roman"/>
        </w:rPr>
        <w:lastRenderedPageBreak/>
        <w:t xml:space="preserve">    </w:t>
      </w:r>
      <w:r w:rsidR="00937B08" w:rsidRPr="001256EA">
        <w:rPr>
          <w:rFonts w:ascii="Times New Roman" w:hAnsi="Times New Roman" w:cs="Times New Roman"/>
          <w:b/>
          <w:bCs/>
          <w:sz w:val="24"/>
          <w:szCs w:val="24"/>
        </w:rPr>
        <w:t>ANOTĀCIJA</w:t>
      </w:r>
    </w:p>
    <w:p w14:paraId="3A20E7FA" w14:textId="77777777" w:rsidR="004032F9" w:rsidRPr="001256EA" w:rsidRDefault="004032F9" w:rsidP="003A6EAE">
      <w:pPr>
        <w:spacing w:after="0" w:line="360" w:lineRule="auto"/>
        <w:jc w:val="both"/>
        <w:rPr>
          <w:rFonts w:ascii="Times New Roman" w:hAnsi="Times New Roman" w:cs="Times New Roman"/>
          <w:sz w:val="24"/>
          <w:szCs w:val="24"/>
          <w:lang w:val="lv-LV"/>
        </w:rPr>
      </w:pPr>
      <w:r w:rsidRPr="001256EA">
        <w:rPr>
          <w:rFonts w:ascii="Times New Roman" w:hAnsi="Times New Roman" w:cs="Times New Roman"/>
        </w:rPr>
        <w:t xml:space="preserve">                   </w:t>
      </w:r>
      <w:r w:rsidRPr="001256EA">
        <w:rPr>
          <w:rFonts w:ascii="Times New Roman" w:hAnsi="Times New Roman" w:cs="Times New Roman"/>
          <w:sz w:val="24"/>
          <w:szCs w:val="24"/>
          <w:lang w:val="lv-LV"/>
        </w:rPr>
        <w:t>Šī doktora disertācija aplūko eitanāzijas institūta tiesiskā regulējuma problēmas starptautiskajās tiesībās un tā īstenošanas perspektīvas Lietuvā. Tajā tiek analizēta dilemma starp tiesībām uz dzīvību un tiesībām nomirt, uzsverot ētiskos, tiesiskos un sociālos aspektus.</w:t>
      </w:r>
    </w:p>
    <w:p w14:paraId="1B702C27" w14:textId="77777777" w:rsidR="004032F9" w:rsidRPr="001256EA" w:rsidRDefault="004032F9" w:rsidP="003A6EAE">
      <w:pPr>
        <w:spacing w:after="0" w:line="360" w:lineRule="auto"/>
        <w:jc w:val="both"/>
        <w:rPr>
          <w:rFonts w:ascii="Times New Roman" w:hAnsi="Times New Roman" w:cs="Times New Roman"/>
          <w:sz w:val="24"/>
          <w:szCs w:val="24"/>
          <w:lang w:val="lv-LV"/>
        </w:rPr>
      </w:pPr>
      <w:r w:rsidRPr="001256EA">
        <w:rPr>
          <w:rFonts w:ascii="Times New Roman" w:hAnsi="Times New Roman" w:cs="Times New Roman"/>
          <w:sz w:val="24"/>
          <w:szCs w:val="24"/>
          <w:lang w:val="lv-LV"/>
        </w:rPr>
        <w:t xml:space="preserve">                  Teorētiskais pamats balstās uz starptautiskajiem cilvēktiesību dokumentiem, kā arī diskusijām par autonomiju, cieņu un pacienta aizsardzību. Metodoloģiski pētījums apvieno dokumentu analīzi, sistēmiskās un salīdzinošās metodes, kā arī kvalitatīvas daļēji strukturētas intervijas, kas sniedz gan normatīvus, gan empīriskus ieskatus.</w:t>
      </w:r>
    </w:p>
    <w:p w14:paraId="395A8ED6" w14:textId="77777777" w:rsidR="004032F9" w:rsidRPr="001256EA" w:rsidRDefault="004032F9" w:rsidP="003A6EAE">
      <w:pPr>
        <w:spacing w:after="0" w:line="360" w:lineRule="auto"/>
        <w:jc w:val="both"/>
        <w:rPr>
          <w:rFonts w:ascii="Times New Roman" w:hAnsi="Times New Roman" w:cs="Times New Roman"/>
          <w:sz w:val="24"/>
          <w:szCs w:val="24"/>
          <w:lang w:val="lv-LV"/>
        </w:rPr>
      </w:pPr>
      <w:r w:rsidRPr="001256EA">
        <w:rPr>
          <w:rFonts w:ascii="Times New Roman" w:hAnsi="Times New Roman" w:cs="Times New Roman"/>
          <w:sz w:val="24"/>
          <w:szCs w:val="24"/>
          <w:lang w:val="lv-LV"/>
        </w:rPr>
        <w:t xml:space="preserve">                  Rezultāti atklāj nacionālā un starptautiskā regulējuma pretrunas, ļaunprātīgas izmantošanas riskus un izaicinājumus, aizsargājot ievainojamās grupas. Disertācijā tiek piedāvāti tiesību aktu grozījumi un institucionālie aizsardzības pasākumi, lai nodrošinātu caurskatāmību, atbildību un cilvēktiesību aizsardzību.</w:t>
      </w:r>
    </w:p>
    <w:p w14:paraId="62268A32" w14:textId="25C00EDB" w:rsidR="004032F9" w:rsidRPr="001256EA" w:rsidRDefault="00483866" w:rsidP="00483866">
      <w:pPr>
        <w:spacing w:after="0" w:line="360" w:lineRule="auto"/>
        <w:ind w:left="708"/>
        <w:jc w:val="both"/>
        <w:rPr>
          <w:rFonts w:ascii="Times New Roman" w:hAnsi="Times New Roman" w:cs="Times New Roman"/>
          <w:sz w:val="24"/>
          <w:szCs w:val="24"/>
          <w:lang w:val="lv-LV"/>
        </w:rPr>
      </w:pPr>
      <w:r w:rsidRPr="001256EA">
        <w:rPr>
          <w:rFonts w:ascii="Times New Roman" w:hAnsi="Times New Roman" w:cs="Times New Roman"/>
          <w:sz w:val="24"/>
          <w:szCs w:val="24"/>
          <w:lang w:val="lv-LV"/>
        </w:rPr>
        <w:t xml:space="preserve">      </w:t>
      </w:r>
      <w:r w:rsidR="004032F9" w:rsidRPr="001256EA">
        <w:rPr>
          <w:rFonts w:ascii="Times New Roman" w:hAnsi="Times New Roman" w:cs="Times New Roman"/>
          <w:sz w:val="24"/>
          <w:szCs w:val="24"/>
          <w:lang w:val="lv-LV"/>
        </w:rPr>
        <w:t xml:space="preserve">Doktora disertācija sastāv no </w:t>
      </w:r>
      <w:r w:rsidR="006C248D" w:rsidRPr="001256EA">
        <w:rPr>
          <w:rFonts w:ascii="Times New Roman" w:hAnsi="Times New Roman" w:cs="Times New Roman"/>
          <w:sz w:val="24"/>
          <w:szCs w:val="24"/>
          <w:lang w:val="lv-LV"/>
        </w:rPr>
        <w:t>15</w:t>
      </w:r>
      <w:r w:rsidR="007C5875">
        <w:rPr>
          <w:rFonts w:ascii="Times New Roman" w:hAnsi="Times New Roman" w:cs="Times New Roman"/>
          <w:sz w:val="24"/>
          <w:szCs w:val="24"/>
          <w:lang w:val="lv-LV"/>
        </w:rPr>
        <w:t>7</w:t>
      </w:r>
      <w:r w:rsidR="006C248D" w:rsidRPr="001256EA">
        <w:rPr>
          <w:rFonts w:ascii="Times New Roman" w:hAnsi="Times New Roman" w:cs="Times New Roman"/>
          <w:sz w:val="24"/>
          <w:szCs w:val="24"/>
          <w:lang w:val="lv-LV"/>
        </w:rPr>
        <w:t xml:space="preserve"> </w:t>
      </w:r>
      <w:r w:rsidR="004032F9" w:rsidRPr="001256EA">
        <w:rPr>
          <w:rFonts w:ascii="Times New Roman" w:hAnsi="Times New Roman" w:cs="Times New Roman"/>
          <w:sz w:val="24"/>
          <w:szCs w:val="24"/>
          <w:lang w:val="lv-LV"/>
        </w:rPr>
        <w:t>lappusēm.</w:t>
      </w:r>
    </w:p>
    <w:p w14:paraId="7B9093ED" w14:textId="77777777" w:rsidR="004032F9" w:rsidRPr="001256EA" w:rsidRDefault="004032F9" w:rsidP="003A6EAE">
      <w:pPr>
        <w:spacing w:after="0" w:line="360" w:lineRule="auto"/>
        <w:jc w:val="both"/>
        <w:rPr>
          <w:rFonts w:ascii="Times New Roman" w:hAnsi="Times New Roman" w:cs="Times New Roman"/>
          <w:sz w:val="24"/>
          <w:szCs w:val="24"/>
          <w:lang w:val="lv-LV"/>
        </w:rPr>
      </w:pPr>
      <w:r w:rsidRPr="001256EA">
        <w:rPr>
          <w:rFonts w:ascii="Times New Roman" w:hAnsi="Times New Roman" w:cs="Times New Roman"/>
          <w:b/>
          <w:bCs/>
          <w:sz w:val="24"/>
          <w:szCs w:val="24"/>
          <w:lang w:val="lv-LV"/>
        </w:rPr>
        <w:t xml:space="preserve">Atslēgvārdi: </w:t>
      </w:r>
      <w:r w:rsidRPr="001256EA">
        <w:rPr>
          <w:rFonts w:ascii="Times New Roman" w:hAnsi="Times New Roman" w:cs="Times New Roman"/>
          <w:sz w:val="24"/>
          <w:szCs w:val="24"/>
          <w:lang w:val="lv-LV"/>
        </w:rPr>
        <w:t>eitanāzija, tiesības uz dzīvību, tiesības nomirt, starptautiskās tiesības, Lietuva, cilvēktiesības</w:t>
      </w:r>
    </w:p>
    <w:p w14:paraId="42D38C2F" w14:textId="5E1A8303" w:rsidR="00CE4170" w:rsidRPr="001256EA" w:rsidRDefault="00CE4170" w:rsidP="00937B08">
      <w:pPr>
        <w:spacing w:after="0" w:line="360" w:lineRule="auto"/>
        <w:ind w:firstLine="851"/>
        <w:jc w:val="both"/>
        <w:rPr>
          <w:rFonts w:ascii="Times New Roman" w:hAnsi="Times New Roman" w:cs="Times New Roman"/>
          <w:lang w:val="lv-LV"/>
        </w:rPr>
      </w:pPr>
      <w:r w:rsidRPr="001256EA">
        <w:rPr>
          <w:rFonts w:ascii="Times New Roman" w:hAnsi="Times New Roman" w:cs="Times New Roman"/>
          <w:lang w:val="lv-LV"/>
        </w:rPr>
        <w:br w:type="page"/>
      </w:r>
    </w:p>
    <w:sdt>
      <w:sdtPr>
        <w:rPr>
          <w:rFonts w:ascii="Times New Roman" w:eastAsiaTheme="minorHAnsi" w:hAnsi="Times New Roman" w:cs="Times New Roman"/>
          <w:color w:val="auto"/>
          <w:sz w:val="22"/>
          <w:szCs w:val="22"/>
        </w:rPr>
        <w:id w:val="-651286623"/>
        <w:docPartObj>
          <w:docPartGallery w:val="Table of Contents"/>
          <w:docPartUnique/>
        </w:docPartObj>
      </w:sdtPr>
      <w:sdtEndPr>
        <w:rPr>
          <w:b/>
          <w:bCs/>
          <w:noProof/>
        </w:rPr>
      </w:sdtEndPr>
      <w:sdtContent>
        <w:p w14:paraId="32787E9B" w14:textId="450D38E7" w:rsidR="0042339E" w:rsidRPr="001256EA" w:rsidRDefault="008E7E07" w:rsidP="008E7E07">
          <w:pPr>
            <w:pStyle w:val="TOCHeading"/>
            <w:jc w:val="center"/>
            <w:rPr>
              <w:rFonts w:ascii="Times New Roman" w:hAnsi="Times New Roman" w:cs="Times New Roman"/>
              <w:b/>
              <w:bCs/>
              <w:color w:val="000000" w:themeColor="text1"/>
              <w:sz w:val="28"/>
              <w:szCs w:val="28"/>
            </w:rPr>
          </w:pPr>
          <w:r w:rsidRPr="001256EA">
            <w:rPr>
              <w:rFonts w:ascii="Times New Roman" w:hAnsi="Times New Roman" w:cs="Times New Roman"/>
              <w:b/>
              <w:bCs/>
              <w:color w:val="000000" w:themeColor="text1"/>
              <w:sz w:val="28"/>
              <w:szCs w:val="28"/>
            </w:rPr>
            <w:t>CONTENTS</w:t>
          </w:r>
        </w:p>
        <w:p w14:paraId="0E991B03" w14:textId="77777777" w:rsidR="00E419D5" w:rsidRPr="001256EA" w:rsidRDefault="0042339E" w:rsidP="006C248D">
          <w:pPr>
            <w:pStyle w:val="TOC1"/>
            <w:rPr>
              <w:rFonts w:eastAsiaTheme="minorEastAsia"/>
            </w:rPr>
          </w:pPr>
          <w:r w:rsidRPr="001256EA">
            <w:rPr>
              <w:rFonts w:eastAsiaTheme="minorEastAsia"/>
            </w:rPr>
            <w:fldChar w:fldCharType="begin"/>
          </w:r>
          <w:r w:rsidRPr="001256EA">
            <w:instrText xml:space="preserve"> TOC \o "1-3" \h \z \u </w:instrText>
          </w:r>
          <w:r w:rsidRPr="001256EA">
            <w:rPr>
              <w:rFonts w:eastAsiaTheme="minorEastAsia"/>
            </w:rPr>
            <w:fldChar w:fldCharType="separate"/>
          </w:r>
        </w:p>
        <w:sdt>
          <w:sdtPr>
            <w:rPr>
              <w:lang w:val="en-US"/>
            </w:rPr>
            <w:id w:val="-1171410707"/>
            <w:docPartObj>
              <w:docPartGallery w:val="Table of Contents"/>
              <w:docPartUnique/>
            </w:docPartObj>
          </w:sdtPr>
          <w:sdtContent>
            <w:p w14:paraId="208205CB" w14:textId="22ADEEF9" w:rsidR="006C248D" w:rsidRPr="00902F03" w:rsidRDefault="006C248D" w:rsidP="006C248D">
              <w:pPr>
                <w:pStyle w:val="TOC1"/>
                <w:rPr>
                  <w:b w:val="0"/>
                  <w:bCs w:val="0"/>
                  <w:sz w:val="24"/>
                  <w:szCs w:val="24"/>
                  <w:lang w:val="en-US"/>
                </w:rPr>
              </w:pPr>
              <w:r w:rsidRPr="00902F03">
                <w:rPr>
                  <w:b w:val="0"/>
                  <w:bCs w:val="0"/>
                  <w:sz w:val="24"/>
                  <w:szCs w:val="24"/>
                  <w:lang w:val="en-US"/>
                </w:rPr>
                <w:t>LIST OF ABBREVIATIONS……………..…………………………………………….…... 6</w:t>
              </w:r>
            </w:p>
            <w:p w14:paraId="37250D98" w14:textId="77777777" w:rsidR="006C248D" w:rsidRPr="00902F03" w:rsidRDefault="006C248D" w:rsidP="006C248D">
              <w:pPr>
                <w:pStyle w:val="TOC1"/>
                <w:rPr>
                  <w:b w:val="0"/>
                  <w:bCs w:val="0"/>
                  <w:sz w:val="24"/>
                  <w:szCs w:val="24"/>
                  <w:lang w:val="fr-FR"/>
                </w:rPr>
              </w:pPr>
              <w:r w:rsidRPr="00902F03">
                <w:rPr>
                  <w:b w:val="0"/>
                  <w:bCs w:val="0"/>
                  <w:sz w:val="24"/>
                  <w:szCs w:val="24"/>
                  <w:lang w:val="en-US"/>
                </w:rPr>
                <w:fldChar w:fldCharType="begin"/>
              </w:r>
              <w:r w:rsidRPr="00902F03">
                <w:rPr>
                  <w:b w:val="0"/>
                  <w:bCs w:val="0"/>
                  <w:sz w:val="24"/>
                  <w:szCs w:val="24"/>
                  <w:lang w:val="en-US"/>
                </w:rPr>
                <w:instrText xml:space="preserve"> TOC \o "1-3" \h \z \u </w:instrText>
              </w:r>
              <w:r w:rsidRPr="00902F03">
                <w:rPr>
                  <w:b w:val="0"/>
                  <w:bCs w:val="0"/>
                  <w:sz w:val="24"/>
                  <w:szCs w:val="24"/>
                  <w:lang w:val="en-US"/>
                </w:rPr>
                <w:fldChar w:fldCharType="separate"/>
              </w:r>
              <w:hyperlink w:anchor="_Toc216374382" w:history="1">
                <w:r w:rsidRPr="00902F03">
                  <w:rPr>
                    <w:rStyle w:val="Hyperlink"/>
                    <w:b w:val="0"/>
                    <w:bCs w:val="0"/>
                    <w:sz w:val="24"/>
                    <w:szCs w:val="24"/>
                    <w:lang w:val="en-US"/>
                  </w:rPr>
                  <w:t>INTRODUCTION</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_Toc216374382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7</w:t>
                </w:r>
                <w:r w:rsidRPr="00902F03">
                  <w:rPr>
                    <w:rStyle w:val="Hyperlink"/>
                    <w:b w:val="0"/>
                    <w:bCs w:val="0"/>
                    <w:webHidden/>
                    <w:sz w:val="24"/>
                    <w:szCs w:val="24"/>
                  </w:rPr>
                  <w:fldChar w:fldCharType="end"/>
                </w:r>
              </w:hyperlink>
            </w:p>
            <w:p w14:paraId="238759AF" w14:textId="3C559316" w:rsidR="006C248D" w:rsidRPr="00902F03" w:rsidRDefault="006C248D" w:rsidP="006C248D">
              <w:pPr>
                <w:pStyle w:val="TOC1"/>
                <w:rPr>
                  <w:b w:val="0"/>
                  <w:bCs w:val="0"/>
                  <w:sz w:val="24"/>
                  <w:szCs w:val="24"/>
                  <w:lang w:val="fr-FR"/>
                </w:rPr>
              </w:pPr>
              <w:hyperlink w:anchor="_Toc216374383" w:history="1">
                <w:r w:rsidRPr="00902F03">
                  <w:rPr>
                    <w:rStyle w:val="Hyperlink"/>
                    <w:b w:val="0"/>
                    <w:bCs w:val="0"/>
                    <w:sz w:val="24"/>
                    <w:szCs w:val="24"/>
                    <w:lang w:val="en-US"/>
                  </w:rPr>
                  <w:t>I.</w:t>
                </w:r>
                <w:r w:rsidRPr="00902F03">
                  <w:rPr>
                    <w:rStyle w:val="Hyperlink"/>
                    <w:b w:val="0"/>
                    <w:bCs w:val="0"/>
                    <w:sz w:val="24"/>
                    <w:szCs w:val="24"/>
                    <w:lang w:val="fr-FR"/>
                  </w:rPr>
                  <w:tab/>
                </w:r>
                <w:r w:rsidRPr="00902F03">
                  <w:rPr>
                    <w:rStyle w:val="Hyperlink"/>
                    <w:b w:val="0"/>
                    <w:bCs w:val="0"/>
                    <w:sz w:val="24"/>
                    <w:szCs w:val="24"/>
                    <w:lang w:val="en-US"/>
                  </w:rPr>
                  <w:t>THEORETICAL BACKGROUND OF THE EUTHANASIA INSTITUTE IN CONTEXT OF INTERNATIONAL LAW</w:t>
                </w:r>
                <w:r w:rsidRPr="00902F03">
                  <w:rPr>
                    <w:rStyle w:val="Hyperlink"/>
                    <w:b w:val="0"/>
                    <w:bCs w:val="0"/>
                    <w:webHidden/>
                    <w:sz w:val="24"/>
                    <w:szCs w:val="24"/>
                    <w:lang w:val="en-US"/>
                  </w:rPr>
                  <w:tab/>
                </w:r>
                <w:r w:rsidR="00424B6B">
                  <w:rPr>
                    <w:rStyle w:val="Hyperlink"/>
                    <w:b w:val="0"/>
                    <w:bCs w:val="0"/>
                    <w:webHidden/>
                    <w:sz w:val="24"/>
                    <w:szCs w:val="24"/>
                    <w:lang w:val="en-US"/>
                  </w:rPr>
                  <w:t>29</w:t>
                </w:r>
              </w:hyperlink>
            </w:p>
            <w:p w14:paraId="1A8863C5" w14:textId="517B7E46" w:rsidR="006C248D" w:rsidRPr="00902F03" w:rsidRDefault="006C248D" w:rsidP="006C248D">
              <w:pPr>
                <w:pStyle w:val="TOC1"/>
                <w:rPr>
                  <w:b w:val="0"/>
                  <w:bCs w:val="0"/>
                  <w:sz w:val="24"/>
                  <w:szCs w:val="24"/>
                  <w:lang w:val="fr-FR"/>
                </w:rPr>
              </w:pPr>
              <w:hyperlink w:anchor="_Toc216374384" w:history="1">
                <w:r w:rsidRPr="00902F03">
                  <w:rPr>
                    <w:rStyle w:val="Hyperlink"/>
                    <w:b w:val="0"/>
                    <w:bCs w:val="0"/>
                    <w:sz w:val="24"/>
                    <w:szCs w:val="24"/>
                    <w:lang w:val="en-US"/>
                  </w:rPr>
                  <w:t>1.1.</w:t>
                </w:r>
                <w:r w:rsidRPr="00902F03">
                  <w:rPr>
                    <w:rStyle w:val="Hyperlink"/>
                    <w:b w:val="0"/>
                    <w:bCs w:val="0"/>
                    <w:sz w:val="24"/>
                    <w:szCs w:val="24"/>
                    <w:lang w:val="fr-FR"/>
                  </w:rPr>
                  <w:tab/>
                </w:r>
                <w:r w:rsidRPr="00902F03">
                  <w:rPr>
                    <w:rStyle w:val="Hyperlink"/>
                    <w:b w:val="0"/>
                    <w:bCs w:val="0"/>
                    <w:sz w:val="24"/>
                    <w:szCs w:val="24"/>
                    <w:lang w:val="en-US"/>
                  </w:rPr>
                  <w:t>Institutionalization of euthanasia in the framework of realizing human right to life and death</w:t>
                </w:r>
                <w:r w:rsidRPr="00902F03">
                  <w:rPr>
                    <w:rStyle w:val="Hyperlink"/>
                    <w:b w:val="0"/>
                    <w:bCs w:val="0"/>
                    <w:webHidden/>
                    <w:sz w:val="24"/>
                    <w:szCs w:val="24"/>
                    <w:lang w:val="en-US"/>
                  </w:rPr>
                  <w:t>………………………………………………………………………………………...</w:t>
                </w:r>
                <w:r w:rsidR="00424B6B">
                  <w:rPr>
                    <w:rStyle w:val="Hyperlink"/>
                    <w:b w:val="0"/>
                    <w:bCs w:val="0"/>
                    <w:webHidden/>
                    <w:sz w:val="24"/>
                    <w:szCs w:val="24"/>
                    <w:lang w:val="en-US"/>
                  </w:rPr>
                  <w:t>30</w:t>
                </w:r>
              </w:hyperlink>
            </w:p>
            <w:p w14:paraId="7D684432" w14:textId="10F9376F" w:rsidR="006C248D" w:rsidRPr="00902F03" w:rsidRDefault="006C248D" w:rsidP="006C248D">
              <w:pPr>
                <w:pStyle w:val="TOC1"/>
                <w:rPr>
                  <w:b w:val="0"/>
                  <w:bCs w:val="0"/>
                  <w:sz w:val="24"/>
                  <w:szCs w:val="24"/>
                  <w:lang w:val="fr-FR"/>
                </w:rPr>
              </w:pPr>
              <w:hyperlink w:anchor="_Toc216374385" w:history="1">
                <w:r w:rsidRPr="00902F03">
                  <w:rPr>
                    <w:rStyle w:val="Hyperlink"/>
                    <w:b w:val="0"/>
                    <w:bCs w:val="0"/>
                    <w:sz w:val="24"/>
                    <w:szCs w:val="24"/>
                    <w:lang w:val="en-US"/>
                  </w:rPr>
                  <w:t>1.2.</w:t>
                </w:r>
                <w:r w:rsidRPr="00902F03">
                  <w:rPr>
                    <w:rStyle w:val="Hyperlink"/>
                    <w:b w:val="0"/>
                    <w:bCs w:val="0"/>
                    <w:sz w:val="24"/>
                    <w:szCs w:val="24"/>
                    <w:lang w:val="fr-FR"/>
                  </w:rPr>
                  <w:tab/>
                </w:r>
                <w:r w:rsidR="00B76E90" w:rsidRPr="00B76E90">
                  <w:t xml:space="preserve"> </w:t>
                </w:r>
                <w:r w:rsidR="00B76E90" w:rsidRPr="00424B6B">
                  <w:rPr>
                    <w:rStyle w:val="Hyperlink"/>
                    <w:b w:val="0"/>
                    <w:bCs w:val="0"/>
                    <w:sz w:val="24"/>
                    <w:szCs w:val="24"/>
                    <w:u w:val="none"/>
                    <w:lang w:val="en-US"/>
                  </w:rPr>
                  <w:t>The concept of euthanasia, the right to die and the balance of patient autonomy in the context of human rights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_Toc216374385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3</w:t>
                </w:r>
                <w:r w:rsidR="00424B6B">
                  <w:rPr>
                    <w:rStyle w:val="Hyperlink"/>
                    <w:b w:val="0"/>
                    <w:bCs w:val="0"/>
                    <w:webHidden/>
                    <w:sz w:val="24"/>
                    <w:szCs w:val="24"/>
                    <w:lang w:val="en-US"/>
                  </w:rPr>
                  <w:t>6</w:t>
                </w:r>
                <w:r w:rsidRPr="00902F03">
                  <w:rPr>
                    <w:rStyle w:val="Hyperlink"/>
                    <w:b w:val="0"/>
                    <w:bCs w:val="0"/>
                    <w:webHidden/>
                    <w:sz w:val="24"/>
                    <w:szCs w:val="24"/>
                  </w:rPr>
                  <w:fldChar w:fldCharType="end"/>
                </w:r>
              </w:hyperlink>
            </w:p>
            <w:p w14:paraId="274CA92D" w14:textId="6141907A" w:rsidR="006C248D" w:rsidRPr="00902F03" w:rsidRDefault="006C248D" w:rsidP="00424B6B">
              <w:pPr>
                <w:pStyle w:val="TOC1"/>
                <w:rPr>
                  <w:b w:val="0"/>
                  <w:bCs w:val="0"/>
                  <w:sz w:val="24"/>
                  <w:szCs w:val="24"/>
                  <w:lang w:val="fr-FR"/>
                </w:rPr>
              </w:pPr>
              <w:hyperlink w:anchor="_Toc216374386" w:history="1">
                <w:r w:rsidRPr="00424B6B">
                  <w:rPr>
                    <w:rStyle w:val="Hyperlink"/>
                    <w:b w:val="0"/>
                    <w:bCs w:val="0"/>
                    <w:sz w:val="24"/>
                    <w:szCs w:val="24"/>
                    <w:lang w:val="en-US"/>
                  </w:rPr>
                  <w:t>1.3.</w:t>
                </w:r>
                <w:r w:rsidRPr="00424B6B">
                  <w:rPr>
                    <w:rStyle w:val="Hyperlink"/>
                    <w:b w:val="0"/>
                    <w:bCs w:val="0"/>
                    <w:sz w:val="24"/>
                    <w:szCs w:val="24"/>
                    <w:lang w:val="fr-FR"/>
                  </w:rPr>
                  <w:tab/>
                </w:r>
                <w:r w:rsidR="00424B6B" w:rsidRPr="00424B6B">
                  <w:rPr>
                    <w:rStyle w:val="Hyperlink"/>
                    <w:b w:val="0"/>
                    <w:bCs w:val="0"/>
                    <w:sz w:val="24"/>
                    <w:szCs w:val="24"/>
                    <w:lang w:val="fr-FR"/>
                  </w:rPr>
                  <w:t>An overview of the links between right to life and the right to die in legal studies using computational thematic review</w:t>
                </w:r>
                <w:r w:rsidRPr="00424B6B">
                  <w:rPr>
                    <w:rStyle w:val="Hyperlink"/>
                    <w:b w:val="0"/>
                    <w:bCs w:val="0"/>
                    <w:webHidden/>
                    <w:sz w:val="24"/>
                    <w:szCs w:val="24"/>
                    <w:lang w:val="en-US"/>
                  </w:rPr>
                  <w:tab/>
                </w:r>
                <w:r w:rsidRPr="00424B6B">
                  <w:rPr>
                    <w:rStyle w:val="Hyperlink"/>
                    <w:b w:val="0"/>
                    <w:bCs w:val="0"/>
                    <w:webHidden/>
                    <w:sz w:val="24"/>
                    <w:szCs w:val="24"/>
                    <w:lang w:val="en-US"/>
                  </w:rPr>
                  <w:fldChar w:fldCharType="begin"/>
                </w:r>
                <w:r w:rsidRPr="00424B6B">
                  <w:rPr>
                    <w:rStyle w:val="Hyperlink"/>
                    <w:b w:val="0"/>
                    <w:bCs w:val="0"/>
                    <w:webHidden/>
                    <w:sz w:val="24"/>
                    <w:szCs w:val="24"/>
                    <w:lang w:val="en-US"/>
                  </w:rPr>
                  <w:instrText xml:space="preserve"> PAGEREF _Toc216374386 \h </w:instrText>
                </w:r>
                <w:r w:rsidRPr="00424B6B">
                  <w:rPr>
                    <w:rStyle w:val="Hyperlink"/>
                    <w:b w:val="0"/>
                    <w:bCs w:val="0"/>
                    <w:webHidden/>
                    <w:sz w:val="24"/>
                    <w:szCs w:val="24"/>
                    <w:lang w:val="en-US"/>
                  </w:rPr>
                </w:r>
                <w:r w:rsidRPr="00424B6B">
                  <w:rPr>
                    <w:rStyle w:val="Hyperlink"/>
                    <w:b w:val="0"/>
                    <w:bCs w:val="0"/>
                    <w:webHidden/>
                    <w:sz w:val="24"/>
                    <w:szCs w:val="24"/>
                    <w:lang w:val="en-US"/>
                  </w:rPr>
                  <w:fldChar w:fldCharType="separate"/>
                </w:r>
                <w:r w:rsidRPr="00424B6B">
                  <w:rPr>
                    <w:rStyle w:val="Hyperlink"/>
                    <w:b w:val="0"/>
                    <w:bCs w:val="0"/>
                    <w:webHidden/>
                    <w:sz w:val="24"/>
                    <w:szCs w:val="24"/>
                    <w:lang w:val="en-US"/>
                  </w:rPr>
                  <w:t>4</w:t>
                </w:r>
                <w:r w:rsidR="00424B6B">
                  <w:rPr>
                    <w:rStyle w:val="Hyperlink"/>
                    <w:b w:val="0"/>
                    <w:bCs w:val="0"/>
                    <w:webHidden/>
                    <w:sz w:val="24"/>
                    <w:szCs w:val="24"/>
                    <w:lang w:val="en-US"/>
                  </w:rPr>
                  <w:t>5</w:t>
                </w:r>
                <w:r w:rsidRPr="00424B6B">
                  <w:rPr>
                    <w:rStyle w:val="Hyperlink"/>
                    <w:b w:val="0"/>
                    <w:bCs w:val="0"/>
                    <w:webHidden/>
                    <w:sz w:val="24"/>
                    <w:szCs w:val="24"/>
                  </w:rPr>
                  <w:fldChar w:fldCharType="end"/>
                </w:r>
              </w:hyperlink>
            </w:p>
            <w:p w14:paraId="4302EA3B" w14:textId="3398076B" w:rsidR="006C248D" w:rsidRPr="00902F03" w:rsidRDefault="006C248D" w:rsidP="006C248D">
              <w:pPr>
                <w:pStyle w:val="TOC1"/>
                <w:rPr>
                  <w:b w:val="0"/>
                  <w:bCs w:val="0"/>
                  <w:sz w:val="24"/>
                  <w:szCs w:val="24"/>
                  <w:lang w:val="fr-FR"/>
                </w:rPr>
              </w:pPr>
              <w:hyperlink w:anchor="_Toc216374388" w:history="1">
                <w:r w:rsidRPr="00902F03">
                  <w:rPr>
                    <w:rStyle w:val="Hyperlink"/>
                    <w:b w:val="0"/>
                    <w:bCs w:val="0"/>
                    <w:sz w:val="24"/>
                    <w:szCs w:val="24"/>
                    <w:lang w:val="en-US"/>
                  </w:rPr>
                  <w:t>1.</w:t>
                </w:r>
                <w:r w:rsidR="00424B6B">
                  <w:rPr>
                    <w:rStyle w:val="Hyperlink"/>
                    <w:b w:val="0"/>
                    <w:bCs w:val="0"/>
                    <w:sz w:val="24"/>
                    <w:szCs w:val="24"/>
                    <w:lang w:val="en-US"/>
                  </w:rPr>
                  <w:t>3</w:t>
                </w:r>
                <w:r w:rsidRPr="00902F03">
                  <w:rPr>
                    <w:rStyle w:val="Hyperlink"/>
                    <w:b w:val="0"/>
                    <w:bCs w:val="0"/>
                    <w:sz w:val="24"/>
                    <w:szCs w:val="24"/>
                    <w:lang w:val="en-US"/>
                  </w:rPr>
                  <w:t>.1.</w:t>
                </w:r>
                <w:r w:rsidRPr="00902F03">
                  <w:rPr>
                    <w:rStyle w:val="Hyperlink"/>
                    <w:b w:val="0"/>
                    <w:bCs w:val="0"/>
                    <w:sz w:val="24"/>
                    <w:szCs w:val="24"/>
                    <w:lang w:val="fr-FR"/>
                  </w:rPr>
                  <w:tab/>
                </w:r>
                <w:r w:rsidRPr="00902F03">
                  <w:rPr>
                    <w:rStyle w:val="Hyperlink"/>
                    <w:b w:val="0"/>
                    <w:bCs w:val="0"/>
                    <w:sz w:val="24"/>
                    <w:szCs w:val="24"/>
                    <w:lang w:val="en-US"/>
                  </w:rPr>
                  <w:t>Semantic topic modeling framework based on abstracts: Justification and operationalization with BERTopic</w:t>
                </w:r>
                <w:r w:rsidR="00E419D5" w:rsidRPr="00902F03">
                  <w:rPr>
                    <w:rStyle w:val="Hyperlink"/>
                    <w:b w:val="0"/>
                    <w:bCs w:val="0"/>
                    <w:webHidden/>
                    <w:sz w:val="24"/>
                    <w:szCs w:val="24"/>
                    <w:lang w:val="en-US"/>
                  </w:rPr>
                  <w:t>…………………………………………………………...</w:t>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_Toc216374388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4</w:t>
                </w:r>
                <w:r w:rsidR="00424B6B">
                  <w:rPr>
                    <w:rStyle w:val="Hyperlink"/>
                    <w:b w:val="0"/>
                    <w:bCs w:val="0"/>
                    <w:webHidden/>
                    <w:sz w:val="24"/>
                    <w:szCs w:val="24"/>
                    <w:lang w:val="en-US"/>
                  </w:rPr>
                  <w:t>7</w:t>
                </w:r>
                <w:r w:rsidRPr="00902F03">
                  <w:rPr>
                    <w:rStyle w:val="Hyperlink"/>
                    <w:b w:val="0"/>
                    <w:bCs w:val="0"/>
                    <w:webHidden/>
                    <w:sz w:val="24"/>
                    <w:szCs w:val="24"/>
                  </w:rPr>
                  <w:fldChar w:fldCharType="end"/>
                </w:r>
              </w:hyperlink>
            </w:p>
            <w:p w14:paraId="61E0ACD4" w14:textId="1825BB04" w:rsidR="006C248D" w:rsidRPr="00902F03" w:rsidRDefault="006C248D" w:rsidP="006C248D">
              <w:pPr>
                <w:pStyle w:val="TOC1"/>
                <w:rPr>
                  <w:b w:val="0"/>
                  <w:bCs w:val="0"/>
                  <w:sz w:val="24"/>
                  <w:szCs w:val="24"/>
                  <w:lang w:val="en-US"/>
                </w:rPr>
              </w:pPr>
              <w:hyperlink w:anchor="_Toc216374389" w:history="1">
                <w:r w:rsidRPr="00902F03">
                  <w:rPr>
                    <w:rStyle w:val="Hyperlink"/>
                    <w:b w:val="0"/>
                    <w:bCs w:val="0"/>
                    <w:sz w:val="24"/>
                    <w:szCs w:val="24"/>
                    <w:lang w:val="en-US"/>
                  </w:rPr>
                  <w:t>1.</w:t>
                </w:r>
                <w:r w:rsidR="00424B6B">
                  <w:rPr>
                    <w:rStyle w:val="Hyperlink"/>
                    <w:b w:val="0"/>
                    <w:bCs w:val="0"/>
                    <w:sz w:val="24"/>
                    <w:szCs w:val="24"/>
                    <w:lang w:val="en-US"/>
                  </w:rPr>
                  <w:t>3</w:t>
                </w:r>
                <w:r w:rsidRPr="00902F03">
                  <w:rPr>
                    <w:rStyle w:val="Hyperlink"/>
                    <w:b w:val="0"/>
                    <w:bCs w:val="0"/>
                    <w:sz w:val="24"/>
                    <w:szCs w:val="24"/>
                    <w:lang w:val="en-US"/>
                  </w:rPr>
                  <w:t>.2.</w:t>
                </w:r>
                <w:r w:rsidRPr="00902F03">
                  <w:rPr>
                    <w:rStyle w:val="Hyperlink"/>
                    <w:b w:val="0"/>
                    <w:bCs w:val="0"/>
                    <w:sz w:val="24"/>
                    <w:szCs w:val="24"/>
                    <w:lang w:val="fr-FR"/>
                  </w:rPr>
                  <w:tab/>
                </w:r>
                <w:r w:rsidRPr="00902F03">
                  <w:rPr>
                    <w:rStyle w:val="Hyperlink"/>
                    <w:b w:val="0"/>
                    <w:bCs w:val="0"/>
                    <w:sz w:val="24"/>
                    <w:szCs w:val="24"/>
                    <w:lang w:val="en-US"/>
                  </w:rPr>
                  <w:t>Integrated analytical workflow for mapping the structure and evolution of Euthanasia law research</w:t>
                </w:r>
                <w:r w:rsidR="00E419D5" w:rsidRPr="00902F03">
                  <w:rPr>
                    <w:rStyle w:val="Hyperlink"/>
                    <w:b w:val="0"/>
                    <w:bCs w:val="0"/>
                    <w:webHidden/>
                    <w:sz w:val="24"/>
                    <w:szCs w:val="24"/>
                    <w:lang w:val="en-US"/>
                  </w:rPr>
                  <w:t>…………………………………………………………………………………..</w:t>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_Toc216374389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5</w:t>
                </w:r>
                <w:r w:rsidR="00424B6B">
                  <w:rPr>
                    <w:rStyle w:val="Hyperlink"/>
                    <w:b w:val="0"/>
                    <w:bCs w:val="0"/>
                    <w:webHidden/>
                    <w:sz w:val="24"/>
                    <w:szCs w:val="24"/>
                    <w:lang w:val="en-US"/>
                  </w:rPr>
                  <w:t>4</w:t>
                </w:r>
                <w:r w:rsidRPr="00902F03">
                  <w:rPr>
                    <w:rStyle w:val="Hyperlink"/>
                    <w:b w:val="0"/>
                    <w:bCs w:val="0"/>
                    <w:webHidden/>
                    <w:sz w:val="24"/>
                    <w:szCs w:val="24"/>
                  </w:rPr>
                  <w:fldChar w:fldCharType="end"/>
                </w:r>
              </w:hyperlink>
            </w:p>
            <w:p w14:paraId="0353213A" w14:textId="3D9D0F67" w:rsidR="006C248D" w:rsidRPr="00902F03" w:rsidRDefault="006C248D" w:rsidP="006C248D">
              <w:pPr>
                <w:pStyle w:val="TOC1"/>
                <w:rPr>
                  <w:b w:val="0"/>
                  <w:bCs w:val="0"/>
                  <w:sz w:val="24"/>
                  <w:szCs w:val="24"/>
                  <w:lang w:val="en-US"/>
                </w:rPr>
              </w:pPr>
              <w:r w:rsidRPr="00902F03">
                <w:rPr>
                  <w:b w:val="0"/>
                  <w:bCs w:val="0"/>
                  <w:sz w:val="24"/>
                  <w:szCs w:val="24"/>
                  <w:lang w:val="en-US"/>
                </w:rPr>
                <w:t xml:space="preserve"> 1.</w:t>
              </w:r>
              <w:r w:rsidR="00424B6B">
                <w:rPr>
                  <w:b w:val="0"/>
                  <w:bCs w:val="0"/>
                  <w:sz w:val="24"/>
                  <w:szCs w:val="24"/>
                  <w:lang w:val="en-US"/>
                </w:rPr>
                <w:t>3</w:t>
              </w:r>
              <w:r w:rsidRPr="00902F03">
                <w:rPr>
                  <w:b w:val="0"/>
                  <w:bCs w:val="0"/>
                  <w:sz w:val="24"/>
                  <w:szCs w:val="24"/>
                  <w:lang w:val="en-US"/>
                </w:rPr>
                <w:t>.3. Forward-looking research agenda in Euthanasia law through gap identification…….............................................................................................................</w:t>
              </w:r>
              <w:r w:rsidR="00E419D5" w:rsidRPr="00902F03">
                <w:rPr>
                  <w:b w:val="0"/>
                  <w:bCs w:val="0"/>
                  <w:sz w:val="24"/>
                  <w:szCs w:val="24"/>
                  <w:lang w:val="en-US"/>
                </w:rPr>
                <w:t>......</w:t>
              </w:r>
              <w:r w:rsidRPr="00902F03">
                <w:rPr>
                  <w:b w:val="0"/>
                  <w:bCs w:val="0"/>
                  <w:sz w:val="24"/>
                  <w:szCs w:val="24"/>
                  <w:lang w:val="en-US"/>
                </w:rPr>
                <w:t>..69</w:t>
              </w:r>
            </w:p>
            <w:p w14:paraId="272E6A3D" w14:textId="29EAE06E" w:rsidR="006C248D" w:rsidRPr="00902F03" w:rsidRDefault="006C248D" w:rsidP="006C248D">
              <w:pPr>
                <w:pStyle w:val="TOC1"/>
                <w:rPr>
                  <w:b w:val="0"/>
                  <w:bCs w:val="0"/>
                  <w:sz w:val="24"/>
                  <w:szCs w:val="24"/>
                  <w:lang w:val="fr-FR"/>
                </w:rPr>
              </w:pPr>
              <w:hyperlink w:anchor="_Toc216374390" w:history="1">
                <w:r w:rsidRPr="00902F03">
                  <w:rPr>
                    <w:rStyle w:val="Hyperlink"/>
                    <w:b w:val="0"/>
                    <w:bCs w:val="0"/>
                    <w:sz w:val="24"/>
                    <w:szCs w:val="24"/>
                    <w:lang w:val="en-US"/>
                  </w:rPr>
                  <w:t>II.</w:t>
                </w:r>
                <w:r w:rsidRPr="00902F03">
                  <w:rPr>
                    <w:rStyle w:val="Hyperlink"/>
                    <w:b w:val="0"/>
                    <w:bCs w:val="0"/>
                    <w:sz w:val="24"/>
                    <w:szCs w:val="24"/>
                    <w:lang w:val="fr-FR"/>
                  </w:rPr>
                  <w:tab/>
                </w:r>
                <w:r w:rsidRPr="00902F03">
                  <w:rPr>
                    <w:rStyle w:val="Hyperlink"/>
                    <w:b w:val="0"/>
                    <w:bCs w:val="0"/>
                    <w:sz w:val="24"/>
                    <w:szCs w:val="24"/>
                    <w:lang w:val="en-US"/>
                  </w:rPr>
                  <w:t>THE IMPLEMENTATION OF THE EUTHANASIA INSTITUTE IN THE CONTEXT OF NATIONAL AND INTERNATIONAL LAW AND IDENTIFICATION OF THE MAIN PROBLEMS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_Toc216374390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7</w:t>
                </w:r>
                <w:r w:rsidR="00424B6B">
                  <w:rPr>
                    <w:rStyle w:val="Hyperlink"/>
                    <w:b w:val="0"/>
                    <w:bCs w:val="0"/>
                    <w:webHidden/>
                    <w:sz w:val="24"/>
                    <w:szCs w:val="24"/>
                    <w:lang w:val="en-US"/>
                  </w:rPr>
                  <w:t>3</w:t>
                </w:r>
                <w:r w:rsidRPr="00902F03">
                  <w:rPr>
                    <w:rStyle w:val="Hyperlink"/>
                    <w:b w:val="0"/>
                    <w:bCs w:val="0"/>
                    <w:webHidden/>
                    <w:sz w:val="24"/>
                    <w:szCs w:val="24"/>
                  </w:rPr>
                  <w:fldChar w:fldCharType="end"/>
                </w:r>
              </w:hyperlink>
            </w:p>
            <w:p w14:paraId="3AAE7A88" w14:textId="26049290" w:rsidR="006C248D" w:rsidRPr="00902F03" w:rsidRDefault="006C248D" w:rsidP="006C248D">
              <w:pPr>
                <w:pStyle w:val="TOC1"/>
                <w:rPr>
                  <w:b w:val="0"/>
                  <w:bCs w:val="0"/>
                  <w:sz w:val="24"/>
                  <w:szCs w:val="24"/>
                  <w:lang w:val="fr-FR"/>
                </w:rPr>
              </w:pPr>
              <w:hyperlink w:anchor="_Toc216374391" w:history="1">
                <w:r w:rsidRPr="00902F03">
                  <w:rPr>
                    <w:rStyle w:val="Hyperlink"/>
                    <w:b w:val="0"/>
                    <w:bCs w:val="0"/>
                    <w:sz w:val="24"/>
                    <w:szCs w:val="24"/>
                    <w:lang w:val="en-US"/>
                  </w:rPr>
                  <w:t>2.1.</w:t>
                </w:r>
                <w:r w:rsidRPr="00902F03">
                  <w:rPr>
                    <w:rStyle w:val="Hyperlink"/>
                    <w:b w:val="0"/>
                    <w:bCs w:val="0"/>
                    <w:sz w:val="24"/>
                    <w:szCs w:val="24"/>
                    <w:lang w:val="fr-FR"/>
                  </w:rPr>
                  <w:tab/>
                </w:r>
                <w:r w:rsidRPr="00902F03">
                  <w:rPr>
                    <w:rStyle w:val="Hyperlink"/>
                    <w:b w:val="0"/>
                    <w:bCs w:val="0"/>
                    <w:sz w:val="24"/>
                    <w:szCs w:val="24"/>
                    <w:lang w:val="en-US"/>
                  </w:rPr>
                  <w:t>National legal acts review in the context of euthanasia institute</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_Toc216374391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7</w:t>
                </w:r>
                <w:r w:rsidR="00424B6B">
                  <w:rPr>
                    <w:rStyle w:val="Hyperlink"/>
                    <w:b w:val="0"/>
                    <w:bCs w:val="0"/>
                    <w:webHidden/>
                    <w:sz w:val="24"/>
                    <w:szCs w:val="24"/>
                    <w:lang w:val="en-US"/>
                  </w:rPr>
                  <w:t>3</w:t>
                </w:r>
                <w:r w:rsidRPr="00902F03">
                  <w:rPr>
                    <w:rStyle w:val="Hyperlink"/>
                    <w:b w:val="0"/>
                    <w:bCs w:val="0"/>
                    <w:webHidden/>
                    <w:sz w:val="24"/>
                    <w:szCs w:val="24"/>
                  </w:rPr>
                  <w:fldChar w:fldCharType="end"/>
                </w:r>
              </w:hyperlink>
            </w:p>
            <w:p w14:paraId="529F921D" w14:textId="3843D91F" w:rsidR="006C248D" w:rsidRPr="00902F03" w:rsidRDefault="006C248D" w:rsidP="006C248D">
              <w:pPr>
                <w:pStyle w:val="TOC1"/>
                <w:rPr>
                  <w:b w:val="0"/>
                  <w:bCs w:val="0"/>
                  <w:sz w:val="24"/>
                  <w:szCs w:val="24"/>
                  <w:lang w:val="fr-FR"/>
                </w:rPr>
              </w:pPr>
              <w:hyperlink w:anchor="_Toc216374392" w:history="1">
                <w:r w:rsidRPr="00902F03">
                  <w:rPr>
                    <w:rStyle w:val="Hyperlink"/>
                    <w:b w:val="0"/>
                    <w:bCs w:val="0"/>
                    <w:sz w:val="24"/>
                    <w:szCs w:val="24"/>
                    <w:lang w:val="en-US"/>
                  </w:rPr>
                  <w:t>2.2.</w:t>
                </w:r>
                <w:r w:rsidRPr="00902F03">
                  <w:rPr>
                    <w:rStyle w:val="Hyperlink"/>
                    <w:b w:val="0"/>
                    <w:bCs w:val="0"/>
                    <w:sz w:val="24"/>
                    <w:szCs w:val="24"/>
                    <w:lang w:val="fr-FR"/>
                  </w:rPr>
                  <w:tab/>
                </w:r>
                <w:r w:rsidRPr="00902F03">
                  <w:rPr>
                    <w:rStyle w:val="Hyperlink"/>
                    <w:b w:val="0"/>
                    <w:bCs w:val="0"/>
                    <w:sz w:val="24"/>
                    <w:szCs w:val="24"/>
                    <w:lang w:val="en-US"/>
                  </w:rPr>
                  <w:t>International legal acts in the context of ensuring right to euthanasia</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_Toc216374392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7</w:t>
                </w:r>
                <w:r w:rsidR="00424B6B">
                  <w:rPr>
                    <w:rStyle w:val="Hyperlink"/>
                    <w:b w:val="0"/>
                    <w:bCs w:val="0"/>
                    <w:webHidden/>
                    <w:sz w:val="24"/>
                    <w:szCs w:val="24"/>
                    <w:lang w:val="en-US"/>
                  </w:rPr>
                  <w:t>9</w:t>
                </w:r>
                <w:r w:rsidRPr="00902F03">
                  <w:rPr>
                    <w:rStyle w:val="Hyperlink"/>
                    <w:b w:val="0"/>
                    <w:bCs w:val="0"/>
                    <w:webHidden/>
                    <w:sz w:val="24"/>
                    <w:szCs w:val="24"/>
                  </w:rPr>
                  <w:fldChar w:fldCharType="end"/>
                </w:r>
              </w:hyperlink>
            </w:p>
            <w:p w14:paraId="4EB55327" w14:textId="427DA91E" w:rsidR="006C248D" w:rsidRPr="00902F03" w:rsidRDefault="006C248D" w:rsidP="006C248D">
              <w:pPr>
                <w:pStyle w:val="TOC1"/>
                <w:rPr>
                  <w:b w:val="0"/>
                  <w:bCs w:val="0"/>
                  <w:sz w:val="24"/>
                  <w:szCs w:val="24"/>
                  <w:lang w:val="fr-FR"/>
                </w:rPr>
              </w:pPr>
              <w:hyperlink w:anchor="_Toc216374393" w:history="1">
                <w:r w:rsidRPr="00902F03">
                  <w:rPr>
                    <w:rStyle w:val="Hyperlink"/>
                    <w:b w:val="0"/>
                    <w:bCs w:val="0"/>
                    <w:sz w:val="24"/>
                    <w:szCs w:val="24"/>
                    <w:lang w:val="en-US"/>
                  </w:rPr>
                  <w:t xml:space="preserve">2.2.1. </w:t>
                </w:r>
                <w:r w:rsidR="00572B4D" w:rsidRPr="00424B6B">
                  <w:rPr>
                    <w:b w:val="0"/>
                    <w:bCs w:val="0"/>
                    <w:sz w:val="24"/>
                    <w:szCs w:val="24"/>
                  </w:rPr>
                  <w:t>Legal aspects of ensuring the right to euthanasia in different countries of the European Union</w:t>
                </w:r>
                <w:r w:rsidRPr="00902F03">
                  <w:rPr>
                    <w:rStyle w:val="Hyperlink"/>
                    <w:b w:val="0"/>
                    <w:bCs w:val="0"/>
                    <w:webHidden/>
                    <w:sz w:val="24"/>
                    <w:szCs w:val="24"/>
                    <w:lang w:val="en-US"/>
                  </w:rPr>
                  <w:tab/>
                </w:r>
                <w:r w:rsidR="00424B6B">
                  <w:rPr>
                    <w:rStyle w:val="Hyperlink"/>
                    <w:b w:val="0"/>
                    <w:bCs w:val="0"/>
                    <w:webHidden/>
                    <w:sz w:val="24"/>
                    <w:szCs w:val="24"/>
                    <w:lang w:val="en-US"/>
                  </w:rPr>
                  <w:t>…………………………………………………………………………………………81</w:t>
                </w:r>
              </w:hyperlink>
            </w:p>
            <w:p w14:paraId="1D43D93C" w14:textId="16C95841" w:rsidR="006C248D" w:rsidRPr="00902F03" w:rsidRDefault="006C248D" w:rsidP="006C248D">
              <w:pPr>
                <w:pStyle w:val="TOC1"/>
                <w:rPr>
                  <w:b w:val="0"/>
                  <w:bCs w:val="0"/>
                  <w:sz w:val="24"/>
                  <w:szCs w:val="24"/>
                  <w:lang w:val="fr-FR"/>
                </w:rPr>
              </w:pPr>
              <w:hyperlink w:anchor="_Toc216374394" w:history="1">
                <w:r w:rsidRPr="00902F03">
                  <w:rPr>
                    <w:rStyle w:val="Hyperlink"/>
                    <w:b w:val="0"/>
                    <w:bCs w:val="0"/>
                    <w:sz w:val="24"/>
                    <w:szCs w:val="24"/>
                    <w:lang w:val="en-US"/>
                  </w:rPr>
                  <w:t xml:space="preserve">2.2.2. </w:t>
                </w:r>
                <w:r w:rsidR="007716FF" w:rsidRPr="00424B6B">
                  <w:rPr>
                    <w:rStyle w:val="Hyperlink"/>
                    <w:b w:val="0"/>
                    <w:bCs w:val="0"/>
                    <w:sz w:val="24"/>
                    <w:szCs w:val="24"/>
                    <w:lang w:val="en-US"/>
                  </w:rPr>
                  <w:t xml:space="preserve">Legal </w:t>
                </w:r>
                <w:r w:rsidR="00572B4D" w:rsidRPr="00424B6B">
                  <w:rPr>
                    <w:rStyle w:val="Hyperlink"/>
                    <w:b w:val="0"/>
                    <w:bCs w:val="0"/>
                    <w:sz w:val="24"/>
                    <w:szCs w:val="24"/>
                    <w:lang w:val="en-US"/>
                  </w:rPr>
                  <w:t>Regulation of the right to euthanasia in non-European Union countries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_Toc216374394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9</w:t>
                </w:r>
                <w:r w:rsidR="00424B6B">
                  <w:rPr>
                    <w:rStyle w:val="Hyperlink"/>
                    <w:b w:val="0"/>
                    <w:bCs w:val="0"/>
                    <w:webHidden/>
                    <w:sz w:val="24"/>
                    <w:szCs w:val="24"/>
                    <w:lang w:val="en-US"/>
                  </w:rPr>
                  <w:t>3</w:t>
                </w:r>
                <w:r w:rsidRPr="00902F03">
                  <w:rPr>
                    <w:rStyle w:val="Hyperlink"/>
                    <w:b w:val="0"/>
                    <w:bCs w:val="0"/>
                    <w:webHidden/>
                    <w:sz w:val="24"/>
                    <w:szCs w:val="24"/>
                  </w:rPr>
                  <w:fldChar w:fldCharType="end"/>
                </w:r>
              </w:hyperlink>
            </w:p>
            <w:p w14:paraId="4EF19303" w14:textId="74BE02E0" w:rsidR="006C248D" w:rsidRPr="00902F03" w:rsidRDefault="006C248D" w:rsidP="006C248D">
              <w:pPr>
                <w:pStyle w:val="TOC1"/>
                <w:rPr>
                  <w:b w:val="0"/>
                  <w:bCs w:val="0"/>
                  <w:sz w:val="24"/>
                  <w:szCs w:val="24"/>
                  <w:lang w:val="fr-FR"/>
                </w:rPr>
              </w:pPr>
              <w:hyperlink w:anchor="_Toc216374395" w:history="1">
                <w:r w:rsidRPr="00902F03">
                  <w:rPr>
                    <w:rStyle w:val="Hyperlink"/>
                    <w:b w:val="0"/>
                    <w:bCs w:val="0"/>
                    <w:sz w:val="24"/>
                    <w:szCs w:val="24"/>
                    <w:lang w:val="en-US"/>
                  </w:rPr>
                  <w:t>2.3. Cases of limitation and restriction of right to euthanasia</w:t>
                </w:r>
                <w:r w:rsidRPr="00902F03">
                  <w:rPr>
                    <w:rStyle w:val="Hyperlink"/>
                    <w:b w:val="0"/>
                    <w:bCs w:val="0"/>
                    <w:webHidden/>
                    <w:sz w:val="24"/>
                    <w:szCs w:val="24"/>
                    <w:lang w:val="en-US"/>
                  </w:rPr>
                  <w:tab/>
                </w:r>
                <w:r w:rsidR="00424B6B">
                  <w:rPr>
                    <w:rStyle w:val="Hyperlink"/>
                    <w:b w:val="0"/>
                    <w:bCs w:val="0"/>
                    <w:webHidden/>
                    <w:sz w:val="24"/>
                    <w:szCs w:val="24"/>
                    <w:lang w:val="en-US"/>
                  </w:rPr>
                  <w:t>100</w:t>
                </w:r>
              </w:hyperlink>
            </w:p>
            <w:p w14:paraId="24A1A71E" w14:textId="5065FF4E" w:rsidR="006C248D" w:rsidRPr="00902F03" w:rsidRDefault="006C248D" w:rsidP="006C248D">
              <w:pPr>
                <w:pStyle w:val="TOC1"/>
                <w:rPr>
                  <w:b w:val="0"/>
                  <w:bCs w:val="0"/>
                  <w:sz w:val="24"/>
                  <w:szCs w:val="24"/>
                  <w:lang w:val="fr-FR"/>
                </w:rPr>
              </w:pPr>
              <w:hyperlink w:anchor="_Toc216374396" w:history="1">
                <w:r w:rsidRPr="00902F03">
                  <w:rPr>
                    <w:rStyle w:val="Hyperlink"/>
                    <w:b w:val="0"/>
                    <w:bCs w:val="0"/>
                    <w:sz w:val="24"/>
                    <w:szCs w:val="24"/>
                    <w:lang w:val="en-US"/>
                  </w:rPr>
                  <w:t>2.4. The legal consequences and responsibility related to the limitation of the right to euthanasia</w:t>
                </w:r>
                <w:r w:rsidRPr="00902F03">
                  <w:rPr>
                    <w:rStyle w:val="Hyperlink"/>
                    <w:b w:val="0"/>
                    <w:bCs w:val="0"/>
                    <w:webHidden/>
                    <w:sz w:val="24"/>
                    <w:szCs w:val="24"/>
                    <w:lang w:val="en-US"/>
                  </w:rPr>
                  <w:tab/>
                  <w:t>10</w:t>
                </w:r>
                <w:r w:rsidR="00424B6B">
                  <w:rPr>
                    <w:rStyle w:val="Hyperlink"/>
                    <w:b w:val="0"/>
                    <w:bCs w:val="0"/>
                    <w:webHidden/>
                    <w:sz w:val="24"/>
                    <w:szCs w:val="24"/>
                    <w:lang w:val="en-US"/>
                  </w:rPr>
                  <w:t>2</w:t>
                </w:r>
              </w:hyperlink>
            </w:p>
            <w:p w14:paraId="6894F93F" w14:textId="48DCE5F9" w:rsidR="006C248D" w:rsidRPr="00902F03" w:rsidRDefault="006C248D" w:rsidP="006C248D">
              <w:pPr>
                <w:pStyle w:val="TOC1"/>
                <w:rPr>
                  <w:b w:val="0"/>
                  <w:bCs w:val="0"/>
                  <w:sz w:val="24"/>
                  <w:szCs w:val="24"/>
                  <w:lang w:val="fr-FR"/>
                </w:rPr>
              </w:pPr>
              <w:hyperlink w:anchor="_Toc216374397" w:history="1">
                <w:r w:rsidRPr="00902F03">
                  <w:rPr>
                    <w:rStyle w:val="Hyperlink"/>
                    <w:b w:val="0"/>
                    <w:bCs w:val="0"/>
                    <w:sz w:val="24"/>
                    <w:szCs w:val="24"/>
                    <w:lang w:val="en-US"/>
                  </w:rPr>
                  <w:t>III.</w:t>
                </w:r>
                <w:r w:rsidRPr="00902F03">
                  <w:rPr>
                    <w:rStyle w:val="Hyperlink"/>
                    <w:b w:val="0"/>
                    <w:bCs w:val="0"/>
                    <w:sz w:val="24"/>
                    <w:szCs w:val="24"/>
                    <w:lang w:val="fr-FR"/>
                  </w:rPr>
                  <w:tab/>
                </w:r>
                <w:r w:rsidRPr="00902F03">
                  <w:rPr>
                    <w:rStyle w:val="Hyperlink"/>
                    <w:b w:val="0"/>
                    <w:bCs w:val="0"/>
                    <w:sz w:val="24"/>
                    <w:szCs w:val="24"/>
                    <w:lang w:val="en-US"/>
                  </w:rPr>
                  <w:t>EPISTEMOLOGICAL AND EMPIRICAL RESEARCH FRAMEWORK: THE PRACTICAL SETTLEMENT OF LEGAL REGULATION OF EUTHANASIA INSTITUTE</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_Toc216374397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10</w:t>
                </w:r>
                <w:r w:rsidR="00424B6B">
                  <w:rPr>
                    <w:rStyle w:val="Hyperlink"/>
                    <w:b w:val="0"/>
                    <w:bCs w:val="0"/>
                    <w:webHidden/>
                    <w:sz w:val="24"/>
                    <w:szCs w:val="24"/>
                    <w:lang w:val="en-US"/>
                  </w:rPr>
                  <w:t>6</w:t>
                </w:r>
                <w:r w:rsidRPr="00902F03">
                  <w:rPr>
                    <w:rStyle w:val="Hyperlink"/>
                    <w:b w:val="0"/>
                    <w:bCs w:val="0"/>
                    <w:webHidden/>
                    <w:sz w:val="24"/>
                    <w:szCs w:val="24"/>
                  </w:rPr>
                  <w:fldChar w:fldCharType="end"/>
                </w:r>
              </w:hyperlink>
            </w:p>
            <w:p w14:paraId="362ACD70" w14:textId="135C0C4D" w:rsidR="006C248D" w:rsidRPr="00902F03" w:rsidRDefault="006C248D" w:rsidP="006C248D">
              <w:pPr>
                <w:pStyle w:val="TOC1"/>
                <w:rPr>
                  <w:b w:val="0"/>
                  <w:bCs w:val="0"/>
                  <w:sz w:val="24"/>
                  <w:szCs w:val="24"/>
                  <w:lang w:val="fr-FR"/>
                </w:rPr>
              </w:pPr>
              <w:hyperlink w:anchor="_Toc216374398" w:history="1">
                <w:r w:rsidRPr="00902F03">
                  <w:rPr>
                    <w:rStyle w:val="Hyperlink"/>
                    <w:b w:val="0"/>
                    <w:bCs w:val="0"/>
                    <w:sz w:val="24"/>
                    <w:szCs w:val="24"/>
                    <w:lang w:val="en-US"/>
                  </w:rPr>
                  <w:t>3.1.</w:t>
                </w:r>
                <w:r w:rsidRPr="00902F03">
                  <w:rPr>
                    <w:rStyle w:val="Hyperlink"/>
                    <w:b w:val="0"/>
                    <w:bCs w:val="0"/>
                    <w:sz w:val="24"/>
                    <w:szCs w:val="24"/>
                    <w:lang w:val="fr-FR"/>
                  </w:rPr>
                  <w:tab/>
                </w:r>
                <w:r w:rsidRPr="00902F03">
                  <w:rPr>
                    <w:rStyle w:val="Hyperlink"/>
                    <w:b w:val="0"/>
                    <w:bCs w:val="0"/>
                    <w:sz w:val="24"/>
                    <w:szCs w:val="24"/>
                    <w:lang w:val="en-US"/>
                  </w:rPr>
                  <w:t>Epistemological orientation and document-based knowledge production</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_Toc216374398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10</w:t>
                </w:r>
                <w:r w:rsidR="00424B6B">
                  <w:rPr>
                    <w:rStyle w:val="Hyperlink"/>
                    <w:b w:val="0"/>
                    <w:bCs w:val="0"/>
                    <w:webHidden/>
                    <w:sz w:val="24"/>
                    <w:szCs w:val="24"/>
                    <w:lang w:val="en-US"/>
                  </w:rPr>
                  <w:t>6</w:t>
                </w:r>
                <w:r w:rsidRPr="00902F03">
                  <w:rPr>
                    <w:rStyle w:val="Hyperlink"/>
                    <w:b w:val="0"/>
                    <w:bCs w:val="0"/>
                    <w:webHidden/>
                    <w:sz w:val="24"/>
                    <w:szCs w:val="24"/>
                  </w:rPr>
                  <w:fldChar w:fldCharType="end"/>
                </w:r>
              </w:hyperlink>
            </w:p>
            <w:p w14:paraId="23181C94" w14:textId="2BD5F784" w:rsidR="006C248D" w:rsidRPr="00902F03" w:rsidRDefault="006C248D" w:rsidP="006C248D">
              <w:pPr>
                <w:pStyle w:val="TOC1"/>
                <w:rPr>
                  <w:b w:val="0"/>
                  <w:bCs w:val="0"/>
                  <w:sz w:val="24"/>
                  <w:szCs w:val="24"/>
                  <w:lang w:val="fr-FR"/>
                </w:rPr>
              </w:pPr>
              <w:hyperlink w:anchor="_Toc216374401" w:history="1">
                <w:r w:rsidRPr="00902F03">
                  <w:rPr>
                    <w:rStyle w:val="Hyperlink"/>
                    <w:b w:val="0"/>
                    <w:bCs w:val="0"/>
                    <w:sz w:val="24"/>
                    <w:szCs w:val="24"/>
                    <w:lang w:val="en-US"/>
                  </w:rPr>
                  <w:t>3.2.</w:t>
                </w:r>
                <w:r w:rsidRPr="00902F03">
                  <w:rPr>
                    <w:rStyle w:val="Hyperlink"/>
                    <w:b w:val="0"/>
                    <w:bCs w:val="0"/>
                    <w:sz w:val="24"/>
                    <w:szCs w:val="24"/>
                    <w:lang w:val="fr-FR"/>
                  </w:rPr>
                  <w:tab/>
                </w:r>
                <w:r w:rsidRPr="00902F03">
                  <w:rPr>
                    <w:rStyle w:val="Hyperlink"/>
                    <w:b w:val="0"/>
                    <w:bCs w:val="0"/>
                    <w:sz w:val="24"/>
                    <w:szCs w:val="24"/>
                    <w:lang w:val="en-US"/>
                  </w:rPr>
                  <w:t>Empirical fieldwork, ethical considerations, and results of the legal regulation of euthanasia</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_Toc216374401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10</w:t>
                </w:r>
                <w:r w:rsidR="00424B6B">
                  <w:rPr>
                    <w:rStyle w:val="Hyperlink"/>
                    <w:b w:val="0"/>
                    <w:bCs w:val="0"/>
                    <w:webHidden/>
                    <w:sz w:val="24"/>
                    <w:szCs w:val="24"/>
                    <w:lang w:val="en-US"/>
                  </w:rPr>
                  <w:t>9</w:t>
                </w:r>
                <w:r w:rsidRPr="00902F03">
                  <w:rPr>
                    <w:rStyle w:val="Hyperlink"/>
                    <w:b w:val="0"/>
                    <w:bCs w:val="0"/>
                    <w:webHidden/>
                    <w:sz w:val="24"/>
                    <w:szCs w:val="24"/>
                  </w:rPr>
                  <w:fldChar w:fldCharType="end"/>
                </w:r>
              </w:hyperlink>
            </w:p>
            <w:p w14:paraId="6F0D19E7" w14:textId="75631629" w:rsidR="006C248D" w:rsidRPr="00902F03" w:rsidRDefault="006C248D" w:rsidP="006C248D">
              <w:pPr>
                <w:pStyle w:val="TOC1"/>
                <w:rPr>
                  <w:b w:val="0"/>
                  <w:bCs w:val="0"/>
                  <w:sz w:val="24"/>
                  <w:szCs w:val="24"/>
                  <w:lang w:val="fr-FR"/>
                </w:rPr>
              </w:pPr>
              <w:hyperlink w:anchor="_Toc216374406" w:history="1">
                <w:r w:rsidRPr="00902F03">
                  <w:rPr>
                    <w:rStyle w:val="Hyperlink"/>
                    <w:b w:val="0"/>
                    <w:bCs w:val="0"/>
                    <w:sz w:val="24"/>
                    <w:szCs w:val="24"/>
                    <w:lang w:val="en-US"/>
                  </w:rPr>
                  <w:t>3.3.</w:t>
                </w:r>
                <w:r w:rsidRPr="00902F03">
                  <w:rPr>
                    <w:rStyle w:val="Hyperlink"/>
                    <w:b w:val="0"/>
                    <w:bCs w:val="0"/>
                    <w:sz w:val="24"/>
                    <w:szCs w:val="24"/>
                    <w:lang w:val="fr-FR"/>
                  </w:rPr>
                  <w:tab/>
                </w:r>
                <w:r w:rsidRPr="00902F03">
                  <w:rPr>
                    <w:rStyle w:val="Hyperlink"/>
                    <w:b w:val="0"/>
                    <w:bCs w:val="0"/>
                    <w:sz w:val="24"/>
                    <w:szCs w:val="24"/>
                    <w:lang w:val="en-US"/>
                  </w:rPr>
                  <w:t>Patient date analysis of the legal regulation of the euthanasia institute</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_Toc216374406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12</w:t>
                </w:r>
                <w:r w:rsidR="00424B6B">
                  <w:rPr>
                    <w:rStyle w:val="Hyperlink"/>
                    <w:b w:val="0"/>
                    <w:bCs w:val="0"/>
                    <w:webHidden/>
                    <w:sz w:val="24"/>
                    <w:szCs w:val="24"/>
                    <w:lang w:val="en-US"/>
                  </w:rPr>
                  <w:t>5</w:t>
                </w:r>
                <w:r w:rsidRPr="00902F03">
                  <w:rPr>
                    <w:rStyle w:val="Hyperlink"/>
                    <w:b w:val="0"/>
                    <w:bCs w:val="0"/>
                    <w:webHidden/>
                    <w:sz w:val="24"/>
                    <w:szCs w:val="24"/>
                  </w:rPr>
                  <w:fldChar w:fldCharType="end"/>
                </w:r>
              </w:hyperlink>
            </w:p>
            <w:p w14:paraId="64A79F56" w14:textId="05733D7D" w:rsidR="006C248D" w:rsidRPr="00902F03" w:rsidRDefault="006C248D" w:rsidP="006C248D">
              <w:pPr>
                <w:pStyle w:val="TOC1"/>
                <w:rPr>
                  <w:b w:val="0"/>
                  <w:bCs w:val="0"/>
                  <w:sz w:val="24"/>
                  <w:szCs w:val="24"/>
                  <w:lang w:val="fr-FR"/>
                </w:rPr>
              </w:pPr>
              <w:hyperlink w:anchor="_Toc216374414" w:history="1">
                <w:r w:rsidRPr="00902F03">
                  <w:rPr>
                    <w:rStyle w:val="Hyperlink"/>
                    <w:b w:val="0"/>
                    <w:bCs w:val="0"/>
                    <w:sz w:val="24"/>
                    <w:szCs w:val="24"/>
                    <w:lang w:val="en-US"/>
                  </w:rPr>
                  <w:t>3.4.</w:t>
                </w:r>
                <w:r w:rsidRPr="00902F03">
                  <w:rPr>
                    <w:rStyle w:val="Hyperlink"/>
                    <w:b w:val="0"/>
                    <w:bCs w:val="0"/>
                    <w:sz w:val="24"/>
                    <w:szCs w:val="24"/>
                    <w:lang w:val="fr-FR"/>
                  </w:rPr>
                  <w:tab/>
                </w:r>
                <w:r w:rsidRPr="00902F03">
                  <w:rPr>
                    <w:rStyle w:val="Hyperlink"/>
                    <w:b w:val="0"/>
                    <w:bCs w:val="0"/>
                    <w:sz w:val="24"/>
                    <w:szCs w:val="24"/>
                    <w:lang w:val="en-US"/>
                  </w:rPr>
                  <w:t>Comparative discussion of international and European experiences in relation to the Lithuanian context of euthanasia</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_Toc216374414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13</w:t>
                </w:r>
                <w:r w:rsidR="00424B6B">
                  <w:rPr>
                    <w:rStyle w:val="Hyperlink"/>
                    <w:b w:val="0"/>
                    <w:bCs w:val="0"/>
                    <w:webHidden/>
                    <w:sz w:val="24"/>
                    <w:szCs w:val="24"/>
                    <w:lang w:val="en-US"/>
                  </w:rPr>
                  <w:t>3</w:t>
                </w:r>
                <w:r w:rsidRPr="00902F03">
                  <w:rPr>
                    <w:rStyle w:val="Hyperlink"/>
                    <w:b w:val="0"/>
                    <w:bCs w:val="0"/>
                    <w:webHidden/>
                    <w:sz w:val="24"/>
                    <w:szCs w:val="24"/>
                  </w:rPr>
                  <w:fldChar w:fldCharType="end"/>
                </w:r>
              </w:hyperlink>
            </w:p>
            <w:p w14:paraId="0D98A027" w14:textId="5F3C0CB8" w:rsidR="006C248D" w:rsidRPr="00902F03" w:rsidRDefault="006C248D" w:rsidP="006C248D">
              <w:pPr>
                <w:pStyle w:val="TOC1"/>
                <w:rPr>
                  <w:b w:val="0"/>
                  <w:bCs w:val="0"/>
                  <w:sz w:val="24"/>
                  <w:szCs w:val="24"/>
                  <w:lang w:val="fr-FR"/>
                </w:rPr>
              </w:pPr>
              <w:hyperlink w:anchor="_Toc216374418" w:history="1">
                <w:r w:rsidRPr="00902F03">
                  <w:rPr>
                    <w:rStyle w:val="Hyperlink"/>
                    <w:b w:val="0"/>
                    <w:bCs w:val="0"/>
                    <w:sz w:val="24"/>
                    <w:szCs w:val="24"/>
                    <w:lang w:val="en-US"/>
                  </w:rPr>
                  <w:t>CONCLUSION AND RECOMMENDATIONS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_Toc216374418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w:t>
                </w:r>
                <w:r w:rsidR="00424B6B">
                  <w:rPr>
                    <w:rStyle w:val="Hyperlink"/>
                    <w:b w:val="0"/>
                    <w:bCs w:val="0"/>
                    <w:webHidden/>
                    <w:sz w:val="24"/>
                    <w:szCs w:val="24"/>
                    <w:lang w:val="en-US"/>
                  </w:rPr>
                  <w:t>50</w:t>
                </w:r>
                <w:r w:rsidRPr="00902F03">
                  <w:rPr>
                    <w:rStyle w:val="Hyperlink"/>
                    <w:b w:val="0"/>
                    <w:bCs w:val="0"/>
                    <w:webHidden/>
                    <w:sz w:val="24"/>
                    <w:szCs w:val="24"/>
                  </w:rPr>
                  <w:fldChar w:fldCharType="end"/>
                </w:r>
              </w:hyperlink>
            </w:p>
            <w:p w14:paraId="3344BFF3" w14:textId="0B43CC31" w:rsidR="006C248D" w:rsidRPr="00902F03" w:rsidRDefault="006C248D" w:rsidP="006C248D">
              <w:pPr>
                <w:pStyle w:val="TOC1"/>
                <w:rPr>
                  <w:b w:val="0"/>
                  <w:bCs w:val="0"/>
                  <w:sz w:val="24"/>
                  <w:szCs w:val="24"/>
                  <w:lang w:val="fr-FR"/>
                </w:rPr>
              </w:pPr>
              <w:hyperlink w:anchor="_Toc216374419" w:history="1">
                <w:r w:rsidRPr="00902F03">
                  <w:rPr>
                    <w:rStyle w:val="Hyperlink"/>
                    <w:b w:val="0"/>
                    <w:bCs w:val="0"/>
                    <w:sz w:val="24"/>
                    <w:szCs w:val="24"/>
                    <w:lang w:val="en-US"/>
                  </w:rPr>
                  <w:t>LIST OF LITERATURE AND SOURCES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_Toc216374419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15</w:t>
                </w:r>
                <w:r w:rsidR="00424B6B">
                  <w:rPr>
                    <w:rStyle w:val="Hyperlink"/>
                    <w:b w:val="0"/>
                    <w:bCs w:val="0"/>
                    <w:webHidden/>
                    <w:sz w:val="24"/>
                    <w:szCs w:val="24"/>
                    <w:lang w:val="en-US"/>
                  </w:rPr>
                  <w:t>8</w:t>
                </w:r>
                <w:r w:rsidRPr="00902F03">
                  <w:rPr>
                    <w:rStyle w:val="Hyperlink"/>
                    <w:b w:val="0"/>
                    <w:bCs w:val="0"/>
                    <w:webHidden/>
                    <w:sz w:val="24"/>
                    <w:szCs w:val="24"/>
                  </w:rPr>
                  <w:fldChar w:fldCharType="end"/>
                </w:r>
              </w:hyperlink>
            </w:p>
            <w:p w14:paraId="6F84A790" w14:textId="07FD7C42" w:rsidR="006C248D" w:rsidRPr="00902F03" w:rsidRDefault="006C248D" w:rsidP="006C248D">
              <w:pPr>
                <w:pStyle w:val="TOC1"/>
                <w:rPr>
                  <w:b w:val="0"/>
                  <w:bCs w:val="0"/>
                  <w:sz w:val="24"/>
                  <w:szCs w:val="24"/>
                  <w:lang w:val="fr-FR"/>
                </w:rPr>
              </w:pPr>
              <w:hyperlink w:anchor="_Toc216374420" w:history="1">
                <w:r w:rsidRPr="00902F03">
                  <w:rPr>
                    <w:rStyle w:val="Hyperlink"/>
                    <w:b w:val="0"/>
                    <w:bCs w:val="0"/>
                    <w:sz w:val="24"/>
                    <w:szCs w:val="24"/>
                    <w:lang w:val="en-US"/>
                  </w:rPr>
                  <w:t>APPENDICES</w:t>
                </w:r>
                <w:r w:rsidRPr="00902F03">
                  <w:rPr>
                    <w:rStyle w:val="Hyperlink"/>
                    <w:b w:val="0"/>
                    <w:bCs w:val="0"/>
                    <w:webHidden/>
                    <w:sz w:val="24"/>
                    <w:szCs w:val="24"/>
                    <w:lang w:val="en-US"/>
                  </w:rPr>
                  <w:tab/>
                </w:r>
                <w:r w:rsidRPr="00902F03">
                  <w:rPr>
                    <w:rStyle w:val="Hyperlink"/>
                    <w:b w:val="0"/>
                    <w:bCs w:val="0"/>
                    <w:webHidden/>
                    <w:sz w:val="24"/>
                    <w:szCs w:val="24"/>
                    <w:lang w:val="en-US"/>
                  </w:rPr>
                  <w:fldChar w:fldCharType="begin"/>
                </w:r>
                <w:r w:rsidRPr="00902F03">
                  <w:rPr>
                    <w:rStyle w:val="Hyperlink"/>
                    <w:b w:val="0"/>
                    <w:bCs w:val="0"/>
                    <w:webHidden/>
                    <w:sz w:val="24"/>
                    <w:szCs w:val="24"/>
                    <w:lang w:val="en-US"/>
                  </w:rPr>
                  <w:instrText xml:space="preserve"> PAGEREF _Toc216374420 \h </w:instrText>
                </w:r>
                <w:r w:rsidRPr="00902F03">
                  <w:rPr>
                    <w:rStyle w:val="Hyperlink"/>
                    <w:b w:val="0"/>
                    <w:bCs w:val="0"/>
                    <w:webHidden/>
                    <w:sz w:val="24"/>
                    <w:szCs w:val="24"/>
                    <w:lang w:val="en-US"/>
                  </w:rPr>
                </w:r>
                <w:r w:rsidRPr="00902F03">
                  <w:rPr>
                    <w:rStyle w:val="Hyperlink"/>
                    <w:b w:val="0"/>
                    <w:bCs w:val="0"/>
                    <w:webHidden/>
                    <w:sz w:val="24"/>
                    <w:szCs w:val="24"/>
                    <w:lang w:val="en-US"/>
                  </w:rPr>
                  <w:fldChar w:fldCharType="separate"/>
                </w:r>
                <w:r w:rsidRPr="00902F03">
                  <w:rPr>
                    <w:rStyle w:val="Hyperlink"/>
                    <w:b w:val="0"/>
                    <w:bCs w:val="0"/>
                    <w:webHidden/>
                    <w:sz w:val="24"/>
                    <w:szCs w:val="24"/>
                    <w:lang w:val="en-US"/>
                  </w:rPr>
                  <w:t>17</w:t>
                </w:r>
                <w:r w:rsidR="00424B6B">
                  <w:rPr>
                    <w:rStyle w:val="Hyperlink"/>
                    <w:b w:val="0"/>
                    <w:bCs w:val="0"/>
                    <w:webHidden/>
                    <w:sz w:val="24"/>
                    <w:szCs w:val="24"/>
                    <w:lang w:val="en-US"/>
                  </w:rPr>
                  <w:t>0</w:t>
                </w:r>
                <w:r w:rsidRPr="00902F03">
                  <w:rPr>
                    <w:rStyle w:val="Hyperlink"/>
                    <w:b w:val="0"/>
                    <w:bCs w:val="0"/>
                    <w:webHidden/>
                    <w:sz w:val="24"/>
                    <w:szCs w:val="24"/>
                  </w:rPr>
                  <w:fldChar w:fldCharType="end"/>
                </w:r>
              </w:hyperlink>
            </w:p>
            <w:p w14:paraId="4F1D3ACB" w14:textId="77777777" w:rsidR="006C248D" w:rsidRPr="006C248D" w:rsidRDefault="006C248D" w:rsidP="006C248D">
              <w:pPr>
                <w:pStyle w:val="TOC1"/>
                <w:rPr>
                  <w:lang w:val="en-US"/>
                </w:rPr>
              </w:pPr>
              <w:r w:rsidRPr="00902F03">
                <w:rPr>
                  <w:b w:val="0"/>
                  <w:bCs w:val="0"/>
                  <w:sz w:val="24"/>
                  <w:szCs w:val="24"/>
                </w:rPr>
                <w:fldChar w:fldCharType="end"/>
              </w:r>
            </w:p>
          </w:sdtContent>
        </w:sdt>
        <w:p w14:paraId="0383C030" w14:textId="2F6564C6" w:rsidR="003136E1" w:rsidRPr="001256EA" w:rsidRDefault="003136E1" w:rsidP="006C248D">
          <w:pPr>
            <w:pStyle w:val="TOC1"/>
            <w:rPr>
              <w:rFonts w:eastAsiaTheme="minorEastAsia"/>
              <w:sz w:val="24"/>
              <w:szCs w:val="24"/>
              <w:lang w:val="fr-FR" w:bidi="ar-SA"/>
            </w:rPr>
          </w:pPr>
        </w:p>
        <w:p w14:paraId="539DD055" w14:textId="7070B253" w:rsidR="0042339E" w:rsidRPr="001256EA" w:rsidRDefault="0042339E">
          <w:pPr>
            <w:rPr>
              <w:rFonts w:ascii="Times New Roman" w:hAnsi="Times New Roman" w:cs="Times New Roman"/>
            </w:rPr>
          </w:pPr>
          <w:r w:rsidRPr="001256EA">
            <w:rPr>
              <w:rFonts w:ascii="Times New Roman" w:hAnsi="Times New Roman" w:cs="Times New Roman"/>
              <w:noProof/>
              <w:sz w:val="24"/>
              <w:szCs w:val="24"/>
            </w:rPr>
            <w:fldChar w:fldCharType="end"/>
          </w:r>
        </w:p>
      </w:sdtContent>
    </w:sdt>
    <w:p w14:paraId="0C82421C" w14:textId="682DCCA0" w:rsidR="00CE4170" w:rsidRPr="001256EA" w:rsidRDefault="00CE4170">
      <w:pPr>
        <w:rPr>
          <w:rFonts w:ascii="Times New Roman" w:hAnsi="Times New Roman" w:cs="Times New Roman"/>
        </w:rPr>
      </w:pPr>
      <w:r w:rsidRPr="001256EA">
        <w:rPr>
          <w:rFonts w:ascii="Times New Roman" w:hAnsi="Times New Roman" w:cs="Times New Roman"/>
        </w:rPr>
        <w:br w:type="page"/>
      </w:r>
    </w:p>
    <w:p w14:paraId="52B95FCA" w14:textId="77777777" w:rsidR="00CE4170" w:rsidRPr="001256EA" w:rsidRDefault="00CE4170" w:rsidP="001626A6">
      <w:pPr>
        <w:jc w:val="center"/>
        <w:rPr>
          <w:rFonts w:ascii="Times New Roman" w:hAnsi="Times New Roman" w:cs="Times New Roman"/>
          <w:b/>
          <w:bCs/>
          <w:sz w:val="28"/>
          <w:szCs w:val="28"/>
        </w:rPr>
      </w:pPr>
      <w:bookmarkStart w:id="0" w:name="_Toc91605140"/>
      <w:bookmarkStart w:id="1" w:name="_Toc186051788"/>
      <w:bookmarkStart w:id="2" w:name="_Toc209445908"/>
      <w:r w:rsidRPr="001256EA">
        <w:rPr>
          <w:rFonts w:ascii="Times New Roman" w:hAnsi="Times New Roman" w:cs="Times New Roman"/>
          <w:b/>
          <w:bCs/>
          <w:sz w:val="28"/>
          <w:szCs w:val="28"/>
        </w:rPr>
        <w:lastRenderedPageBreak/>
        <w:t>LIST OF ABBREVIATIONS</w:t>
      </w:r>
      <w:bookmarkEnd w:id="0"/>
      <w:bookmarkEnd w:id="1"/>
      <w:bookmarkEnd w:id="2"/>
    </w:p>
    <w:p w14:paraId="66E1CB8A" w14:textId="77777777" w:rsidR="00483866" w:rsidRPr="001256EA" w:rsidRDefault="00483866" w:rsidP="001626A6">
      <w:pPr>
        <w:jc w:val="center"/>
        <w:rPr>
          <w:rFonts w:ascii="Times New Roman" w:hAnsi="Times New Roman" w:cs="Times New Roman"/>
          <w:b/>
          <w:bCs/>
          <w:sz w:val="28"/>
          <w:szCs w:val="28"/>
        </w:rPr>
      </w:pPr>
    </w:p>
    <w:p w14:paraId="062588D9" w14:textId="77777777" w:rsidR="00BB574A" w:rsidRDefault="000F2DD9" w:rsidP="00BB574A">
      <w:pPr>
        <w:spacing w:after="0" w:line="360" w:lineRule="auto"/>
        <w:rPr>
          <w:rFonts w:ascii="Times New Roman" w:hAnsi="Times New Roman" w:cs="Times New Roman"/>
          <w:sz w:val="24"/>
          <w:szCs w:val="24"/>
        </w:rPr>
      </w:pPr>
      <w:r w:rsidRPr="001256EA">
        <w:rPr>
          <w:rFonts w:ascii="Times New Roman" w:hAnsi="Times New Roman" w:cs="Times New Roman"/>
          <w:b/>
          <w:bCs/>
          <w:sz w:val="24"/>
          <w:szCs w:val="24"/>
        </w:rPr>
        <w:t>(AED)</w:t>
      </w:r>
      <w:r w:rsidRPr="001256EA">
        <w:rPr>
          <w:rFonts w:ascii="Times New Roman" w:hAnsi="Times New Roman" w:cs="Times New Roman"/>
          <w:sz w:val="24"/>
          <w:szCs w:val="24"/>
        </w:rPr>
        <w:t xml:space="preserve"> Advance Euthanasia Directive</w:t>
      </w:r>
      <w:r w:rsidRPr="001256EA">
        <w:rPr>
          <w:rFonts w:ascii="Times New Roman" w:hAnsi="Times New Roman" w:cs="Times New Roman"/>
          <w:sz w:val="24"/>
          <w:szCs w:val="24"/>
        </w:rPr>
        <w:br/>
      </w:r>
      <w:r w:rsidRPr="001256EA">
        <w:rPr>
          <w:rFonts w:ascii="Times New Roman" w:hAnsi="Times New Roman" w:cs="Times New Roman"/>
          <w:b/>
          <w:bCs/>
          <w:sz w:val="24"/>
          <w:szCs w:val="24"/>
        </w:rPr>
        <w:t xml:space="preserve">(APC) </w:t>
      </w:r>
      <w:r w:rsidRPr="001256EA">
        <w:rPr>
          <w:rFonts w:ascii="Times New Roman" w:hAnsi="Times New Roman" w:cs="Times New Roman"/>
          <w:sz w:val="24"/>
          <w:szCs w:val="24"/>
        </w:rPr>
        <w:t>Adults with Psychiatric Conditions</w:t>
      </w:r>
      <w:r w:rsidRPr="001256EA">
        <w:rPr>
          <w:rFonts w:ascii="Times New Roman" w:hAnsi="Times New Roman" w:cs="Times New Roman"/>
          <w:sz w:val="24"/>
          <w:szCs w:val="24"/>
        </w:rPr>
        <w:br/>
      </w:r>
      <w:r w:rsidRPr="001256EA">
        <w:rPr>
          <w:rFonts w:ascii="Times New Roman" w:hAnsi="Times New Roman" w:cs="Times New Roman"/>
          <w:b/>
          <w:bCs/>
          <w:sz w:val="24"/>
          <w:szCs w:val="24"/>
        </w:rPr>
        <w:t>(AVE)</w:t>
      </w:r>
      <w:r w:rsidRPr="001256EA">
        <w:rPr>
          <w:rFonts w:ascii="Times New Roman" w:hAnsi="Times New Roman" w:cs="Times New Roman"/>
          <w:sz w:val="24"/>
          <w:szCs w:val="24"/>
        </w:rPr>
        <w:t xml:space="preserve"> Active Voluntary Euthanasia</w:t>
      </w:r>
      <w:r w:rsidRPr="001256EA">
        <w:rPr>
          <w:rFonts w:ascii="Times New Roman" w:hAnsi="Times New Roman" w:cs="Times New Roman"/>
          <w:sz w:val="24"/>
          <w:szCs w:val="24"/>
        </w:rPr>
        <w:br/>
      </w:r>
      <w:r w:rsidRPr="001256EA">
        <w:rPr>
          <w:rFonts w:ascii="Times New Roman" w:hAnsi="Times New Roman" w:cs="Times New Roman"/>
          <w:b/>
          <w:bCs/>
          <w:sz w:val="24"/>
          <w:szCs w:val="24"/>
        </w:rPr>
        <w:t>(</w:t>
      </w:r>
      <w:proofErr w:type="spellStart"/>
      <w:r w:rsidRPr="001256EA">
        <w:rPr>
          <w:rFonts w:ascii="Times New Roman" w:hAnsi="Times New Roman" w:cs="Times New Roman"/>
          <w:b/>
          <w:bCs/>
          <w:sz w:val="24"/>
          <w:szCs w:val="24"/>
        </w:rPr>
        <w:t>BERTopic</w:t>
      </w:r>
      <w:proofErr w:type="spellEnd"/>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Bidirectional Encoder Representations from Transformers for Topic Modeling</w:t>
      </w:r>
      <w:r w:rsidRPr="001256EA">
        <w:rPr>
          <w:rFonts w:ascii="Times New Roman" w:hAnsi="Times New Roman" w:cs="Times New Roman"/>
          <w:sz w:val="24"/>
          <w:szCs w:val="24"/>
        </w:rPr>
        <w:br/>
      </w:r>
      <w:r w:rsidRPr="001256EA">
        <w:rPr>
          <w:rFonts w:ascii="Times New Roman" w:hAnsi="Times New Roman" w:cs="Times New Roman"/>
          <w:b/>
          <w:bCs/>
          <w:sz w:val="24"/>
          <w:szCs w:val="24"/>
        </w:rPr>
        <w:t>(CRC)</w:t>
      </w:r>
      <w:r w:rsidRPr="001256EA">
        <w:rPr>
          <w:rFonts w:ascii="Times New Roman" w:hAnsi="Times New Roman" w:cs="Times New Roman"/>
          <w:sz w:val="24"/>
          <w:szCs w:val="24"/>
        </w:rPr>
        <w:t xml:space="preserve"> Convention on the Rights of the Child</w:t>
      </w:r>
      <w:r w:rsidRPr="001256EA">
        <w:rPr>
          <w:rFonts w:ascii="Times New Roman" w:hAnsi="Times New Roman" w:cs="Times New Roman"/>
          <w:sz w:val="24"/>
          <w:szCs w:val="24"/>
        </w:rPr>
        <w:br/>
      </w:r>
      <w:r w:rsidRPr="001256EA">
        <w:rPr>
          <w:rFonts w:ascii="Times New Roman" w:hAnsi="Times New Roman" w:cs="Times New Roman"/>
          <w:b/>
          <w:bCs/>
          <w:sz w:val="24"/>
          <w:szCs w:val="24"/>
        </w:rPr>
        <w:t>(CRPD)</w:t>
      </w:r>
      <w:r w:rsidRPr="001256EA">
        <w:rPr>
          <w:rFonts w:ascii="Times New Roman" w:hAnsi="Times New Roman" w:cs="Times New Roman"/>
          <w:sz w:val="24"/>
          <w:szCs w:val="24"/>
        </w:rPr>
        <w:t xml:space="preserve"> The Convention on the Rights of Persons with Disabilities</w:t>
      </w:r>
      <w:r w:rsidRPr="001256EA">
        <w:rPr>
          <w:rFonts w:ascii="Times New Roman" w:hAnsi="Times New Roman" w:cs="Times New Roman"/>
          <w:sz w:val="24"/>
          <w:szCs w:val="24"/>
        </w:rPr>
        <w:br/>
      </w:r>
      <w:r w:rsidRPr="001256EA">
        <w:rPr>
          <w:rFonts w:ascii="Times New Roman" w:hAnsi="Times New Roman" w:cs="Times New Roman"/>
          <w:b/>
          <w:bCs/>
          <w:sz w:val="24"/>
          <w:szCs w:val="24"/>
        </w:rPr>
        <w:t>(CTM)</w:t>
      </w:r>
      <w:r w:rsidRPr="001256EA">
        <w:rPr>
          <w:rFonts w:ascii="Times New Roman" w:hAnsi="Times New Roman" w:cs="Times New Roman"/>
          <w:sz w:val="24"/>
          <w:szCs w:val="24"/>
        </w:rPr>
        <w:t xml:space="preserve"> Correlated Topic Models</w:t>
      </w:r>
      <w:r w:rsidRPr="001256EA">
        <w:rPr>
          <w:rFonts w:ascii="Times New Roman" w:hAnsi="Times New Roman" w:cs="Times New Roman"/>
          <w:sz w:val="24"/>
          <w:szCs w:val="24"/>
        </w:rPr>
        <w:br/>
      </w:r>
      <w:r w:rsidRPr="001256EA">
        <w:rPr>
          <w:rFonts w:ascii="Times New Roman" w:hAnsi="Times New Roman" w:cs="Times New Roman"/>
          <w:b/>
          <w:bCs/>
          <w:sz w:val="24"/>
          <w:szCs w:val="24"/>
        </w:rPr>
        <w:t>(ECP)</w:t>
      </w:r>
      <w:r w:rsidRPr="001256EA">
        <w:rPr>
          <w:rFonts w:ascii="Times New Roman" w:hAnsi="Times New Roman" w:cs="Times New Roman"/>
          <w:sz w:val="24"/>
          <w:szCs w:val="24"/>
        </w:rPr>
        <w:t xml:space="preserve"> Elderly Care Physician</w:t>
      </w:r>
      <w:r w:rsidRPr="001256EA">
        <w:rPr>
          <w:rFonts w:ascii="Times New Roman" w:hAnsi="Times New Roman" w:cs="Times New Roman"/>
          <w:sz w:val="24"/>
          <w:szCs w:val="24"/>
        </w:rPr>
        <w:br/>
      </w:r>
      <w:r w:rsidRPr="001256EA">
        <w:rPr>
          <w:rFonts w:ascii="Times New Roman" w:hAnsi="Times New Roman" w:cs="Times New Roman"/>
          <w:b/>
          <w:bCs/>
          <w:sz w:val="24"/>
          <w:szCs w:val="24"/>
        </w:rPr>
        <w:t>(ECtHR)</w:t>
      </w:r>
      <w:r w:rsidRPr="001256EA">
        <w:rPr>
          <w:rFonts w:ascii="Times New Roman" w:hAnsi="Times New Roman" w:cs="Times New Roman"/>
          <w:sz w:val="24"/>
          <w:szCs w:val="24"/>
        </w:rPr>
        <w:t xml:space="preserve"> European Court of Human Rights</w:t>
      </w:r>
    </w:p>
    <w:p w14:paraId="50653127" w14:textId="0C64B30D" w:rsidR="00EA32EF" w:rsidRPr="001256EA" w:rsidRDefault="000F2DD9" w:rsidP="00BB574A">
      <w:pPr>
        <w:spacing w:after="0" w:line="360" w:lineRule="auto"/>
        <w:rPr>
          <w:rFonts w:ascii="Times New Roman" w:hAnsi="Times New Roman" w:cs="Times New Roman"/>
        </w:rPr>
      </w:pPr>
      <w:r w:rsidRPr="001256EA">
        <w:rPr>
          <w:rFonts w:ascii="Times New Roman" w:hAnsi="Times New Roman" w:cs="Times New Roman"/>
          <w:b/>
          <w:bCs/>
          <w:sz w:val="24"/>
          <w:szCs w:val="24"/>
        </w:rPr>
        <w:t>(EAS)</w:t>
      </w:r>
      <w:r w:rsidRPr="001256EA">
        <w:rPr>
          <w:rFonts w:ascii="Times New Roman" w:hAnsi="Times New Roman" w:cs="Times New Roman"/>
          <w:sz w:val="24"/>
          <w:szCs w:val="24"/>
        </w:rPr>
        <w:t xml:space="preserve"> Euthanasia and Assisted Suicide</w:t>
      </w:r>
      <w:r w:rsidRPr="001256EA">
        <w:rPr>
          <w:rFonts w:ascii="Times New Roman" w:hAnsi="Times New Roman" w:cs="Times New Roman"/>
          <w:sz w:val="24"/>
          <w:szCs w:val="24"/>
        </w:rPr>
        <w:br/>
      </w:r>
      <w:r w:rsidRPr="001256EA">
        <w:rPr>
          <w:rFonts w:ascii="Times New Roman" w:hAnsi="Times New Roman" w:cs="Times New Roman"/>
          <w:b/>
          <w:bCs/>
          <w:sz w:val="24"/>
          <w:szCs w:val="24"/>
        </w:rPr>
        <w:t>(EEC)</w:t>
      </w:r>
      <w:r w:rsidRPr="001256EA">
        <w:rPr>
          <w:rFonts w:ascii="Times New Roman" w:hAnsi="Times New Roman" w:cs="Times New Roman"/>
          <w:sz w:val="24"/>
          <w:szCs w:val="24"/>
        </w:rPr>
        <w:t xml:space="preserve"> Euthanasia Evaluation Committee</w:t>
      </w:r>
      <w:r w:rsidRPr="001256EA">
        <w:rPr>
          <w:rFonts w:ascii="Times New Roman" w:hAnsi="Times New Roman" w:cs="Times New Roman"/>
          <w:sz w:val="24"/>
          <w:szCs w:val="24"/>
        </w:rPr>
        <w:br/>
      </w:r>
      <w:r w:rsidRPr="001256EA">
        <w:rPr>
          <w:rFonts w:ascii="Times New Roman" w:hAnsi="Times New Roman" w:cs="Times New Roman"/>
          <w:b/>
          <w:bCs/>
          <w:sz w:val="24"/>
          <w:szCs w:val="24"/>
        </w:rPr>
        <w:t>(ELD)</w:t>
      </w:r>
      <w:r w:rsidRPr="001256EA">
        <w:rPr>
          <w:rFonts w:ascii="Times New Roman" w:hAnsi="Times New Roman" w:cs="Times New Roman"/>
          <w:sz w:val="24"/>
          <w:szCs w:val="24"/>
        </w:rPr>
        <w:t xml:space="preserve"> End-of-Life Decision</w:t>
      </w:r>
      <w:r w:rsidRPr="001256EA">
        <w:rPr>
          <w:rFonts w:ascii="Times New Roman" w:hAnsi="Times New Roman" w:cs="Times New Roman"/>
          <w:sz w:val="24"/>
          <w:szCs w:val="24"/>
        </w:rPr>
        <w:br/>
      </w:r>
      <w:r w:rsidRPr="001256EA">
        <w:rPr>
          <w:rFonts w:ascii="Times New Roman" w:hAnsi="Times New Roman" w:cs="Times New Roman"/>
          <w:b/>
          <w:bCs/>
          <w:sz w:val="24"/>
          <w:szCs w:val="24"/>
        </w:rPr>
        <w:t>(FRA)</w:t>
      </w:r>
      <w:r w:rsidRPr="001256EA">
        <w:rPr>
          <w:rFonts w:ascii="Times New Roman" w:hAnsi="Times New Roman" w:cs="Times New Roman"/>
          <w:sz w:val="24"/>
          <w:szCs w:val="24"/>
        </w:rPr>
        <w:t xml:space="preserve"> European Union Agency for Fundamental Rights</w:t>
      </w:r>
      <w:r w:rsidRPr="001256EA">
        <w:rPr>
          <w:rFonts w:ascii="Times New Roman" w:hAnsi="Times New Roman" w:cs="Times New Roman"/>
          <w:sz w:val="24"/>
          <w:szCs w:val="24"/>
        </w:rPr>
        <w:br/>
      </w:r>
      <w:r w:rsidRPr="001256EA">
        <w:rPr>
          <w:rFonts w:ascii="Times New Roman" w:hAnsi="Times New Roman" w:cs="Times New Roman"/>
          <w:b/>
          <w:bCs/>
          <w:sz w:val="24"/>
          <w:szCs w:val="24"/>
        </w:rPr>
        <w:t>(GDPR)</w:t>
      </w:r>
      <w:r w:rsidRPr="001256EA">
        <w:rPr>
          <w:rFonts w:ascii="Times New Roman" w:hAnsi="Times New Roman" w:cs="Times New Roman"/>
          <w:sz w:val="24"/>
          <w:szCs w:val="24"/>
        </w:rPr>
        <w:t xml:space="preserve"> General Data Protection Regulation</w:t>
      </w:r>
      <w:r w:rsidRPr="001256EA">
        <w:rPr>
          <w:rFonts w:ascii="Times New Roman" w:hAnsi="Times New Roman" w:cs="Times New Roman"/>
          <w:sz w:val="24"/>
          <w:szCs w:val="24"/>
        </w:rPr>
        <w:br/>
      </w:r>
      <w:r w:rsidRPr="001256EA">
        <w:rPr>
          <w:rFonts w:ascii="Times New Roman" w:hAnsi="Times New Roman" w:cs="Times New Roman"/>
          <w:b/>
          <w:bCs/>
          <w:sz w:val="24"/>
          <w:szCs w:val="24"/>
        </w:rPr>
        <w:t>(GP)</w:t>
      </w:r>
      <w:r w:rsidRPr="001256EA">
        <w:rPr>
          <w:rFonts w:ascii="Times New Roman" w:hAnsi="Times New Roman" w:cs="Times New Roman"/>
          <w:sz w:val="24"/>
          <w:szCs w:val="24"/>
        </w:rPr>
        <w:t xml:space="preserve"> General Practitioner</w:t>
      </w:r>
      <w:r w:rsidRPr="001256EA">
        <w:rPr>
          <w:rFonts w:ascii="Times New Roman" w:hAnsi="Times New Roman" w:cs="Times New Roman"/>
          <w:sz w:val="24"/>
          <w:szCs w:val="24"/>
        </w:rPr>
        <w:br/>
      </w:r>
      <w:r w:rsidRPr="001256EA">
        <w:rPr>
          <w:rFonts w:ascii="Times New Roman" w:hAnsi="Times New Roman" w:cs="Times New Roman"/>
          <w:b/>
          <w:bCs/>
          <w:sz w:val="24"/>
          <w:szCs w:val="24"/>
        </w:rPr>
        <w:t>(HDP)</w:t>
      </w:r>
      <w:r w:rsidRPr="001256EA">
        <w:rPr>
          <w:rFonts w:ascii="Times New Roman" w:hAnsi="Times New Roman" w:cs="Times New Roman"/>
          <w:sz w:val="24"/>
          <w:szCs w:val="24"/>
        </w:rPr>
        <w:t xml:space="preserve"> Hierarchical Dirichlet Process</w:t>
      </w:r>
      <w:r w:rsidRPr="001256EA">
        <w:rPr>
          <w:rFonts w:ascii="Times New Roman" w:hAnsi="Times New Roman" w:cs="Times New Roman"/>
          <w:sz w:val="24"/>
          <w:szCs w:val="24"/>
        </w:rPr>
        <w:br/>
      </w:r>
      <w:r w:rsidRPr="001256EA">
        <w:rPr>
          <w:rFonts w:ascii="Times New Roman" w:hAnsi="Times New Roman" w:cs="Times New Roman"/>
          <w:b/>
          <w:bCs/>
          <w:sz w:val="24"/>
          <w:szCs w:val="24"/>
        </w:rPr>
        <w:t>(HIV/AIDS)</w:t>
      </w:r>
      <w:r w:rsidRPr="001256EA">
        <w:rPr>
          <w:rFonts w:ascii="Times New Roman" w:hAnsi="Times New Roman" w:cs="Times New Roman"/>
          <w:sz w:val="24"/>
          <w:szCs w:val="24"/>
        </w:rPr>
        <w:t xml:space="preserve"> Human Immunodeficiency Virus/Acquired Immunodeficiency Syndrome</w:t>
      </w:r>
      <w:r w:rsidRPr="001256EA">
        <w:rPr>
          <w:rFonts w:ascii="Times New Roman" w:hAnsi="Times New Roman" w:cs="Times New Roman"/>
          <w:sz w:val="24"/>
          <w:szCs w:val="24"/>
        </w:rPr>
        <w:br/>
      </w:r>
      <w:r w:rsidRPr="001256EA">
        <w:rPr>
          <w:rFonts w:ascii="Times New Roman" w:hAnsi="Times New Roman" w:cs="Times New Roman"/>
          <w:b/>
          <w:bCs/>
          <w:sz w:val="24"/>
          <w:szCs w:val="24"/>
        </w:rPr>
        <w:t>(ICHHR)</w:t>
      </w:r>
      <w:r w:rsidRPr="001256EA">
        <w:rPr>
          <w:rFonts w:ascii="Times New Roman" w:hAnsi="Times New Roman" w:cs="Times New Roman"/>
          <w:sz w:val="24"/>
          <w:szCs w:val="24"/>
        </w:rPr>
        <w:t xml:space="preserve"> International Centre for Health and Human Rights</w:t>
      </w:r>
      <w:r w:rsidRPr="001256EA">
        <w:rPr>
          <w:rFonts w:ascii="Times New Roman" w:hAnsi="Times New Roman" w:cs="Times New Roman"/>
          <w:sz w:val="24"/>
          <w:szCs w:val="24"/>
        </w:rPr>
        <w:br/>
      </w:r>
      <w:r w:rsidRPr="001256EA">
        <w:rPr>
          <w:rFonts w:ascii="Times New Roman" w:hAnsi="Times New Roman" w:cs="Times New Roman"/>
          <w:b/>
          <w:bCs/>
          <w:sz w:val="24"/>
          <w:szCs w:val="24"/>
        </w:rPr>
        <w:t>(ICCPR)</w:t>
      </w:r>
      <w:r w:rsidRPr="001256EA">
        <w:rPr>
          <w:rFonts w:ascii="Times New Roman" w:hAnsi="Times New Roman" w:cs="Times New Roman"/>
          <w:sz w:val="24"/>
          <w:szCs w:val="24"/>
        </w:rPr>
        <w:t xml:space="preserve"> International Covenant on Civil and Political Rights</w:t>
      </w:r>
      <w:r w:rsidRPr="001256EA">
        <w:rPr>
          <w:rFonts w:ascii="Times New Roman" w:hAnsi="Times New Roman" w:cs="Times New Roman"/>
          <w:sz w:val="24"/>
          <w:szCs w:val="24"/>
        </w:rPr>
        <w:br/>
      </w:r>
      <w:r w:rsidRPr="001256EA">
        <w:rPr>
          <w:rFonts w:ascii="Times New Roman" w:hAnsi="Times New Roman" w:cs="Times New Roman"/>
          <w:b/>
          <w:bCs/>
          <w:sz w:val="24"/>
          <w:szCs w:val="24"/>
        </w:rPr>
        <w:t>(LDA)</w:t>
      </w:r>
      <w:r w:rsidRPr="001256EA">
        <w:rPr>
          <w:rFonts w:ascii="Times New Roman" w:hAnsi="Times New Roman" w:cs="Times New Roman"/>
          <w:sz w:val="24"/>
          <w:szCs w:val="24"/>
        </w:rPr>
        <w:t xml:space="preserve"> Latent Dirichlet Allocation</w:t>
      </w:r>
      <w:r w:rsidRPr="001256EA">
        <w:rPr>
          <w:rFonts w:ascii="Times New Roman" w:hAnsi="Times New Roman" w:cs="Times New Roman"/>
          <w:sz w:val="24"/>
          <w:szCs w:val="24"/>
        </w:rPr>
        <w:br/>
      </w:r>
      <w:r w:rsidRPr="001256EA">
        <w:rPr>
          <w:rFonts w:ascii="Times New Roman" w:hAnsi="Times New Roman" w:cs="Times New Roman"/>
          <w:b/>
          <w:bCs/>
          <w:sz w:val="24"/>
          <w:szCs w:val="24"/>
        </w:rPr>
        <w:t>(LSA)</w:t>
      </w:r>
      <w:r w:rsidRPr="001256EA">
        <w:rPr>
          <w:rFonts w:ascii="Times New Roman" w:hAnsi="Times New Roman" w:cs="Times New Roman"/>
          <w:sz w:val="24"/>
          <w:szCs w:val="24"/>
        </w:rPr>
        <w:t xml:space="preserve"> Latent Semantic Analysis</w:t>
      </w:r>
      <w:r w:rsidRPr="001256EA">
        <w:rPr>
          <w:rFonts w:ascii="Times New Roman" w:hAnsi="Times New Roman" w:cs="Times New Roman"/>
          <w:sz w:val="24"/>
          <w:szCs w:val="24"/>
        </w:rPr>
        <w:br/>
      </w:r>
      <w:r w:rsidRPr="001256EA">
        <w:rPr>
          <w:rFonts w:ascii="Times New Roman" w:hAnsi="Times New Roman" w:cs="Times New Roman"/>
          <w:b/>
          <w:bCs/>
          <w:sz w:val="24"/>
          <w:szCs w:val="24"/>
        </w:rPr>
        <w:t>(LHRI)</w:t>
      </w:r>
      <w:r w:rsidRPr="001256EA">
        <w:rPr>
          <w:rFonts w:ascii="Times New Roman" w:hAnsi="Times New Roman" w:cs="Times New Roman"/>
          <w:sz w:val="24"/>
          <w:szCs w:val="24"/>
        </w:rPr>
        <w:t xml:space="preserve"> Lithuanian Health Rights Institute</w:t>
      </w:r>
      <w:r w:rsidRPr="001256EA">
        <w:rPr>
          <w:rFonts w:ascii="Times New Roman" w:hAnsi="Times New Roman" w:cs="Times New Roman"/>
          <w:sz w:val="24"/>
          <w:szCs w:val="24"/>
        </w:rPr>
        <w:br/>
      </w:r>
      <w:r w:rsidRPr="001256EA">
        <w:rPr>
          <w:rFonts w:ascii="Times New Roman" w:hAnsi="Times New Roman" w:cs="Times New Roman"/>
          <w:b/>
          <w:bCs/>
          <w:sz w:val="24"/>
          <w:szCs w:val="24"/>
        </w:rPr>
        <w:t>(LNHRI)</w:t>
      </w:r>
      <w:r w:rsidRPr="001256EA">
        <w:rPr>
          <w:rFonts w:ascii="Times New Roman" w:hAnsi="Times New Roman" w:cs="Times New Roman"/>
          <w:sz w:val="24"/>
          <w:szCs w:val="24"/>
        </w:rPr>
        <w:t xml:space="preserve"> Lithuanian National Human Rights Institution</w:t>
      </w:r>
      <w:r w:rsidRPr="001256EA">
        <w:rPr>
          <w:rFonts w:ascii="Times New Roman" w:hAnsi="Times New Roman" w:cs="Times New Roman"/>
          <w:sz w:val="24"/>
          <w:szCs w:val="24"/>
        </w:rPr>
        <w:br/>
      </w:r>
      <w:r w:rsidRPr="001256EA">
        <w:rPr>
          <w:rFonts w:ascii="Times New Roman" w:hAnsi="Times New Roman" w:cs="Times New Roman"/>
          <w:b/>
          <w:bCs/>
          <w:sz w:val="24"/>
          <w:szCs w:val="24"/>
        </w:rPr>
        <w:t>(MOH)</w:t>
      </w:r>
      <w:r w:rsidRPr="001256EA">
        <w:rPr>
          <w:rFonts w:ascii="Times New Roman" w:hAnsi="Times New Roman" w:cs="Times New Roman"/>
          <w:sz w:val="24"/>
          <w:szCs w:val="24"/>
        </w:rPr>
        <w:t xml:space="preserve"> Ministry of Health, Legal Department</w:t>
      </w:r>
      <w:r w:rsidRPr="001256EA">
        <w:rPr>
          <w:rFonts w:ascii="Times New Roman" w:hAnsi="Times New Roman" w:cs="Times New Roman"/>
          <w:sz w:val="24"/>
          <w:szCs w:val="24"/>
        </w:rPr>
        <w:br/>
      </w:r>
      <w:r w:rsidRPr="001256EA">
        <w:rPr>
          <w:rFonts w:ascii="Times New Roman" w:hAnsi="Times New Roman" w:cs="Times New Roman"/>
          <w:b/>
          <w:bCs/>
          <w:sz w:val="24"/>
          <w:szCs w:val="24"/>
        </w:rPr>
        <w:t>(MOJ)</w:t>
      </w:r>
      <w:r w:rsidRPr="001256EA">
        <w:rPr>
          <w:rFonts w:ascii="Times New Roman" w:hAnsi="Times New Roman" w:cs="Times New Roman"/>
          <w:sz w:val="24"/>
          <w:szCs w:val="24"/>
        </w:rPr>
        <w:t xml:space="preserve"> Ministry of Justice of Lithuania</w:t>
      </w:r>
      <w:r w:rsidRPr="001256EA">
        <w:rPr>
          <w:rFonts w:ascii="Times New Roman" w:hAnsi="Times New Roman" w:cs="Times New Roman"/>
          <w:sz w:val="24"/>
          <w:szCs w:val="24"/>
        </w:rPr>
        <w:br/>
      </w:r>
      <w:r w:rsidRPr="001256EA">
        <w:rPr>
          <w:rFonts w:ascii="Times New Roman" w:hAnsi="Times New Roman" w:cs="Times New Roman"/>
          <w:b/>
          <w:bCs/>
          <w:sz w:val="24"/>
          <w:szCs w:val="24"/>
        </w:rPr>
        <w:t>(NMF)</w:t>
      </w:r>
      <w:r w:rsidRPr="001256EA">
        <w:rPr>
          <w:rFonts w:ascii="Times New Roman" w:hAnsi="Times New Roman" w:cs="Times New Roman"/>
          <w:sz w:val="24"/>
          <w:szCs w:val="24"/>
        </w:rPr>
        <w:t xml:space="preserve"> Non-negative Matrix Factorization</w:t>
      </w:r>
      <w:r w:rsidRPr="001256EA">
        <w:rPr>
          <w:rFonts w:ascii="Times New Roman" w:hAnsi="Times New Roman" w:cs="Times New Roman"/>
          <w:sz w:val="24"/>
          <w:szCs w:val="24"/>
        </w:rPr>
        <w:br/>
      </w:r>
      <w:r w:rsidRPr="001256EA">
        <w:rPr>
          <w:rFonts w:ascii="Times New Roman" w:hAnsi="Times New Roman" w:cs="Times New Roman"/>
          <w:b/>
          <w:bCs/>
          <w:sz w:val="24"/>
          <w:szCs w:val="24"/>
        </w:rPr>
        <w:t>(PAD)</w:t>
      </w:r>
      <w:r w:rsidRPr="001256EA">
        <w:rPr>
          <w:rFonts w:ascii="Times New Roman" w:hAnsi="Times New Roman" w:cs="Times New Roman"/>
          <w:sz w:val="24"/>
          <w:szCs w:val="24"/>
        </w:rPr>
        <w:t xml:space="preserve"> Physician-assisted Death</w:t>
      </w:r>
      <w:r w:rsidRPr="001256EA">
        <w:rPr>
          <w:rFonts w:ascii="Times New Roman" w:hAnsi="Times New Roman" w:cs="Times New Roman"/>
          <w:sz w:val="24"/>
          <w:szCs w:val="24"/>
        </w:rPr>
        <w:br/>
      </w:r>
      <w:r w:rsidRPr="001256EA">
        <w:rPr>
          <w:rFonts w:ascii="Times New Roman" w:hAnsi="Times New Roman" w:cs="Times New Roman"/>
          <w:b/>
          <w:bCs/>
          <w:sz w:val="24"/>
          <w:szCs w:val="24"/>
        </w:rPr>
        <w:t>(</w:t>
      </w:r>
      <w:proofErr w:type="spellStart"/>
      <w:r w:rsidRPr="001256EA">
        <w:rPr>
          <w:rFonts w:ascii="Times New Roman" w:hAnsi="Times New Roman" w:cs="Times New Roman"/>
          <w:b/>
          <w:bCs/>
          <w:sz w:val="24"/>
          <w:szCs w:val="24"/>
        </w:rPr>
        <w:t>ToL</w:t>
      </w:r>
      <w:proofErr w:type="spellEnd"/>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Tiredness of Life</w:t>
      </w:r>
      <w:r w:rsidRPr="001256EA">
        <w:rPr>
          <w:rFonts w:ascii="Times New Roman" w:hAnsi="Times New Roman" w:cs="Times New Roman"/>
          <w:sz w:val="24"/>
          <w:szCs w:val="24"/>
        </w:rPr>
        <w:br/>
      </w:r>
      <w:r w:rsidRPr="001256EA">
        <w:rPr>
          <w:rFonts w:ascii="Times New Roman" w:hAnsi="Times New Roman" w:cs="Times New Roman"/>
          <w:b/>
          <w:bCs/>
          <w:sz w:val="24"/>
          <w:szCs w:val="24"/>
        </w:rPr>
        <w:t>(UDHR)</w:t>
      </w:r>
      <w:r w:rsidRPr="001256EA">
        <w:rPr>
          <w:rFonts w:ascii="Times New Roman" w:hAnsi="Times New Roman" w:cs="Times New Roman"/>
          <w:sz w:val="24"/>
          <w:szCs w:val="24"/>
        </w:rPr>
        <w:t xml:space="preserve"> Universal Declaration of Human Rights</w:t>
      </w:r>
      <w:r w:rsidRPr="001256EA">
        <w:rPr>
          <w:rFonts w:ascii="Times New Roman" w:hAnsi="Times New Roman" w:cs="Times New Roman"/>
          <w:sz w:val="24"/>
          <w:szCs w:val="24"/>
        </w:rPr>
        <w:br/>
      </w:r>
      <w:r w:rsidRPr="001256EA">
        <w:rPr>
          <w:rFonts w:ascii="Times New Roman" w:hAnsi="Times New Roman" w:cs="Times New Roman"/>
          <w:b/>
          <w:bCs/>
          <w:sz w:val="24"/>
          <w:szCs w:val="24"/>
        </w:rPr>
        <w:t>(WHO)</w:t>
      </w:r>
      <w:r w:rsidRPr="001256EA">
        <w:rPr>
          <w:rFonts w:ascii="Times New Roman" w:hAnsi="Times New Roman" w:cs="Times New Roman"/>
          <w:sz w:val="24"/>
          <w:szCs w:val="24"/>
        </w:rPr>
        <w:t xml:space="preserve"> World Health Organization</w:t>
      </w:r>
      <w:r w:rsidR="00EA32EF" w:rsidRPr="001256EA">
        <w:rPr>
          <w:rFonts w:ascii="Times New Roman" w:hAnsi="Times New Roman" w:cs="Times New Roman"/>
        </w:rPr>
        <w:br w:type="page"/>
      </w:r>
    </w:p>
    <w:p w14:paraId="300CD926" w14:textId="77777777" w:rsidR="005C4B01" w:rsidRPr="001277AC" w:rsidRDefault="005C4B01" w:rsidP="00DB57E9">
      <w:pPr>
        <w:pStyle w:val="Heading1"/>
        <w:jc w:val="center"/>
        <w:rPr>
          <w:rFonts w:ascii="Times New Roman" w:hAnsi="Times New Roman" w:cs="Times New Roman"/>
          <w:b/>
          <w:bCs/>
          <w:color w:val="auto"/>
          <w:sz w:val="28"/>
          <w:szCs w:val="28"/>
        </w:rPr>
      </w:pPr>
      <w:bookmarkStart w:id="3" w:name="_Toc216374382"/>
      <w:r w:rsidRPr="001277AC">
        <w:rPr>
          <w:rFonts w:ascii="Times New Roman" w:hAnsi="Times New Roman" w:cs="Times New Roman"/>
          <w:b/>
          <w:bCs/>
          <w:color w:val="auto"/>
          <w:sz w:val="28"/>
          <w:szCs w:val="28"/>
        </w:rPr>
        <w:lastRenderedPageBreak/>
        <w:t>INTRODUCTION</w:t>
      </w:r>
      <w:bookmarkEnd w:id="3"/>
    </w:p>
    <w:p w14:paraId="60550755" w14:textId="77777777" w:rsidR="00483866" w:rsidRPr="001256EA" w:rsidRDefault="00483866" w:rsidP="00483866"/>
    <w:p w14:paraId="606899F8" w14:textId="72819A39" w:rsidR="00DB57E9" w:rsidRPr="001256EA" w:rsidRDefault="00DB57E9" w:rsidP="00483866">
      <w:pPr>
        <w:ind w:firstLine="851"/>
        <w:rPr>
          <w:rFonts w:ascii="Times New Roman" w:hAnsi="Times New Roman" w:cs="Times New Roman"/>
          <w:sz w:val="24"/>
          <w:szCs w:val="24"/>
        </w:rPr>
      </w:pPr>
      <w:r w:rsidRPr="001256EA">
        <w:rPr>
          <w:rStyle w:val="markedcontent"/>
          <w:rFonts w:ascii="Times New Roman" w:hAnsi="Times New Roman" w:cs="Times New Roman"/>
          <w:b/>
          <w:sz w:val="24"/>
          <w:szCs w:val="24"/>
        </w:rPr>
        <w:t>The relevance of the topic</w:t>
      </w:r>
    </w:p>
    <w:p w14:paraId="77F3594C" w14:textId="6C285E5D" w:rsidR="005C4B01" w:rsidRDefault="005C4B01" w:rsidP="00DB57E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Euthanasia, legally framed as the intentional termination of an individual's life for the sake of ending pain, has been at the focal point of contentious legal, ethical, and philosophical </w:t>
      </w:r>
      <w:r w:rsidR="00ED3976" w:rsidRPr="001256EA">
        <w:rPr>
          <w:rFonts w:ascii="Times New Roman" w:hAnsi="Times New Roman" w:cs="Times New Roman"/>
          <w:sz w:val="24"/>
          <w:szCs w:val="24"/>
        </w:rPr>
        <w:t>arguments</w:t>
      </w:r>
      <w:r w:rsidRPr="001256EA">
        <w:rPr>
          <w:rFonts w:ascii="Times New Roman" w:hAnsi="Times New Roman" w:cs="Times New Roman"/>
          <w:sz w:val="24"/>
          <w:szCs w:val="24"/>
        </w:rPr>
        <w:t xml:space="preserve"> for hundreds of years</w:t>
      </w:r>
      <w:r w:rsidRPr="001256EA">
        <w:rPr>
          <w:rFonts w:ascii="Times New Roman" w:hAnsi="Times New Roman" w:cs="Times New Roman"/>
          <w:sz w:val="24"/>
          <w:szCs w:val="24"/>
          <w:vertAlign w:val="superscript"/>
        </w:rPr>
        <w:footnoteReference w:id="1"/>
      </w:r>
      <w:r w:rsidRPr="001256EA">
        <w:rPr>
          <w:rFonts w:ascii="Times New Roman" w:hAnsi="Times New Roman" w:cs="Times New Roman"/>
          <w:sz w:val="24"/>
          <w:szCs w:val="24"/>
        </w:rPr>
        <w:t xml:space="preserve">. Some legal frameworks classify euthanasia as a type of homicide, whereas others acknowledge it under </w:t>
      </w:r>
      <w:r w:rsidR="00D507F0" w:rsidRPr="001256EA">
        <w:rPr>
          <w:rFonts w:ascii="Times New Roman" w:hAnsi="Times New Roman" w:cs="Times New Roman"/>
          <w:sz w:val="24"/>
          <w:szCs w:val="24"/>
        </w:rPr>
        <w:t>end-of-life</w:t>
      </w:r>
      <w:r w:rsidRPr="001256EA">
        <w:rPr>
          <w:rFonts w:ascii="Times New Roman" w:hAnsi="Times New Roman" w:cs="Times New Roman"/>
          <w:sz w:val="24"/>
          <w:szCs w:val="24"/>
        </w:rPr>
        <w:t xml:space="preserve"> legislation</w:t>
      </w:r>
      <w:r w:rsidRPr="001256EA">
        <w:rPr>
          <w:rFonts w:ascii="Times New Roman" w:hAnsi="Times New Roman" w:cs="Times New Roman"/>
          <w:sz w:val="24"/>
          <w:szCs w:val="24"/>
          <w:vertAlign w:val="superscript"/>
        </w:rPr>
        <w:footnoteReference w:id="2"/>
      </w:r>
      <w:r w:rsidRPr="001256EA">
        <w:rPr>
          <w:rFonts w:ascii="Times New Roman" w:hAnsi="Times New Roman" w:cs="Times New Roman"/>
          <w:sz w:val="24"/>
          <w:szCs w:val="24"/>
        </w:rPr>
        <w:t>. The World Health Organization (WHO) does not offer a standard legal definition, which results in considerable discrepancy between jurisdictions in defining and implementing euthanasia</w:t>
      </w:r>
      <w:r w:rsidRPr="001256EA">
        <w:rPr>
          <w:rFonts w:ascii="Times New Roman" w:hAnsi="Times New Roman" w:cs="Times New Roman"/>
          <w:sz w:val="24"/>
          <w:szCs w:val="24"/>
          <w:vertAlign w:val="superscript"/>
        </w:rPr>
        <w:footnoteReference w:id="3"/>
      </w:r>
      <w:r w:rsidRPr="001256EA">
        <w:rPr>
          <w:rFonts w:ascii="Times New Roman" w:hAnsi="Times New Roman" w:cs="Times New Roman"/>
          <w:sz w:val="24"/>
          <w:szCs w:val="24"/>
        </w:rPr>
        <w:t xml:space="preserve">. This often takes the form of decisions made in the presence of severe illnesses, when suffering becomes intolerable, but it contains the elements of critical </w:t>
      </w:r>
      <w:r w:rsidR="005F3C95" w:rsidRPr="001256EA">
        <w:rPr>
          <w:rFonts w:ascii="Times New Roman" w:hAnsi="Times New Roman" w:cs="Times New Roman"/>
          <w:sz w:val="24"/>
          <w:szCs w:val="24"/>
        </w:rPr>
        <w:t>question</w:t>
      </w:r>
      <w:r w:rsidRPr="001256EA">
        <w:rPr>
          <w:rFonts w:ascii="Times New Roman" w:hAnsi="Times New Roman" w:cs="Times New Roman"/>
          <w:sz w:val="24"/>
          <w:szCs w:val="24"/>
        </w:rPr>
        <w:t xml:space="preserve"> on life's worth and on man's rights to decide on the individual course towards the end</w:t>
      </w:r>
      <w:r w:rsidRPr="001256EA">
        <w:rPr>
          <w:rFonts w:ascii="Times New Roman" w:hAnsi="Times New Roman" w:cs="Times New Roman"/>
          <w:sz w:val="24"/>
          <w:szCs w:val="24"/>
          <w:vertAlign w:val="superscript"/>
        </w:rPr>
        <w:footnoteReference w:id="4"/>
      </w:r>
      <w:r w:rsidRPr="001256EA">
        <w:rPr>
          <w:rFonts w:ascii="Times New Roman" w:hAnsi="Times New Roman" w:cs="Times New Roman"/>
          <w:sz w:val="24"/>
          <w:szCs w:val="24"/>
        </w:rPr>
        <w:t>.</w:t>
      </w:r>
    </w:p>
    <w:p w14:paraId="4160177C" w14:textId="5E47FAB4" w:rsidR="003E08D6" w:rsidRPr="001256EA" w:rsidRDefault="003E08D6" w:rsidP="00DB57E9">
      <w:pPr>
        <w:spacing w:after="0" w:line="360" w:lineRule="auto"/>
        <w:ind w:firstLine="851"/>
        <w:jc w:val="both"/>
        <w:rPr>
          <w:rFonts w:ascii="Times New Roman" w:hAnsi="Times New Roman" w:cs="Times New Roman"/>
          <w:sz w:val="24"/>
          <w:szCs w:val="24"/>
        </w:rPr>
      </w:pPr>
      <w:r w:rsidRPr="001277AC">
        <w:rPr>
          <w:rFonts w:ascii="Times New Roman" w:hAnsi="Times New Roman" w:cs="Times New Roman"/>
          <w:sz w:val="24"/>
          <w:szCs w:val="24"/>
        </w:rPr>
        <w:t>In Lithuanian law, euthanasia is not established as an independent legal category or a clearly defined institution. National legal acts do not provide a formal definition of euthanasia, but its content and assessment follow the general provisions of criminal and medical law. According to the Criminal Code of the Republic of Lithuania, the intentional taking of another person's life, regardless of the motives, is considered a criminal act</w:t>
      </w:r>
      <w:r w:rsidRPr="001277AC">
        <w:rPr>
          <w:rStyle w:val="FootnoteReference"/>
          <w:rFonts w:ascii="Times New Roman" w:hAnsi="Times New Roman" w:cs="Times New Roman"/>
          <w:sz w:val="24"/>
          <w:szCs w:val="24"/>
        </w:rPr>
        <w:footnoteReference w:id="5"/>
      </w:r>
      <w:r w:rsidRPr="001277AC">
        <w:rPr>
          <w:rFonts w:ascii="Times New Roman" w:hAnsi="Times New Roman" w:cs="Times New Roman"/>
          <w:sz w:val="24"/>
          <w:szCs w:val="24"/>
        </w:rPr>
        <w:t xml:space="preserve">. In doctrine and in the practice of applying law, euthanasia is usually understood as the intentional termination of life to alleviate the suffering of a person; </w:t>
      </w:r>
      <w:r w:rsidR="00D53805" w:rsidRPr="001277AC">
        <w:rPr>
          <w:rFonts w:ascii="Times New Roman" w:hAnsi="Times New Roman" w:cs="Times New Roman"/>
          <w:sz w:val="24"/>
          <w:szCs w:val="24"/>
        </w:rPr>
        <w:t>therefore,</w:t>
      </w:r>
      <w:r w:rsidRPr="001277AC">
        <w:rPr>
          <w:rFonts w:ascii="Times New Roman" w:hAnsi="Times New Roman" w:cs="Times New Roman"/>
          <w:sz w:val="24"/>
          <w:szCs w:val="24"/>
        </w:rPr>
        <w:t xml:space="preserve"> it falls within the scope of criminal liability and is not considered lawful</w:t>
      </w:r>
      <w:r w:rsidRPr="001277AC">
        <w:rPr>
          <w:rStyle w:val="FootnoteReference"/>
          <w:rFonts w:ascii="Times New Roman" w:hAnsi="Times New Roman" w:cs="Times New Roman"/>
          <w:sz w:val="24"/>
          <w:szCs w:val="24"/>
        </w:rPr>
        <w:footnoteReference w:id="6"/>
      </w:r>
      <w:r w:rsidRPr="001277AC">
        <w:rPr>
          <w:rFonts w:ascii="Times New Roman" w:hAnsi="Times New Roman" w:cs="Times New Roman"/>
          <w:sz w:val="24"/>
          <w:szCs w:val="24"/>
        </w:rPr>
        <w:t>.</w:t>
      </w:r>
    </w:p>
    <w:p w14:paraId="53C544F2" w14:textId="5477058F" w:rsidR="00E849BB"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line with this evolving perception, </w:t>
      </w:r>
      <w:proofErr w:type="spellStart"/>
      <w:r w:rsidRPr="001256EA">
        <w:rPr>
          <w:rFonts w:ascii="Times New Roman" w:hAnsi="Times New Roman" w:cs="Times New Roman"/>
          <w:sz w:val="24"/>
          <w:szCs w:val="24"/>
        </w:rPr>
        <w:t>Cholbi</w:t>
      </w:r>
      <w:proofErr w:type="spellEnd"/>
      <w:r w:rsidRPr="001256EA">
        <w:rPr>
          <w:rFonts w:ascii="Times New Roman" w:hAnsi="Times New Roman" w:cs="Times New Roman"/>
          <w:sz w:val="24"/>
          <w:szCs w:val="24"/>
        </w:rPr>
        <w:t xml:space="preserve"> &amp; </w:t>
      </w:r>
      <w:proofErr w:type="spellStart"/>
      <w:r w:rsidRPr="001256EA">
        <w:rPr>
          <w:rFonts w:ascii="Times New Roman" w:hAnsi="Times New Roman" w:cs="Times New Roman"/>
          <w:sz w:val="24"/>
          <w:szCs w:val="24"/>
        </w:rPr>
        <w:t>Varelius</w:t>
      </w:r>
      <w:proofErr w:type="spellEnd"/>
      <w:r w:rsidRPr="001256EA">
        <w:rPr>
          <w:rFonts w:ascii="Times New Roman" w:hAnsi="Times New Roman" w:cs="Times New Roman"/>
          <w:sz w:val="24"/>
          <w:szCs w:val="24"/>
          <w:vertAlign w:val="superscript"/>
        </w:rPr>
        <w:footnoteReference w:id="7"/>
      </w:r>
      <w:r w:rsidRPr="001256EA">
        <w:rPr>
          <w:rFonts w:ascii="Times New Roman" w:hAnsi="Times New Roman" w:cs="Times New Roman"/>
          <w:sz w:val="24"/>
          <w:szCs w:val="24"/>
        </w:rPr>
        <w:t xml:space="preserve"> explore the ethical complexities of assisted suicide and euthanasia, questioning traditional frameworks of medical </w:t>
      </w:r>
      <w:r w:rsidRPr="001256EA">
        <w:rPr>
          <w:rFonts w:ascii="Times New Roman" w:hAnsi="Times New Roman" w:cs="Times New Roman"/>
          <w:sz w:val="24"/>
          <w:szCs w:val="24"/>
        </w:rPr>
        <w:lastRenderedPageBreak/>
        <w:t xml:space="preserve">ethics. They argue that autonomy and dignity should be at the core of assisted dying </w:t>
      </w:r>
      <w:r w:rsidR="00DE0FC8" w:rsidRPr="001256EA">
        <w:rPr>
          <w:rFonts w:ascii="Times New Roman" w:hAnsi="Times New Roman" w:cs="Times New Roman"/>
          <w:sz w:val="24"/>
          <w:szCs w:val="24"/>
        </w:rPr>
        <w:t>legislation but</w:t>
      </w:r>
      <w:r w:rsidRPr="001256EA">
        <w:rPr>
          <w:rFonts w:ascii="Times New Roman" w:hAnsi="Times New Roman" w:cs="Times New Roman"/>
          <w:sz w:val="24"/>
          <w:szCs w:val="24"/>
        </w:rPr>
        <w:t xml:space="preserve"> highlight the challenges of balancing these principles with societal concerns such as coercion and medical integrity. The authors conclude that while assisted dying can be ethically permissible under strict conditions, its legal and ethical implications must be carefully considered to prevent abuses</w:t>
      </w:r>
      <w:r w:rsidR="009B0179">
        <w:rPr>
          <w:rStyle w:val="FootnoteReference"/>
          <w:rFonts w:ascii="Times New Roman" w:hAnsi="Times New Roman" w:cs="Times New Roman"/>
          <w:sz w:val="24"/>
          <w:szCs w:val="24"/>
        </w:rPr>
        <w:footnoteReference w:id="8"/>
      </w:r>
      <w:r w:rsidRPr="001256EA">
        <w:rPr>
          <w:rFonts w:ascii="Times New Roman" w:hAnsi="Times New Roman" w:cs="Times New Roman"/>
          <w:sz w:val="24"/>
          <w:szCs w:val="24"/>
        </w:rPr>
        <w:t>.</w:t>
      </w:r>
    </w:p>
    <w:p w14:paraId="34E7D918" w14:textId="751D10B1" w:rsidR="005C4B01" w:rsidRPr="001256EA" w:rsidRDefault="005C4B01" w:rsidP="00276CE7">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Building on these reflections, Cohen-Almagor</w:t>
      </w:r>
      <w:r w:rsidRPr="001256EA">
        <w:rPr>
          <w:rFonts w:ascii="Times New Roman" w:hAnsi="Times New Roman" w:cs="Times New Roman"/>
          <w:sz w:val="24"/>
          <w:szCs w:val="24"/>
          <w:vertAlign w:val="superscript"/>
        </w:rPr>
        <w:footnoteReference w:id="9"/>
      </w:r>
      <w:r w:rsidRPr="001256EA">
        <w:rPr>
          <w:rFonts w:ascii="Times New Roman" w:hAnsi="Times New Roman" w:cs="Times New Roman"/>
          <w:sz w:val="24"/>
          <w:szCs w:val="24"/>
        </w:rPr>
        <w:t xml:space="preserve"> critically examines Belgium’s euthanasia legislation from an ethical standpoint. He raises concerns about the growing expansion of euthanasia beyond terminal illness, questioning whether current safeguards are sufficient to protect vulnerable patients. He applies a deontological ethical lens, arguing that the right to die must not override the fundamental duty of preserving life. </w:t>
      </w:r>
    </w:p>
    <w:p w14:paraId="7BBF3336" w14:textId="7F84BCB7" w:rsidR="005C4B01" w:rsidRPr="001277AC" w:rsidRDefault="005C4B01" w:rsidP="001277AC">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Stemming from ancient philosophical and medical debates, the notion of euthanasia has long attracted the attention of scholars, calling into question our understanding of life, dignity, and autonomy</w:t>
      </w:r>
      <w:r w:rsidRPr="001256EA">
        <w:rPr>
          <w:rFonts w:ascii="Times New Roman" w:hAnsi="Times New Roman" w:cs="Times New Roman"/>
          <w:sz w:val="24"/>
          <w:szCs w:val="24"/>
          <w:vertAlign w:val="superscript"/>
        </w:rPr>
        <w:footnoteReference w:id="10"/>
      </w:r>
      <w:r w:rsidRPr="001256EA">
        <w:rPr>
          <w:rFonts w:ascii="Times New Roman" w:hAnsi="Times New Roman" w:cs="Times New Roman"/>
          <w:sz w:val="24"/>
          <w:szCs w:val="24"/>
        </w:rPr>
        <w:t>. This enduring dilemma, debated in the halls of Plato and Hippocrates, has resurfaced on contemporary ethical and legal battlefields. In this regard, McLachlan</w:t>
      </w:r>
      <w:r w:rsidRPr="001256EA">
        <w:rPr>
          <w:rFonts w:ascii="Times New Roman" w:hAnsi="Times New Roman" w:cs="Times New Roman"/>
          <w:sz w:val="24"/>
          <w:szCs w:val="24"/>
          <w:vertAlign w:val="superscript"/>
        </w:rPr>
        <w:footnoteReference w:id="11"/>
      </w:r>
      <w:r w:rsidRPr="001256EA">
        <w:rPr>
          <w:rFonts w:ascii="Times New Roman" w:hAnsi="Times New Roman" w:cs="Times New Roman"/>
          <w:sz w:val="24"/>
          <w:szCs w:val="24"/>
        </w:rPr>
        <w:t xml:space="preserve"> examines the ethical distinction between active euthanasia (directly causing death) and passive euthanasia (withholding life-sustaining treatment). He argues that this distinction is morally arbitrary, as both actions ultimately lead to the patient’s death. Using a consequentialist approach, he suggests that if euthanasia can reduce suffering, then active euthanasia may be more ethically justifiable than passive euthanasia. However, he also acknowledges that changing the ethical perception of euthanasia could have significant consequences for medical ethics and societal norms.</w:t>
      </w:r>
    </w:p>
    <w:p w14:paraId="711C8651" w14:textId="77777777" w:rsidR="005C4B01"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Associated with notions of mercy and compassion, euthanasia embodies the complex intersection of ethical, legal, and emotional considerations in the context of terminal illness and unbearable suffering</w:t>
      </w:r>
      <w:r w:rsidRPr="001256EA">
        <w:rPr>
          <w:rFonts w:ascii="Times New Roman" w:hAnsi="Times New Roman" w:cs="Times New Roman"/>
          <w:sz w:val="24"/>
          <w:szCs w:val="24"/>
          <w:vertAlign w:val="superscript"/>
        </w:rPr>
        <w:footnoteReference w:id="12"/>
      </w:r>
      <w:r w:rsidRPr="001256EA">
        <w:rPr>
          <w:rFonts w:ascii="Times New Roman" w:hAnsi="Times New Roman" w:cs="Times New Roman"/>
          <w:sz w:val="24"/>
          <w:szCs w:val="24"/>
        </w:rPr>
        <w:t xml:space="preserve">. Indeed, human mercy has deep historical origins, with documented discussions and practices spanning centuries, reflecting a longstanding contemplation of the </w:t>
      </w:r>
      <w:r w:rsidRPr="001256EA">
        <w:rPr>
          <w:rFonts w:ascii="Times New Roman" w:hAnsi="Times New Roman" w:cs="Times New Roman"/>
          <w:sz w:val="24"/>
          <w:szCs w:val="24"/>
        </w:rPr>
        <w:lastRenderedPageBreak/>
        <w:t>morality of hastening death in specific circumstances</w:t>
      </w:r>
      <w:r w:rsidRPr="001256EA">
        <w:rPr>
          <w:rFonts w:ascii="Times New Roman" w:hAnsi="Times New Roman" w:cs="Times New Roman"/>
          <w:sz w:val="24"/>
          <w:szCs w:val="24"/>
          <w:vertAlign w:val="superscript"/>
        </w:rPr>
        <w:footnoteReference w:id="13"/>
      </w:r>
      <w:r w:rsidRPr="001256EA">
        <w:rPr>
          <w:rFonts w:ascii="Times New Roman" w:hAnsi="Times New Roman" w:cs="Times New Roman"/>
          <w:sz w:val="24"/>
          <w:szCs w:val="24"/>
        </w:rPr>
        <w:t>. International law is not specific about the control of euthanasia. Each state is therefore free to create its own law on the subject. However, there are some international conventions</w:t>
      </w:r>
      <w:r w:rsidRPr="001256EA">
        <w:rPr>
          <w:rFonts w:ascii="Times New Roman" w:hAnsi="Times New Roman" w:cs="Times New Roman"/>
          <w:sz w:val="24"/>
          <w:szCs w:val="24"/>
          <w:vertAlign w:val="superscript"/>
        </w:rPr>
        <w:footnoteReference w:id="14"/>
      </w:r>
      <w:r w:rsidRPr="001256EA">
        <w:rPr>
          <w:rFonts w:ascii="Times New Roman" w:hAnsi="Times New Roman" w:cs="Times New Roman"/>
          <w:sz w:val="24"/>
          <w:szCs w:val="24"/>
        </w:rPr>
        <w:t>, such as the Universal Declaration of Human Rights (UDHR)</w:t>
      </w:r>
      <w:r w:rsidRPr="001256EA">
        <w:rPr>
          <w:rFonts w:ascii="Times New Roman" w:hAnsi="Times New Roman" w:cs="Times New Roman"/>
          <w:sz w:val="24"/>
          <w:szCs w:val="24"/>
          <w:vertAlign w:val="superscript"/>
        </w:rPr>
        <w:footnoteReference w:id="15"/>
      </w:r>
      <w:r w:rsidRPr="001256EA">
        <w:rPr>
          <w:rFonts w:ascii="Times New Roman" w:hAnsi="Times New Roman" w:cs="Times New Roman"/>
          <w:sz w:val="24"/>
          <w:szCs w:val="24"/>
        </w:rPr>
        <w:t xml:space="preserve"> and the International Covenant on Civil and Political Rights (ICCPR)</w:t>
      </w:r>
      <w:r w:rsidRPr="001256EA">
        <w:rPr>
          <w:rFonts w:ascii="Times New Roman" w:hAnsi="Times New Roman" w:cs="Times New Roman"/>
          <w:sz w:val="24"/>
          <w:szCs w:val="24"/>
          <w:vertAlign w:val="superscript"/>
        </w:rPr>
        <w:footnoteReference w:id="16"/>
      </w:r>
      <w:r w:rsidRPr="001256EA">
        <w:rPr>
          <w:rFonts w:ascii="Times New Roman" w:hAnsi="Times New Roman" w:cs="Times New Roman"/>
          <w:sz w:val="24"/>
          <w:szCs w:val="24"/>
        </w:rPr>
        <w:t>, which deal with personal liberty and the right to be free from inhuman treatment</w:t>
      </w:r>
      <w:r w:rsidRPr="001256EA">
        <w:rPr>
          <w:rFonts w:ascii="Times New Roman" w:hAnsi="Times New Roman" w:cs="Times New Roman"/>
          <w:sz w:val="24"/>
          <w:szCs w:val="24"/>
          <w:vertAlign w:val="superscript"/>
        </w:rPr>
        <w:footnoteReference w:id="17"/>
      </w:r>
      <w:r w:rsidRPr="001256EA">
        <w:rPr>
          <w:rFonts w:ascii="Times New Roman" w:hAnsi="Times New Roman" w:cs="Times New Roman"/>
          <w:sz w:val="24"/>
          <w:szCs w:val="24"/>
        </w:rPr>
        <w:t>. These have been used as arguments to legalize euthanasia in some regions</w:t>
      </w:r>
      <w:r w:rsidRPr="001256EA">
        <w:rPr>
          <w:rFonts w:ascii="Times New Roman" w:hAnsi="Times New Roman" w:cs="Times New Roman"/>
          <w:sz w:val="24"/>
          <w:szCs w:val="24"/>
          <w:vertAlign w:val="superscript"/>
        </w:rPr>
        <w:footnoteReference w:id="18"/>
      </w:r>
      <w:r w:rsidRPr="001256EA">
        <w:rPr>
          <w:rFonts w:ascii="Times New Roman" w:hAnsi="Times New Roman" w:cs="Times New Roman"/>
          <w:sz w:val="24"/>
          <w:szCs w:val="24"/>
        </w:rPr>
        <w:t>.</w:t>
      </w:r>
    </w:p>
    <w:p w14:paraId="329EB78C" w14:textId="162A1B5B" w:rsidR="00E4394A" w:rsidRPr="001256EA" w:rsidRDefault="00E4394A" w:rsidP="00E849BB">
      <w:pPr>
        <w:spacing w:after="0" w:line="360" w:lineRule="auto"/>
        <w:ind w:firstLine="851"/>
        <w:jc w:val="both"/>
        <w:rPr>
          <w:rFonts w:ascii="Times New Roman" w:hAnsi="Times New Roman" w:cs="Times New Roman"/>
          <w:sz w:val="24"/>
          <w:szCs w:val="24"/>
        </w:rPr>
      </w:pPr>
      <w:r w:rsidRPr="001277AC">
        <w:rPr>
          <w:rFonts w:ascii="Times New Roman" w:eastAsia="Calibri" w:hAnsi="Times New Roman" w:cs="Times New Roman"/>
          <w:sz w:val="24"/>
          <w:szCs w:val="24"/>
        </w:rPr>
        <w:t xml:space="preserve">The above provisions are also confirmed by Lithuanian scientists according to </w:t>
      </w:r>
      <w:proofErr w:type="spellStart"/>
      <w:r w:rsidRPr="001277AC">
        <w:rPr>
          <w:rFonts w:ascii="Times New Roman" w:eastAsia="Calibri" w:hAnsi="Times New Roman" w:cs="Times New Roman"/>
          <w:sz w:val="24"/>
          <w:szCs w:val="24"/>
        </w:rPr>
        <w:t>to</w:t>
      </w:r>
      <w:proofErr w:type="spellEnd"/>
      <w:r w:rsidRPr="001277AC">
        <w:rPr>
          <w:rFonts w:ascii="Times New Roman" w:eastAsia="Calibri" w:hAnsi="Times New Roman" w:cs="Times New Roman"/>
          <w:sz w:val="24"/>
          <w:szCs w:val="24"/>
        </w:rPr>
        <w:t xml:space="preserve"> Lithuanian researchers </w:t>
      </w:r>
      <w:proofErr w:type="spellStart"/>
      <w:r w:rsidRPr="001277AC">
        <w:rPr>
          <w:rFonts w:ascii="Times New Roman" w:eastAsia="Calibri" w:hAnsi="Times New Roman" w:cs="Times New Roman"/>
          <w:sz w:val="24"/>
          <w:szCs w:val="24"/>
        </w:rPr>
        <w:t>Bachmetjev</w:t>
      </w:r>
      <w:proofErr w:type="spellEnd"/>
      <w:r w:rsidRPr="001277AC">
        <w:rPr>
          <w:rFonts w:ascii="Times New Roman" w:eastAsia="Calibri" w:hAnsi="Times New Roman" w:cs="Times New Roman"/>
          <w:sz w:val="24"/>
          <w:szCs w:val="24"/>
        </w:rPr>
        <w:t xml:space="preserve">, </w:t>
      </w:r>
      <w:proofErr w:type="spellStart"/>
      <w:r w:rsidRPr="001277AC">
        <w:rPr>
          <w:rFonts w:ascii="Times New Roman" w:eastAsia="Calibri" w:hAnsi="Times New Roman" w:cs="Times New Roman"/>
          <w:sz w:val="24"/>
          <w:szCs w:val="24"/>
        </w:rPr>
        <w:t>Airapetian</w:t>
      </w:r>
      <w:proofErr w:type="spellEnd"/>
      <w:r w:rsidRPr="001277AC">
        <w:rPr>
          <w:rFonts w:ascii="Times New Roman" w:eastAsia="Calibri" w:hAnsi="Times New Roman" w:cs="Times New Roman"/>
          <w:sz w:val="24"/>
          <w:szCs w:val="24"/>
        </w:rPr>
        <w:t xml:space="preserve"> and </w:t>
      </w:r>
      <w:proofErr w:type="spellStart"/>
      <w:r w:rsidRPr="001277AC">
        <w:rPr>
          <w:rFonts w:ascii="Times New Roman" w:eastAsia="Calibri" w:hAnsi="Times New Roman" w:cs="Times New Roman"/>
          <w:sz w:val="24"/>
          <w:szCs w:val="24"/>
        </w:rPr>
        <w:t>Zablockis</w:t>
      </w:r>
      <w:proofErr w:type="spellEnd"/>
      <w:r w:rsidRPr="001277AC">
        <w:rPr>
          <w:rFonts w:ascii="Times New Roman" w:eastAsia="Calibri" w:hAnsi="Times New Roman" w:cs="Times New Roman"/>
          <w:sz w:val="24"/>
          <w:szCs w:val="24"/>
        </w:rPr>
        <w:t xml:space="preserve"> (2024), it is important to understand that the process of making end-of-life decisions, especially for patients with advanced and progressive chronic diseases, requires deep understanding, careful reflection and great sensitivity. It is not only a legal and medical issue, but also a complex combination of ethical, societal and economic factors</w:t>
      </w:r>
      <w:r w:rsidRPr="001277AC">
        <w:rPr>
          <w:rStyle w:val="FootnoteReference"/>
          <w:rFonts w:ascii="Times New Roman" w:eastAsia="Calibri" w:hAnsi="Times New Roman" w:cs="Times New Roman"/>
          <w:sz w:val="24"/>
          <w:szCs w:val="24"/>
        </w:rPr>
        <w:footnoteReference w:id="19"/>
      </w:r>
      <w:r w:rsidRPr="001277AC">
        <w:rPr>
          <w:rFonts w:ascii="Times New Roman" w:eastAsia="Calibri" w:hAnsi="Times New Roman" w:cs="Times New Roman"/>
          <w:sz w:val="24"/>
          <w:szCs w:val="24"/>
        </w:rPr>
        <w:t>.</w:t>
      </w:r>
    </w:p>
    <w:p w14:paraId="6E59BA3F" w14:textId="2248C6EC"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philosophical basis for euthanasia is in </w:t>
      </w:r>
      <w:r w:rsidR="000F53EA" w:rsidRPr="001256EA">
        <w:rPr>
          <w:rFonts w:ascii="Times New Roman" w:hAnsi="Times New Roman" w:cs="Times New Roman"/>
          <w:sz w:val="24"/>
          <w:szCs w:val="24"/>
        </w:rPr>
        <w:t>discussions</w:t>
      </w:r>
      <w:r w:rsidRPr="001256EA">
        <w:rPr>
          <w:rFonts w:ascii="Times New Roman" w:hAnsi="Times New Roman" w:cs="Times New Roman"/>
          <w:sz w:val="24"/>
          <w:szCs w:val="24"/>
        </w:rPr>
        <w:t xml:space="preserve"> about what human life is and the ethics regarding the end of life</w:t>
      </w:r>
      <w:r w:rsidRPr="001256EA">
        <w:rPr>
          <w:rFonts w:ascii="Times New Roman" w:hAnsi="Times New Roman" w:cs="Times New Roman"/>
          <w:sz w:val="24"/>
          <w:szCs w:val="24"/>
          <w:vertAlign w:val="superscript"/>
        </w:rPr>
        <w:footnoteReference w:id="20"/>
      </w:r>
      <w:r w:rsidRPr="001256EA">
        <w:rPr>
          <w:rFonts w:ascii="Times New Roman" w:hAnsi="Times New Roman" w:cs="Times New Roman"/>
          <w:sz w:val="24"/>
          <w:szCs w:val="24"/>
        </w:rPr>
        <w:t>. Different epochs and cultures have different attitudes toward euthanasia. For example, in Ancient Greece, there were frequent discourses about the medical ethics and the mission of a physician to relieve the suffering</w:t>
      </w:r>
      <w:r w:rsidRPr="001256EA">
        <w:rPr>
          <w:rFonts w:ascii="Times New Roman" w:hAnsi="Times New Roman" w:cs="Times New Roman"/>
          <w:sz w:val="24"/>
          <w:szCs w:val="24"/>
          <w:vertAlign w:val="superscript"/>
        </w:rPr>
        <w:footnoteReference w:id="21"/>
      </w:r>
      <w:r w:rsidRPr="001256EA">
        <w:rPr>
          <w:rFonts w:ascii="Times New Roman" w:hAnsi="Times New Roman" w:cs="Times New Roman"/>
          <w:sz w:val="24"/>
          <w:szCs w:val="24"/>
        </w:rPr>
        <w:t>. The Hippocratic Oath, raising its voice against euthanasia and assisted dying, has placed great emphasis on the role of a physician in saving lives ever since it was established</w:t>
      </w:r>
      <w:r w:rsidRPr="001256EA">
        <w:rPr>
          <w:rFonts w:ascii="Times New Roman" w:hAnsi="Times New Roman" w:cs="Times New Roman"/>
          <w:sz w:val="24"/>
          <w:szCs w:val="24"/>
          <w:vertAlign w:val="superscript"/>
        </w:rPr>
        <w:footnoteReference w:id="22"/>
      </w:r>
      <w:r w:rsidRPr="001256EA">
        <w:rPr>
          <w:rFonts w:ascii="Times New Roman" w:hAnsi="Times New Roman" w:cs="Times New Roman"/>
          <w:sz w:val="24"/>
          <w:szCs w:val="24"/>
        </w:rPr>
        <w:t xml:space="preserve">. The permissibility of euthanasia has </w:t>
      </w:r>
      <w:r w:rsidRPr="001256EA">
        <w:rPr>
          <w:rFonts w:ascii="Times New Roman" w:hAnsi="Times New Roman" w:cs="Times New Roman"/>
          <w:sz w:val="24"/>
          <w:szCs w:val="24"/>
        </w:rPr>
        <w:lastRenderedPageBreak/>
        <w:t xml:space="preserve">changed over time as societies across the world </w:t>
      </w:r>
      <w:r w:rsidR="000F53EA" w:rsidRPr="001256EA">
        <w:rPr>
          <w:rFonts w:ascii="Times New Roman" w:hAnsi="Times New Roman" w:cs="Times New Roman"/>
          <w:sz w:val="24"/>
          <w:szCs w:val="24"/>
        </w:rPr>
        <w:t>engage in</w:t>
      </w:r>
      <w:r w:rsidRPr="001256EA">
        <w:rPr>
          <w:rFonts w:ascii="Times New Roman" w:hAnsi="Times New Roman" w:cs="Times New Roman"/>
          <w:sz w:val="24"/>
          <w:szCs w:val="24"/>
        </w:rPr>
        <w:t xml:space="preserve"> this question, which has become more complex with changes </w:t>
      </w:r>
      <w:r w:rsidR="00DE0FC8" w:rsidRPr="001256EA">
        <w:rPr>
          <w:rFonts w:ascii="Times New Roman" w:hAnsi="Times New Roman" w:cs="Times New Roman"/>
          <w:sz w:val="24"/>
          <w:szCs w:val="24"/>
        </w:rPr>
        <w:t>in medical</w:t>
      </w:r>
      <w:r w:rsidRPr="001256EA">
        <w:rPr>
          <w:rFonts w:ascii="Times New Roman" w:hAnsi="Times New Roman" w:cs="Times New Roman"/>
          <w:sz w:val="24"/>
          <w:szCs w:val="24"/>
        </w:rPr>
        <w:t xml:space="preserve"> interventions. Most jurisdictions distinguish between active euthanasia, where the doctor administers the lethal dose, and assisted suicide, where the doctor only provides the drugs used to commit suicide. This distinction is key to the legal recognition and criminalization of euthanasia. Beauchamp &amp; Davidson</w:t>
      </w:r>
      <w:r w:rsidRPr="001256EA">
        <w:rPr>
          <w:rFonts w:ascii="Times New Roman" w:hAnsi="Times New Roman" w:cs="Times New Roman"/>
          <w:sz w:val="24"/>
          <w:szCs w:val="24"/>
          <w:vertAlign w:val="superscript"/>
        </w:rPr>
        <w:footnoteReference w:id="23"/>
      </w:r>
      <w:r w:rsidRPr="001256EA">
        <w:rPr>
          <w:rFonts w:ascii="Times New Roman" w:hAnsi="Times New Roman" w:cs="Times New Roman"/>
          <w:sz w:val="24"/>
          <w:szCs w:val="24"/>
        </w:rPr>
        <w:t xml:space="preserve"> provide a foundational ethical discussion on euthanasia, dissecting the concepts of voluntary, non-voluntary, and involuntary euthanasia. </w:t>
      </w:r>
    </w:p>
    <w:p w14:paraId="034B0797"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While ancient Greece was giving more emphasis on the preservation of life despite suffering</w:t>
      </w:r>
      <w:r w:rsidRPr="001256EA">
        <w:rPr>
          <w:rFonts w:ascii="Times New Roman" w:hAnsi="Times New Roman" w:cs="Times New Roman"/>
          <w:sz w:val="24"/>
          <w:szCs w:val="24"/>
          <w:vertAlign w:val="superscript"/>
        </w:rPr>
        <w:footnoteReference w:id="24"/>
      </w:r>
      <w:r w:rsidRPr="001256EA">
        <w:rPr>
          <w:rFonts w:ascii="Times New Roman" w:hAnsi="Times New Roman" w:cs="Times New Roman"/>
          <w:sz w:val="24"/>
          <w:szCs w:val="24"/>
        </w:rPr>
        <w:t>, other cultures and ages have considered euthanasia in the light of quite different ethical frameworks. For instance, the Roman Empire was much more ambiguous about death and suffering. It would support the notion of a 'good death' under certain conditions</w:t>
      </w:r>
      <w:r w:rsidRPr="001256EA">
        <w:rPr>
          <w:rFonts w:ascii="Times New Roman" w:hAnsi="Times New Roman" w:cs="Times New Roman"/>
          <w:sz w:val="24"/>
          <w:szCs w:val="24"/>
          <w:vertAlign w:val="superscript"/>
        </w:rPr>
        <w:footnoteReference w:id="25"/>
      </w:r>
      <w:r w:rsidRPr="001256EA">
        <w:rPr>
          <w:rFonts w:ascii="Times New Roman" w:hAnsi="Times New Roman" w:cs="Times New Roman"/>
          <w:sz w:val="24"/>
          <w:szCs w:val="24"/>
        </w:rPr>
        <w:t>. Likewise, several Eastern philosophies and religious traditions, such as Buddhism</w:t>
      </w:r>
      <w:r w:rsidRPr="001256EA">
        <w:rPr>
          <w:rFonts w:ascii="Times New Roman" w:hAnsi="Times New Roman" w:cs="Times New Roman"/>
          <w:sz w:val="24"/>
          <w:szCs w:val="24"/>
          <w:vertAlign w:val="superscript"/>
        </w:rPr>
        <w:footnoteReference w:id="26"/>
      </w:r>
      <w:r w:rsidRPr="001256EA">
        <w:rPr>
          <w:rFonts w:ascii="Times New Roman" w:hAnsi="Times New Roman" w:cs="Times New Roman"/>
          <w:sz w:val="24"/>
          <w:szCs w:val="24"/>
        </w:rPr>
        <w:t xml:space="preserve">  and Hinduism</w:t>
      </w:r>
      <w:r w:rsidRPr="001256EA">
        <w:rPr>
          <w:rFonts w:ascii="Times New Roman" w:hAnsi="Times New Roman" w:cs="Times New Roman"/>
          <w:sz w:val="24"/>
          <w:szCs w:val="24"/>
          <w:vertAlign w:val="superscript"/>
        </w:rPr>
        <w:footnoteReference w:id="27"/>
      </w:r>
      <w:r w:rsidRPr="001256EA">
        <w:rPr>
          <w:rFonts w:ascii="Times New Roman" w:hAnsi="Times New Roman" w:cs="Times New Roman"/>
          <w:sz w:val="24"/>
          <w:szCs w:val="24"/>
        </w:rPr>
        <w:t xml:space="preserve">, have considered the practice of euthanasia to reduce the suffering of a sentient being and lead to spiritual liberation. In this intercultural context, Molefe &amp; </w:t>
      </w:r>
      <w:proofErr w:type="spellStart"/>
      <w:r w:rsidRPr="001256EA">
        <w:rPr>
          <w:rFonts w:ascii="Times New Roman" w:hAnsi="Times New Roman" w:cs="Times New Roman"/>
          <w:sz w:val="24"/>
          <w:szCs w:val="24"/>
        </w:rPr>
        <w:t>Muade</w:t>
      </w:r>
      <w:proofErr w:type="spellEnd"/>
      <w:r w:rsidRPr="001256EA">
        <w:rPr>
          <w:rFonts w:ascii="Times New Roman" w:hAnsi="Times New Roman" w:cs="Times New Roman"/>
          <w:sz w:val="24"/>
          <w:szCs w:val="24"/>
          <w:vertAlign w:val="superscript"/>
        </w:rPr>
        <w:footnoteReference w:id="28"/>
      </w:r>
      <w:r w:rsidRPr="001256EA">
        <w:rPr>
          <w:rFonts w:ascii="Times New Roman" w:hAnsi="Times New Roman" w:cs="Times New Roman"/>
          <w:sz w:val="24"/>
          <w:szCs w:val="24"/>
        </w:rPr>
        <w:t xml:space="preserve"> offers a unique perspective on euthanasia through the African ethical framework of Ubuntu, which emphasizes community, relational autonomy, and moral duty. He contrasts Western notions of individual autonomy with the Ubuntu philosophy, arguing that euthanasia challenges the communal understanding of life and death. He discusses how the ethical justification of euthanasia varies across cultures and raises concerns about whether an emphasis on individual autonomy undermines collective well-being. Ultimately, he argues that ethical frameworks must be culturally sensitive and consider broader societal implications. These competing historical conceptions indicate that attitudes about euthanasia have developed in a complex manner and, more importantly, point out the interaction between cultural values and medical ethics.</w:t>
      </w:r>
    </w:p>
    <w:p w14:paraId="706ED357"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This conceptualization of euthanasia was destined to evolve alongside the development of human rights and personal autonomy</w:t>
      </w:r>
      <w:r w:rsidRPr="001256EA">
        <w:rPr>
          <w:rFonts w:ascii="Times New Roman" w:hAnsi="Times New Roman" w:cs="Times New Roman"/>
          <w:sz w:val="24"/>
          <w:szCs w:val="24"/>
          <w:vertAlign w:val="superscript"/>
        </w:rPr>
        <w:footnoteReference w:id="29"/>
      </w:r>
      <w:r w:rsidRPr="001256EA">
        <w:rPr>
          <w:rFonts w:ascii="Times New Roman" w:hAnsi="Times New Roman" w:cs="Times New Roman"/>
          <w:sz w:val="24"/>
          <w:szCs w:val="24"/>
        </w:rPr>
        <w:t>. The Enlightenment period, with its emphasis on reason and personal freedom, marked a radical shift in the way euthanasia was perceived</w:t>
      </w:r>
      <w:r w:rsidRPr="001256EA">
        <w:rPr>
          <w:rFonts w:ascii="Times New Roman" w:hAnsi="Times New Roman" w:cs="Times New Roman"/>
          <w:sz w:val="24"/>
          <w:szCs w:val="24"/>
          <w:vertAlign w:val="superscript"/>
        </w:rPr>
        <w:footnoteReference w:id="30"/>
      </w:r>
      <w:r w:rsidRPr="001256EA">
        <w:rPr>
          <w:rFonts w:ascii="Times New Roman" w:hAnsi="Times New Roman" w:cs="Times New Roman"/>
          <w:sz w:val="24"/>
          <w:szCs w:val="24"/>
        </w:rPr>
        <w:t>. It was during this time that philosophers and ethicists challenged rigid moral frameworks, advocating for an increasingly individual-centered approach to end-of-life decisions. The stage was then set for contemporary debates, which increasingly center on respecting personal autonomy and the right to a dignified death in view of grappling with what medical progress may imply</w:t>
      </w:r>
      <w:r w:rsidRPr="001256EA">
        <w:rPr>
          <w:rFonts w:ascii="Times New Roman" w:hAnsi="Times New Roman" w:cs="Times New Roman"/>
          <w:sz w:val="24"/>
          <w:szCs w:val="24"/>
          <w:vertAlign w:val="superscript"/>
        </w:rPr>
        <w:footnoteReference w:id="31"/>
      </w:r>
      <w:r w:rsidRPr="001256EA">
        <w:rPr>
          <w:rFonts w:ascii="Times New Roman" w:hAnsi="Times New Roman" w:cs="Times New Roman"/>
          <w:sz w:val="24"/>
          <w:szCs w:val="24"/>
        </w:rPr>
        <w:t>. Further discourses entail the continuous dynamic interplay between the historical attitudes and modern ethical considerations.</w:t>
      </w:r>
    </w:p>
    <w:p w14:paraId="66AEA63E" w14:textId="07494041"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It brings forth a new understanding of euthanasia, a very contemporary view greatly influenced by the technological advancement in medicine. This is a fact because since life can now be prolonged through quite </w:t>
      </w:r>
      <w:r w:rsidR="00DE0FC8" w:rsidRPr="001256EA">
        <w:rPr>
          <w:rFonts w:ascii="Times New Roman" w:hAnsi="Times New Roman" w:cs="Times New Roman"/>
          <w:sz w:val="24"/>
          <w:szCs w:val="24"/>
        </w:rPr>
        <w:t>a few</w:t>
      </w:r>
      <w:r w:rsidRPr="001256EA">
        <w:rPr>
          <w:rFonts w:ascii="Times New Roman" w:hAnsi="Times New Roman" w:cs="Times New Roman"/>
          <w:sz w:val="24"/>
          <w:szCs w:val="24"/>
        </w:rPr>
        <w:t xml:space="preserve"> medical interventions, it has rather been argued as </w:t>
      </w:r>
      <w:proofErr w:type="gramStart"/>
      <w:r w:rsidRPr="001256EA">
        <w:rPr>
          <w:rFonts w:ascii="Times New Roman" w:hAnsi="Times New Roman" w:cs="Times New Roman"/>
          <w:sz w:val="24"/>
          <w:szCs w:val="24"/>
        </w:rPr>
        <w:t>to</w:t>
      </w:r>
      <w:proofErr w:type="gramEnd"/>
      <w:r w:rsidRPr="001256EA">
        <w:rPr>
          <w:rFonts w:ascii="Times New Roman" w:hAnsi="Times New Roman" w:cs="Times New Roman"/>
          <w:sz w:val="24"/>
          <w:szCs w:val="24"/>
        </w:rPr>
        <w:t xml:space="preserve"> the quality it should hold </w:t>
      </w:r>
      <w:r w:rsidR="00ED3976" w:rsidRPr="001256EA">
        <w:rPr>
          <w:rFonts w:ascii="Times New Roman" w:hAnsi="Times New Roman" w:cs="Times New Roman"/>
          <w:sz w:val="24"/>
          <w:szCs w:val="24"/>
        </w:rPr>
        <w:t>is other</w:t>
      </w:r>
      <w:r w:rsidRPr="001256EA">
        <w:rPr>
          <w:rFonts w:ascii="Times New Roman" w:hAnsi="Times New Roman" w:cs="Times New Roman"/>
          <w:sz w:val="24"/>
          <w:szCs w:val="24"/>
        </w:rPr>
        <w:t xml:space="preserve"> than the prolonged life. Medical advancements in palliative care and pain management are prompting a reassessment of the need for euthanasia and its ethical relevance. However, the legal position on euthanasia varies significantly across jurisdictions, reflecting a complex interplay of legal principles, ethical values, religious beliefs, and cultural norms</w:t>
      </w:r>
      <w:r w:rsidRPr="001256EA">
        <w:rPr>
          <w:rFonts w:ascii="Times New Roman" w:hAnsi="Times New Roman" w:cs="Times New Roman"/>
          <w:sz w:val="24"/>
          <w:szCs w:val="24"/>
          <w:vertAlign w:val="superscript"/>
        </w:rPr>
        <w:footnoteReference w:id="32"/>
      </w:r>
      <w:r w:rsidRPr="001256EA">
        <w:rPr>
          <w:rFonts w:ascii="Times New Roman" w:hAnsi="Times New Roman" w:cs="Times New Roman"/>
          <w:sz w:val="24"/>
          <w:szCs w:val="24"/>
        </w:rPr>
        <w:t>.</w:t>
      </w:r>
    </w:p>
    <w:p w14:paraId="78AFD01D" w14:textId="0D76DDFD"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Parallel to social and philosophical changes at the beginning of the 20th century, various legal creations and proposals appeared, trying to legally regulate euthanasia. Most of the early proposals caused heated debates and organized opposition to legalization because of an ethical and cultural </w:t>
      </w:r>
      <w:r w:rsidR="00DE0FC8" w:rsidRPr="001256EA">
        <w:rPr>
          <w:rFonts w:ascii="Times New Roman" w:hAnsi="Times New Roman" w:cs="Times New Roman"/>
          <w:sz w:val="24"/>
          <w:szCs w:val="24"/>
        </w:rPr>
        <w:t>gap that</w:t>
      </w:r>
      <w:r w:rsidRPr="001256EA">
        <w:rPr>
          <w:rFonts w:ascii="Times New Roman" w:hAnsi="Times New Roman" w:cs="Times New Roman"/>
          <w:sz w:val="24"/>
          <w:szCs w:val="24"/>
        </w:rPr>
        <w:t xml:space="preserve"> has </w:t>
      </w:r>
      <w:r w:rsidR="00DE0FC8" w:rsidRPr="001256EA">
        <w:rPr>
          <w:rFonts w:ascii="Times New Roman" w:hAnsi="Times New Roman" w:cs="Times New Roman"/>
          <w:sz w:val="24"/>
          <w:szCs w:val="24"/>
        </w:rPr>
        <w:t>opened</w:t>
      </w:r>
      <w:r w:rsidRPr="001256EA">
        <w:rPr>
          <w:rFonts w:ascii="Times New Roman" w:hAnsi="Times New Roman" w:cs="Times New Roman"/>
          <w:sz w:val="24"/>
          <w:szCs w:val="24"/>
        </w:rPr>
        <w:t xml:space="preserve"> on this problematic issue</w:t>
      </w:r>
      <w:r w:rsidRPr="001256EA">
        <w:rPr>
          <w:rFonts w:ascii="Times New Roman" w:hAnsi="Times New Roman" w:cs="Times New Roman"/>
          <w:sz w:val="24"/>
          <w:szCs w:val="24"/>
          <w:vertAlign w:val="superscript"/>
        </w:rPr>
        <w:footnoteReference w:id="33"/>
      </w:r>
      <w:r w:rsidRPr="001256EA">
        <w:rPr>
          <w:rFonts w:ascii="Times New Roman" w:hAnsi="Times New Roman" w:cs="Times New Roman"/>
          <w:sz w:val="24"/>
          <w:szCs w:val="24"/>
        </w:rPr>
        <w:t xml:space="preserve">. Any attempt to legalize the practice has generally been opposed by more traditional groups, particularly religious organizations, which reject the idea that a human being can deliberately end their own life. The resulting tension highlights the legal and ethical complexity of the issue and the need to strike a balance between compassionate medical care and the societal and ethical concerns surrounding euthanasia. Consequently, the debate on euthanasia has continued to evolve, shaped by ongoing advancements in medical technology and shifting public attitudes toward end-of-life decision-making. Discussing euthanasia has come to seem </w:t>
      </w:r>
      <w:r w:rsidR="001A5697" w:rsidRPr="001256EA">
        <w:rPr>
          <w:rFonts w:ascii="Times New Roman" w:hAnsi="Times New Roman" w:cs="Times New Roman"/>
          <w:sz w:val="24"/>
          <w:szCs w:val="24"/>
        </w:rPr>
        <w:t>more</w:t>
      </w:r>
      <w:r w:rsidRPr="001256EA">
        <w:rPr>
          <w:rFonts w:ascii="Times New Roman" w:hAnsi="Times New Roman" w:cs="Times New Roman"/>
          <w:sz w:val="24"/>
          <w:szCs w:val="24"/>
        </w:rPr>
        <w:t xml:space="preserve"> like discussing </w:t>
      </w:r>
      <w:r w:rsidRPr="001256EA">
        <w:rPr>
          <w:rFonts w:ascii="Times New Roman" w:hAnsi="Times New Roman" w:cs="Times New Roman"/>
          <w:sz w:val="24"/>
          <w:szCs w:val="24"/>
        </w:rPr>
        <w:lastRenderedPageBreak/>
        <w:t>human rights. The right to die, according to its supporters, is part of a person's freedom and dignity. The European Court of Human Rights (</w:t>
      </w:r>
      <w:r w:rsidR="0002739E" w:rsidRPr="001277AC">
        <w:rPr>
          <w:rFonts w:ascii="Times New Roman" w:eastAsia="Calibri" w:hAnsi="Times New Roman" w:cs="Times New Roman"/>
          <w:sz w:val="24"/>
          <w:szCs w:val="24"/>
        </w:rPr>
        <w:t>hereinafter referred to as the ECtHR)</w:t>
      </w:r>
      <w:r w:rsidRPr="001256EA">
        <w:rPr>
          <w:rFonts w:ascii="Times New Roman" w:hAnsi="Times New Roman" w:cs="Times New Roman"/>
          <w:sz w:val="24"/>
          <w:szCs w:val="24"/>
        </w:rPr>
        <w:t xml:space="preserve"> has ruled on several euthanasia cases</w:t>
      </w:r>
      <w:r w:rsidRPr="001256EA">
        <w:rPr>
          <w:rFonts w:ascii="Times New Roman" w:hAnsi="Times New Roman" w:cs="Times New Roman"/>
          <w:sz w:val="24"/>
          <w:szCs w:val="24"/>
          <w:vertAlign w:val="superscript"/>
        </w:rPr>
        <w:footnoteReference w:id="34"/>
      </w:r>
      <w:r w:rsidRPr="001256EA">
        <w:rPr>
          <w:rFonts w:ascii="Times New Roman" w:hAnsi="Times New Roman" w:cs="Times New Roman"/>
          <w:sz w:val="24"/>
          <w:szCs w:val="24"/>
        </w:rPr>
        <w:t xml:space="preserve">. They argued that while Article 2 of the European Convention on Human </w:t>
      </w:r>
      <w:r w:rsidRPr="001277AC">
        <w:rPr>
          <w:rFonts w:ascii="Times New Roman" w:hAnsi="Times New Roman" w:cs="Times New Roman"/>
          <w:sz w:val="24"/>
          <w:szCs w:val="24"/>
        </w:rPr>
        <w:t xml:space="preserve">Rights </w:t>
      </w:r>
      <w:r w:rsidR="00600701" w:rsidRPr="001277AC">
        <w:rPr>
          <w:rFonts w:ascii="Times New Roman" w:eastAsia="Calibri" w:hAnsi="Times New Roman" w:cs="Times New Roman"/>
          <w:sz w:val="24"/>
          <w:szCs w:val="24"/>
        </w:rPr>
        <w:t>(hereinafter referred to as the Convention)</w:t>
      </w:r>
      <w:r w:rsidR="00600701">
        <w:rPr>
          <w:rFonts w:ascii="Times New Roman" w:eastAsia="Calibri" w:hAnsi="Times New Roman" w:cs="Times New Roman"/>
          <w:sz w:val="24"/>
          <w:szCs w:val="24"/>
        </w:rPr>
        <w:t xml:space="preserve"> </w:t>
      </w:r>
      <w:r w:rsidRPr="001256EA">
        <w:rPr>
          <w:rFonts w:ascii="Times New Roman" w:hAnsi="Times New Roman" w:cs="Times New Roman"/>
          <w:sz w:val="24"/>
          <w:szCs w:val="24"/>
        </w:rPr>
        <w:t>enshrines the right to life, it does not say that there is a right to die</w:t>
      </w:r>
      <w:r w:rsidRPr="001256EA">
        <w:rPr>
          <w:rFonts w:ascii="Times New Roman" w:hAnsi="Times New Roman" w:cs="Times New Roman"/>
          <w:sz w:val="24"/>
          <w:szCs w:val="24"/>
          <w:vertAlign w:val="superscript"/>
        </w:rPr>
        <w:footnoteReference w:id="35"/>
      </w:r>
      <w:r w:rsidRPr="001256EA">
        <w:rPr>
          <w:rFonts w:ascii="Times New Roman" w:hAnsi="Times New Roman" w:cs="Times New Roman"/>
          <w:sz w:val="24"/>
          <w:szCs w:val="24"/>
        </w:rPr>
        <w:t>.</w:t>
      </w:r>
    </w:p>
    <w:p w14:paraId="42B025F1" w14:textId="23969EBC" w:rsidR="005C4B01" w:rsidRPr="001256EA" w:rsidRDefault="000644BF"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Now</w:t>
      </w:r>
      <w:r w:rsidR="005C4B01" w:rsidRPr="001256EA">
        <w:rPr>
          <w:rFonts w:ascii="Times New Roman" w:hAnsi="Times New Roman" w:cs="Times New Roman"/>
          <w:sz w:val="24"/>
          <w:szCs w:val="24"/>
        </w:rPr>
        <w:t>, euthanasia and assisted suicide are being debated worldwide as to whether these practices should be legalized. One of the basic principles that support arguments on both sides of the issue is ethics-based, simply stated, including the sanctity of life and the right to die with dignity. According to the supporters of euthanasia, it presents the merciful option for terminally ill people and those in intractable pain to end their lives with dignity on their terms</w:t>
      </w:r>
      <w:r w:rsidR="005C4B01" w:rsidRPr="001256EA">
        <w:rPr>
          <w:rFonts w:ascii="Times New Roman" w:hAnsi="Times New Roman" w:cs="Times New Roman"/>
          <w:sz w:val="24"/>
          <w:szCs w:val="24"/>
          <w:vertAlign w:val="superscript"/>
        </w:rPr>
        <w:footnoteReference w:id="36"/>
      </w:r>
      <w:r w:rsidR="005C4B01" w:rsidRPr="001256EA">
        <w:rPr>
          <w:rFonts w:ascii="Times New Roman" w:hAnsi="Times New Roman" w:cs="Times New Roman"/>
          <w:sz w:val="24"/>
          <w:szCs w:val="24"/>
        </w:rPr>
        <w:t>. Opponents, however, state that it would open the floodgates for abuses, promote devaluation of human life, and its impact is disproportionately adverse on the aged and disabled</w:t>
      </w:r>
      <w:r w:rsidR="005C4B01" w:rsidRPr="001256EA">
        <w:rPr>
          <w:rFonts w:ascii="Times New Roman" w:hAnsi="Times New Roman" w:cs="Times New Roman"/>
          <w:sz w:val="24"/>
          <w:szCs w:val="24"/>
          <w:vertAlign w:val="superscript"/>
        </w:rPr>
        <w:footnoteReference w:id="37"/>
      </w:r>
      <w:r w:rsidR="005C4B01" w:rsidRPr="001256EA">
        <w:rPr>
          <w:rFonts w:ascii="Times New Roman" w:hAnsi="Times New Roman" w:cs="Times New Roman"/>
          <w:sz w:val="24"/>
          <w:szCs w:val="24"/>
        </w:rPr>
        <w:t>. In this respect, Doublet</w:t>
      </w:r>
      <w:r w:rsidR="005C4B01" w:rsidRPr="001256EA">
        <w:rPr>
          <w:rFonts w:ascii="Times New Roman" w:hAnsi="Times New Roman" w:cs="Times New Roman"/>
          <w:sz w:val="24"/>
          <w:szCs w:val="24"/>
          <w:vertAlign w:val="superscript"/>
        </w:rPr>
        <w:footnoteReference w:id="38"/>
      </w:r>
      <w:r w:rsidR="005C4B01" w:rsidRPr="001256EA">
        <w:rPr>
          <w:rFonts w:ascii="Times New Roman" w:hAnsi="Times New Roman" w:cs="Times New Roman"/>
          <w:sz w:val="24"/>
          <w:szCs w:val="24"/>
        </w:rPr>
        <w:t xml:space="preserve"> analyzes the debate on euthanasia and assisted suicide from a philosophical and ethical perspective. He critiques the idea that legalizing euthanasia represents moral progress, highlighting the risks of trivializing medically assisted death. He uses a Kantian reflection on human dignity to affirm that society must protect the most vulnerable rather than institutionalize death on demand. He warns against a purely individualistic approach to euthanasia, which could weaken the principle of solidarity within the community.</w:t>
      </w:r>
    </w:p>
    <w:p w14:paraId="7AAC60AB"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Over the years, the concept of euthanasia has evolved through the influence of legal precedents, ethical dilemmas, and societal values, resulting in a diverse landscape of laws and attitudes towards end-of-life care</w:t>
      </w:r>
      <w:r w:rsidRPr="001256EA">
        <w:rPr>
          <w:rFonts w:ascii="Times New Roman" w:hAnsi="Times New Roman" w:cs="Times New Roman"/>
          <w:sz w:val="24"/>
          <w:szCs w:val="24"/>
          <w:vertAlign w:val="superscript"/>
        </w:rPr>
        <w:footnoteReference w:id="39"/>
      </w:r>
      <w:r w:rsidRPr="001256EA">
        <w:rPr>
          <w:rFonts w:ascii="Times New Roman" w:hAnsi="Times New Roman" w:cs="Times New Roman"/>
          <w:sz w:val="24"/>
          <w:szCs w:val="24"/>
        </w:rPr>
        <w:t>. In the United Kingdom, among the various definitions of euthanasia, the House of Lords' Medical Ethics Committee emphasizes its intentional nature and the role of healthcare professionals in its administration</w:t>
      </w:r>
      <w:r w:rsidRPr="001256EA">
        <w:rPr>
          <w:rFonts w:ascii="Times New Roman" w:hAnsi="Times New Roman" w:cs="Times New Roman"/>
          <w:sz w:val="24"/>
          <w:szCs w:val="24"/>
          <w:vertAlign w:val="superscript"/>
        </w:rPr>
        <w:footnoteReference w:id="40"/>
      </w:r>
      <w:r w:rsidRPr="001256EA">
        <w:rPr>
          <w:rFonts w:ascii="Times New Roman" w:hAnsi="Times New Roman" w:cs="Times New Roman"/>
          <w:sz w:val="24"/>
          <w:szCs w:val="24"/>
        </w:rPr>
        <w:t xml:space="preserve">. By highlighting the crucial role </w:t>
      </w:r>
      <w:r w:rsidRPr="001256EA">
        <w:rPr>
          <w:rFonts w:ascii="Times New Roman" w:hAnsi="Times New Roman" w:cs="Times New Roman"/>
          <w:sz w:val="24"/>
          <w:szCs w:val="24"/>
        </w:rPr>
        <w:lastRenderedPageBreak/>
        <w:t>of intent in distinguishing euthanasia from other forms of end-of-life care, this legal perspective underscores the inherent complexity of regulating such practices</w:t>
      </w:r>
      <w:r w:rsidRPr="001256EA">
        <w:rPr>
          <w:rFonts w:ascii="Times New Roman" w:hAnsi="Times New Roman" w:cs="Times New Roman"/>
          <w:sz w:val="24"/>
          <w:szCs w:val="24"/>
          <w:vertAlign w:val="superscript"/>
        </w:rPr>
        <w:footnoteReference w:id="41"/>
      </w:r>
      <w:r w:rsidRPr="001256EA">
        <w:rPr>
          <w:rFonts w:ascii="Times New Roman" w:hAnsi="Times New Roman" w:cs="Times New Roman"/>
          <w:sz w:val="24"/>
          <w:szCs w:val="24"/>
        </w:rPr>
        <w:t>.</w:t>
      </w:r>
    </w:p>
    <w:p w14:paraId="42058352" w14:textId="1C538198"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this line of thought, the French National Ethics Advisory Committee</w:t>
      </w:r>
      <w:r w:rsidRPr="001256EA">
        <w:rPr>
          <w:rFonts w:ascii="Times New Roman" w:hAnsi="Times New Roman" w:cs="Times New Roman"/>
          <w:sz w:val="24"/>
          <w:szCs w:val="24"/>
          <w:vertAlign w:val="superscript"/>
        </w:rPr>
        <w:footnoteReference w:id="42"/>
      </w:r>
      <w:r w:rsidRPr="001256EA">
        <w:rPr>
          <w:rFonts w:ascii="Times New Roman" w:hAnsi="Times New Roman" w:cs="Times New Roman"/>
          <w:sz w:val="24"/>
          <w:szCs w:val="24"/>
        </w:rPr>
        <w:t xml:space="preserve"> examines the ethical issues of end-of-life situations in France, particularly the tensions between individual autonomy and the protection of vulnerable people. The report emphasizes the importance of an ethical approach based on solidarity and beneficence, rather than simply affirming an individual's right to die. It questions whether it is possible to reconcile respect for patient autonomy with the caregiver's duty not to hasten </w:t>
      </w:r>
      <w:r w:rsidR="00DE0FC8" w:rsidRPr="001256EA">
        <w:rPr>
          <w:rFonts w:ascii="Times New Roman" w:hAnsi="Times New Roman" w:cs="Times New Roman"/>
          <w:sz w:val="24"/>
          <w:szCs w:val="24"/>
        </w:rPr>
        <w:t>death and</w:t>
      </w:r>
      <w:r w:rsidRPr="001256EA">
        <w:rPr>
          <w:rFonts w:ascii="Times New Roman" w:hAnsi="Times New Roman" w:cs="Times New Roman"/>
          <w:sz w:val="24"/>
          <w:szCs w:val="24"/>
        </w:rPr>
        <w:t xml:space="preserve"> proposes recommendations for a more rigorous ethical framework.</w:t>
      </w:r>
    </w:p>
    <w:p w14:paraId="688BBCB9" w14:textId="2E1B6BB6"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legal framework governing the practice of euthanasia can and does continue to diverge significantly from one jurisdiction to another. By 2024, euthanasia is </w:t>
      </w:r>
      <w:r w:rsidR="00DE0FC8" w:rsidRPr="001256EA">
        <w:rPr>
          <w:rFonts w:ascii="Times New Roman" w:hAnsi="Times New Roman" w:cs="Times New Roman"/>
          <w:sz w:val="24"/>
          <w:szCs w:val="24"/>
        </w:rPr>
        <w:t>practiced</w:t>
      </w:r>
      <w:r w:rsidRPr="001256EA">
        <w:rPr>
          <w:rFonts w:ascii="Times New Roman" w:hAnsi="Times New Roman" w:cs="Times New Roman"/>
          <w:sz w:val="24"/>
          <w:szCs w:val="24"/>
        </w:rPr>
        <w:t xml:space="preserve"> in a small number of countries, including Belgium, the Netherlands, Luxembourg, Canada, Colombia and Spain. </w:t>
      </w:r>
      <w:r w:rsidR="005F3C95" w:rsidRPr="001256EA">
        <w:rPr>
          <w:rFonts w:ascii="Times New Roman" w:hAnsi="Times New Roman" w:cs="Times New Roman"/>
          <w:sz w:val="24"/>
          <w:szCs w:val="24"/>
        </w:rPr>
        <w:t>All</w:t>
      </w:r>
      <w:r w:rsidRPr="001256EA">
        <w:rPr>
          <w:rFonts w:ascii="Times New Roman" w:hAnsi="Times New Roman" w:cs="Times New Roman"/>
          <w:sz w:val="24"/>
          <w:szCs w:val="24"/>
        </w:rPr>
        <w:t xml:space="preserve"> these countries have established strict rules governing the practice, including obtaining explicit consent from patients, conducting psychological screening, and ensuring that medical boards oversee the process</w:t>
      </w:r>
      <w:r w:rsidRPr="001256EA">
        <w:rPr>
          <w:rFonts w:ascii="Times New Roman" w:hAnsi="Times New Roman" w:cs="Times New Roman"/>
          <w:sz w:val="24"/>
          <w:szCs w:val="24"/>
          <w:vertAlign w:val="superscript"/>
        </w:rPr>
        <w:footnoteReference w:id="43"/>
      </w:r>
      <w:r w:rsidRPr="001256EA">
        <w:rPr>
          <w:rFonts w:ascii="Times New Roman" w:hAnsi="Times New Roman" w:cs="Times New Roman"/>
          <w:sz w:val="24"/>
          <w:szCs w:val="24"/>
        </w:rPr>
        <w:t>. These safeguards are designed to prevent abuse and ensure that decisions are made ethically. This is so, especially where some countries allow it under strict regulations, yet in others the act remains illegal. For instance, the Netherlands and Belgium have set a legal basis for the performance of euthanasia when certain specified conditions are met, like the need for the patient's explicit request or consent and unbearable suffering</w:t>
      </w:r>
      <w:r w:rsidRPr="001256EA">
        <w:rPr>
          <w:rFonts w:ascii="Times New Roman" w:hAnsi="Times New Roman" w:cs="Times New Roman"/>
          <w:sz w:val="24"/>
          <w:szCs w:val="24"/>
          <w:vertAlign w:val="superscript"/>
        </w:rPr>
        <w:footnoteReference w:id="44"/>
      </w:r>
      <w:r w:rsidRPr="001256EA">
        <w:rPr>
          <w:rFonts w:ascii="Times New Roman" w:hAnsi="Times New Roman" w:cs="Times New Roman"/>
          <w:sz w:val="24"/>
          <w:szCs w:val="24"/>
        </w:rPr>
        <w:t>. However, Cohen-Almagor</w:t>
      </w:r>
      <w:r w:rsidRPr="001256EA">
        <w:rPr>
          <w:rFonts w:ascii="Times New Roman" w:hAnsi="Times New Roman" w:cs="Times New Roman"/>
          <w:sz w:val="24"/>
          <w:szCs w:val="24"/>
          <w:vertAlign w:val="superscript"/>
        </w:rPr>
        <w:footnoteReference w:id="45"/>
      </w:r>
      <w:r w:rsidRPr="001256EA">
        <w:rPr>
          <w:rFonts w:ascii="Times New Roman" w:hAnsi="Times New Roman" w:cs="Times New Roman"/>
          <w:sz w:val="24"/>
          <w:szCs w:val="24"/>
        </w:rPr>
        <w:t xml:space="preserve"> analyzes Belgium's euthanasia policy and practice, highlighting shortcomings in the legal framework and challenges in its implementation. The author critiques the lack of oversight and monitoring mechanisms, particularly the infrequent independent investigations into euthanasia cases. He points out that some euthanasia cases do not strictly adhere to legal requirements, raising concerns about </w:t>
      </w:r>
      <w:r w:rsidRPr="001256EA">
        <w:rPr>
          <w:rFonts w:ascii="Times New Roman" w:hAnsi="Times New Roman" w:cs="Times New Roman"/>
          <w:sz w:val="24"/>
          <w:szCs w:val="24"/>
        </w:rPr>
        <w:lastRenderedPageBreak/>
        <w:t xml:space="preserve">protecting vulnerable patients. The article proposes reforms, including stricter supervision measures and improved physician training to ensure better application of the law. In line with this analysis, </w:t>
      </w:r>
      <w:proofErr w:type="spellStart"/>
      <w:r w:rsidRPr="001256EA">
        <w:rPr>
          <w:rFonts w:ascii="Times New Roman" w:hAnsi="Times New Roman" w:cs="Times New Roman"/>
          <w:sz w:val="24"/>
          <w:szCs w:val="24"/>
        </w:rPr>
        <w:t>Chambaere</w:t>
      </w:r>
      <w:proofErr w:type="spellEnd"/>
      <w:r w:rsidRPr="001256EA">
        <w:rPr>
          <w:rFonts w:ascii="Times New Roman" w:hAnsi="Times New Roman" w:cs="Times New Roman"/>
          <w:sz w:val="24"/>
          <w:szCs w:val="24"/>
        </w:rPr>
        <w:t xml:space="preserve"> &amp; Bernheim</w:t>
      </w:r>
      <w:r w:rsidRPr="001256EA">
        <w:rPr>
          <w:rFonts w:ascii="Times New Roman" w:hAnsi="Times New Roman" w:cs="Times New Roman"/>
          <w:sz w:val="24"/>
          <w:szCs w:val="24"/>
          <w:vertAlign w:val="superscript"/>
        </w:rPr>
        <w:footnoteReference w:id="46"/>
      </w:r>
      <w:r w:rsidRPr="001256EA">
        <w:rPr>
          <w:rFonts w:ascii="Times New Roman" w:hAnsi="Times New Roman" w:cs="Times New Roman"/>
          <w:sz w:val="24"/>
          <w:szCs w:val="24"/>
        </w:rPr>
        <w:t xml:space="preserve"> provide an analysis of trends and socio-demographic characteristics of patients requesting euthanasia in Belgium. They examine patient profiles, motivations, and the frequency of euthanasia cases that fall outside strict legal conditions. The article highlights that, although Belgium’s euthanasia law was designed to limit abuse, its implementation shows a gradual expansion of eligibility criteria, raising concerns about a possible “slippery slope” toward more permissive practices. Furthering this analysis, Archer et al.</w:t>
      </w:r>
      <w:r w:rsidRPr="001256EA">
        <w:rPr>
          <w:rFonts w:ascii="Times New Roman" w:hAnsi="Times New Roman" w:cs="Times New Roman"/>
          <w:sz w:val="24"/>
          <w:szCs w:val="24"/>
          <w:vertAlign w:val="superscript"/>
        </w:rPr>
        <w:footnoteReference w:id="47"/>
      </w:r>
      <w:r w:rsidRPr="001256EA">
        <w:rPr>
          <w:rFonts w:ascii="Times New Roman" w:hAnsi="Times New Roman" w:cs="Times New Roman"/>
          <w:sz w:val="24"/>
          <w:szCs w:val="24"/>
        </w:rPr>
        <w:t xml:space="preserve"> provide a comprehensive overview of legal, ethical, and clinical aspects of euthanasia in Belgium. They examine legislative developments and persistent challenges in law enforcement. The article highlights medical dilemmas surrounding euthanasia and the need for strict regulatory oversight to prevent its trivialization.</w:t>
      </w:r>
    </w:p>
    <w:p w14:paraId="53D4008A" w14:textId="1EB73203"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addition, Jones &amp; Paton</w:t>
      </w:r>
      <w:r w:rsidRPr="001256EA">
        <w:rPr>
          <w:rFonts w:ascii="Times New Roman" w:hAnsi="Times New Roman" w:cs="Times New Roman"/>
          <w:sz w:val="24"/>
          <w:szCs w:val="24"/>
          <w:vertAlign w:val="superscript"/>
        </w:rPr>
        <w:footnoteReference w:id="48"/>
      </w:r>
      <w:r w:rsidRPr="001256EA">
        <w:rPr>
          <w:rFonts w:ascii="Times New Roman" w:hAnsi="Times New Roman" w:cs="Times New Roman"/>
          <w:sz w:val="24"/>
          <w:szCs w:val="24"/>
        </w:rPr>
        <w:t xml:space="preserve"> investigate</w:t>
      </w:r>
      <w:r w:rsidR="00072EA5">
        <w:rPr>
          <w:rFonts w:ascii="Times New Roman" w:hAnsi="Times New Roman" w:cs="Times New Roman"/>
          <w:sz w:val="24"/>
          <w:szCs w:val="24"/>
        </w:rPr>
        <w:t>d</w:t>
      </w:r>
      <w:r w:rsidRPr="001256EA">
        <w:rPr>
          <w:rFonts w:ascii="Times New Roman" w:hAnsi="Times New Roman" w:cs="Times New Roman"/>
          <w:sz w:val="24"/>
          <w:szCs w:val="24"/>
        </w:rPr>
        <w:t xml:space="preserve"> the impact of legalizing physician-assisted suicide on overall suicide rates. Their analysis of data from multiple jurisdictions suggests that suicide rates tend to rise after assisted dying is legalized, raising ethical and social concerns. The authors propose that this increase may result from a societal normalization of suicide. They advocate for stronger suicide prevention efforts alongside the regulation of physician-assisted dying. </w:t>
      </w:r>
      <w:r w:rsidR="00D46B8F" w:rsidRPr="001277AC">
        <w:rPr>
          <w:rFonts w:ascii="Times New Roman" w:hAnsi="Times New Roman" w:cs="Times New Roman"/>
          <w:sz w:val="24"/>
          <w:szCs w:val="24"/>
        </w:rPr>
        <w:t>A similar study on the topic of end-of-life decisions was also conducted by Lithuanian scientists. They emphasized that it is important due to the aging population and the increasing number of incurable diseases, such as cancer. The scientists noted that more people are experiencing suffering, so the ethical, medical and legal debates about these decisions are becoming important for health care policy. Understanding the views of medical professionals is very important in shaping responsible practices and legislation related to end-of-life care</w:t>
      </w:r>
      <w:r w:rsidR="00D46B8F" w:rsidRPr="001277AC">
        <w:rPr>
          <w:rStyle w:val="FootnoteReference"/>
          <w:rFonts w:ascii="Times New Roman" w:hAnsi="Times New Roman" w:cs="Times New Roman"/>
          <w:sz w:val="24"/>
          <w:szCs w:val="24"/>
        </w:rPr>
        <w:footnoteReference w:id="49"/>
      </w:r>
      <w:r w:rsidR="00D46B8F" w:rsidRPr="001277AC">
        <w:rPr>
          <w:rFonts w:ascii="Times New Roman" w:hAnsi="Times New Roman" w:cs="Times New Roman"/>
          <w:sz w:val="24"/>
          <w:szCs w:val="24"/>
        </w:rPr>
        <w:t>.</w:t>
      </w:r>
      <w:r w:rsidRPr="001256EA">
        <w:rPr>
          <w:rFonts w:ascii="Times New Roman" w:hAnsi="Times New Roman" w:cs="Times New Roman"/>
          <w:sz w:val="24"/>
          <w:szCs w:val="24"/>
        </w:rPr>
        <w:t xml:space="preserve"> </w:t>
      </w:r>
    </w:p>
    <w:p w14:paraId="0725873A" w14:textId="242EDA79"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contrast, in countries such as the United States, the practice of euthanasia is highly fragmented, with significant variations from one state to another. In some states, such as Oregon and Washington, physician-assisted suicide is legal, but euthanasia remains prohibited. This legal ambiguity surrounding euthanasia in the United States reflects the ongoing debates on the </w:t>
      </w:r>
      <w:r w:rsidRPr="001256EA">
        <w:rPr>
          <w:rFonts w:ascii="Times New Roman" w:hAnsi="Times New Roman" w:cs="Times New Roman"/>
          <w:sz w:val="24"/>
          <w:szCs w:val="24"/>
        </w:rPr>
        <w:lastRenderedPageBreak/>
        <w:t xml:space="preserve">ethical considerations of end-of-life decisions and the role of healthcare professionals in such determinations. </w:t>
      </w:r>
      <w:r w:rsidR="00DE0FC8" w:rsidRPr="001256EA">
        <w:rPr>
          <w:rFonts w:ascii="Times New Roman" w:hAnsi="Times New Roman" w:cs="Times New Roman"/>
          <w:sz w:val="24"/>
          <w:szCs w:val="24"/>
        </w:rPr>
        <w:t>Considering</w:t>
      </w:r>
      <w:r w:rsidRPr="001256EA">
        <w:rPr>
          <w:rFonts w:ascii="Times New Roman" w:hAnsi="Times New Roman" w:cs="Times New Roman"/>
          <w:sz w:val="24"/>
          <w:szCs w:val="24"/>
        </w:rPr>
        <w:t xml:space="preserve"> these international variations, Mroz et al.</w:t>
      </w:r>
      <w:r w:rsidRPr="001256EA">
        <w:rPr>
          <w:rFonts w:ascii="Times New Roman" w:hAnsi="Times New Roman" w:cs="Times New Roman"/>
          <w:sz w:val="24"/>
          <w:szCs w:val="24"/>
          <w:vertAlign w:val="superscript"/>
        </w:rPr>
        <w:footnoteReference w:id="50"/>
      </w:r>
      <w:r w:rsidRPr="001256EA">
        <w:rPr>
          <w:rFonts w:ascii="Times New Roman" w:hAnsi="Times New Roman" w:cs="Times New Roman"/>
          <w:sz w:val="24"/>
          <w:szCs w:val="24"/>
        </w:rPr>
        <w:t xml:space="preserve"> provides a comparative analysis of assisted dying laws and practices in Europe and Australia. He highlights key regulatory differences, such as the distinction between euthanasia (legal in Belgium and the Netherlands) and physician-assisted suicide (legal in Switzerland and Oregon). </w:t>
      </w:r>
    </w:p>
    <w:p w14:paraId="45C16E6C"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Furthermore, several key events in the history of euthanasia, including Pope John Paul II’s 1980 declaration, illustrate the ongoing tension between medical advancements aimed at alleviating pain and the ethical concerns surrounding the right to die</w:t>
      </w:r>
      <w:r w:rsidRPr="001256EA">
        <w:rPr>
          <w:rFonts w:ascii="Times New Roman" w:hAnsi="Times New Roman" w:cs="Times New Roman"/>
          <w:sz w:val="24"/>
          <w:szCs w:val="24"/>
          <w:vertAlign w:val="superscript"/>
        </w:rPr>
        <w:footnoteReference w:id="51"/>
      </w:r>
      <w:r w:rsidRPr="001256EA">
        <w:rPr>
          <w:rFonts w:ascii="Times New Roman" w:hAnsi="Times New Roman" w:cs="Times New Roman"/>
          <w:sz w:val="24"/>
          <w:szCs w:val="24"/>
        </w:rPr>
        <w:t>. His opposition to euthanasia, along with his support for the use of pain relief medication and the right of patients to refuse life-sustaining treatment, underscores the delicate balance that societies strive to maintain between the preservation of life and respect for individual autonomy</w:t>
      </w:r>
      <w:r w:rsidRPr="001256EA">
        <w:rPr>
          <w:rFonts w:ascii="Times New Roman" w:hAnsi="Times New Roman" w:cs="Times New Roman"/>
          <w:sz w:val="24"/>
          <w:szCs w:val="24"/>
          <w:vertAlign w:val="superscript"/>
        </w:rPr>
        <w:footnoteReference w:id="52"/>
      </w:r>
      <w:r w:rsidRPr="001256EA">
        <w:rPr>
          <w:rFonts w:ascii="Times New Roman" w:hAnsi="Times New Roman" w:cs="Times New Roman"/>
          <w:sz w:val="24"/>
          <w:szCs w:val="24"/>
        </w:rPr>
        <w:t>. Mroz et al.</w:t>
      </w:r>
      <w:r w:rsidRPr="001256EA">
        <w:rPr>
          <w:rFonts w:ascii="Times New Roman" w:hAnsi="Times New Roman" w:cs="Times New Roman"/>
          <w:sz w:val="24"/>
          <w:szCs w:val="24"/>
          <w:vertAlign w:val="superscript"/>
        </w:rPr>
        <w:footnoteReference w:id="53"/>
      </w:r>
      <w:r w:rsidRPr="001256EA">
        <w:rPr>
          <w:rFonts w:ascii="Times New Roman" w:hAnsi="Times New Roman" w:cs="Times New Roman"/>
          <w:sz w:val="24"/>
          <w:szCs w:val="24"/>
        </w:rPr>
        <w:t xml:space="preserve"> analyze legal, ethical, and social attitudes toward assisted dying in Central and Eastern Europe. They note that most countries in this region adopt a conservative stance, prohibiting euthanasia and assisted suicide despite emerging debates on legal recognition. The authors discuss cultural and historical influences shaping these policies and resistance to legislative change.</w:t>
      </w:r>
    </w:p>
    <w:p w14:paraId="28B60179"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addition to these debates, </w:t>
      </w:r>
      <w:proofErr w:type="spellStart"/>
      <w:r w:rsidRPr="001256EA">
        <w:rPr>
          <w:rFonts w:ascii="Times New Roman" w:hAnsi="Times New Roman" w:cs="Times New Roman"/>
          <w:sz w:val="24"/>
          <w:szCs w:val="24"/>
        </w:rPr>
        <w:t>Delbeke</w:t>
      </w:r>
      <w:proofErr w:type="spellEnd"/>
      <w:r w:rsidRPr="001256EA">
        <w:rPr>
          <w:rFonts w:ascii="Times New Roman" w:hAnsi="Times New Roman" w:cs="Times New Roman"/>
          <w:sz w:val="24"/>
          <w:szCs w:val="24"/>
          <w:vertAlign w:val="superscript"/>
        </w:rPr>
        <w:footnoteReference w:id="54"/>
      </w:r>
      <w:r w:rsidRPr="001256EA">
        <w:rPr>
          <w:rFonts w:ascii="Times New Roman" w:hAnsi="Times New Roman" w:cs="Times New Roman"/>
          <w:sz w:val="24"/>
          <w:szCs w:val="24"/>
        </w:rPr>
        <w:t xml:space="preserve"> explores the legality of continuous deep sedation until death across different European legal systems. She distinguishes this practice from euthanasia and analyzes the conditions under which it is considered legally permissible. The article highlights the legal ambiguity surrounding this method and questions whether it serves as a legitimate alternative to euthanasia or disguises assisted dying under a different name. The author advocates for clearer legal definitions to prevent contradictory interpretations and ensure ethical end-of-life care.</w:t>
      </w:r>
    </w:p>
    <w:p w14:paraId="6963496F"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Both Pope John Paul II’s opposition to euthanasia and his endorsement of pain relief medication and the right to refuse life-sustaining treatment highlight the complex interplay between legal, ethical, and religious considerations, demonstrating the challenges societies face in reconciling the protection of life with individual rights and medical ethics.  </w:t>
      </w:r>
    </w:p>
    <w:p w14:paraId="2105164C"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Advances in medical technology, changing social attitudes and evolving legal interpretations are likely to influence the future of euthanasia law. While some countries continue to resist legalization, others are extending existing laws to non-terminal conditions, raising further legal and ethical questions. The ongoing debate makes euthanasia one of the most complex legal issues of our time, reflecting the delicate balance between individual rights, medical ethics and societal values</w:t>
      </w:r>
      <w:r w:rsidRPr="001256EA">
        <w:rPr>
          <w:rFonts w:ascii="Times New Roman" w:hAnsi="Times New Roman" w:cs="Times New Roman"/>
          <w:sz w:val="24"/>
          <w:szCs w:val="24"/>
          <w:vertAlign w:val="superscript"/>
        </w:rPr>
        <w:footnoteReference w:id="55"/>
      </w:r>
      <w:r w:rsidRPr="001256EA">
        <w:rPr>
          <w:rFonts w:ascii="Times New Roman" w:hAnsi="Times New Roman" w:cs="Times New Roman"/>
          <w:sz w:val="24"/>
          <w:szCs w:val="24"/>
        </w:rPr>
        <w:t xml:space="preserve">. </w:t>
      </w:r>
    </w:p>
    <w:p w14:paraId="5B351575" w14:textId="56C1579A"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Religious and philosophical views cannot be discounted in having influenced the debate on euthanasia. In fact, many religious traditions, like Christianity, Judaism, and Islam, have views that have taken a lead role in shaping attitudes towards this problem. For example, the Catholic view on euthanasia has been very restrictive, arguing for the sanctity of life and rejecting all intentional life terminations</w:t>
      </w:r>
      <w:r w:rsidRPr="001256EA">
        <w:rPr>
          <w:rFonts w:ascii="Times New Roman" w:hAnsi="Times New Roman" w:cs="Times New Roman"/>
          <w:sz w:val="24"/>
          <w:szCs w:val="24"/>
          <w:vertAlign w:val="superscript"/>
        </w:rPr>
        <w:footnoteReference w:id="56"/>
      </w:r>
      <w:r w:rsidRPr="001256EA">
        <w:rPr>
          <w:rFonts w:ascii="Times New Roman" w:hAnsi="Times New Roman" w:cs="Times New Roman"/>
          <w:sz w:val="24"/>
          <w:szCs w:val="24"/>
        </w:rPr>
        <w:t>. In addition to legal and religious concerns, euthanasia raises ethical questions about the role of medical professionals in the termination of a patient's life. Many national medical associations have opposed euthanasia on the grounds that it violates the Hippocratic oath, but in countries in which euthanasia is permitted, laws often mandate doctors to act under strict ethical and procedural guidelines to ensure the choice is consistent with patient autonomy and medical accountability</w:t>
      </w:r>
      <w:r w:rsidRPr="001256EA">
        <w:rPr>
          <w:rFonts w:ascii="Times New Roman" w:hAnsi="Times New Roman" w:cs="Times New Roman"/>
          <w:sz w:val="24"/>
          <w:szCs w:val="24"/>
          <w:vertAlign w:val="superscript"/>
        </w:rPr>
        <w:footnoteReference w:id="57"/>
      </w:r>
      <w:r w:rsidRPr="001256EA">
        <w:rPr>
          <w:rFonts w:ascii="Times New Roman" w:hAnsi="Times New Roman" w:cs="Times New Roman"/>
          <w:sz w:val="24"/>
          <w:szCs w:val="24"/>
        </w:rPr>
        <w:t xml:space="preserve">. On the other hand, Jewish and Islamic traditions generally suggest that human life must be </w:t>
      </w:r>
      <w:r w:rsidR="00ED3976" w:rsidRPr="001256EA">
        <w:rPr>
          <w:rFonts w:ascii="Times New Roman" w:hAnsi="Times New Roman" w:cs="Times New Roman"/>
          <w:sz w:val="24"/>
          <w:szCs w:val="24"/>
        </w:rPr>
        <w:t>preserved,</w:t>
      </w:r>
      <w:r w:rsidRPr="001256EA">
        <w:rPr>
          <w:rFonts w:ascii="Times New Roman" w:hAnsi="Times New Roman" w:cs="Times New Roman"/>
          <w:sz w:val="24"/>
          <w:szCs w:val="24"/>
        </w:rPr>
        <w:t xml:space="preserve"> and euthanasia goes against the will of God</w:t>
      </w:r>
      <w:r w:rsidRPr="001256EA">
        <w:rPr>
          <w:rFonts w:ascii="Times New Roman" w:hAnsi="Times New Roman" w:cs="Times New Roman"/>
          <w:sz w:val="24"/>
          <w:szCs w:val="24"/>
          <w:vertAlign w:val="superscript"/>
        </w:rPr>
        <w:footnoteReference w:id="58"/>
      </w:r>
      <w:r w:rsidRPr="001256EA">
        <w:rPr>
          <w:rFonts w:ascii="Times New Roman" w:hAnsi="Times New Roman" w:cs="Times New Roman"/>
          <w:sz w:val="24"/>
          <w:szCs w:val="24"/>
        </w:rPr>
        <w:t xml:space="preserve">. </w:t>
      </w:r>
    </w:p>
    <w:p w14:paraId="1E851E05"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These come into direct contrast to religious views, while in the context of secular ethics, arguments have gained prominence that emphasize respect for the autonomy of the person and the right of self-decision-making over issues related to his/her own life and death. The shift towards secularism in various societies has led to the reassessment of many traditional moral and religious arguments, emphasizing the importance of individual choice and the alleviation of suffering. This transformation reflects the evolving societal values, increasingly centered on what is now widely recognized as the right to die with dignity and at one’s own pace</w:t>
      </w:r>
      <w:r w:rsidRPr="001256EA">
        <w:rPr>
          <w:rFonts w:ascii="Times New Roman" w:hAnsi="Times New Roman" w:cs="Times New Roman"/>
          <w:sz w:val="24"/>
          <w:szCs w:val="24"/>
          <w:vertAlign w:val="superscript"/>
        </w:rPr>
        <w:footnoteReference w:id="59"/>
      </w:r>
      <w:r w:rsidRPr="001256EA">
        <w:rPr>
          <w:rFonts w:ascii="Times New Roman" w:hAnsi="Times New Roman" w:cs="Times New Roman"/>
          <w:sz w:val="24"/>
          <w:szCs w:val="24"/>
        </w:rPr>
        <w:t>.</w:t>
      </w:r>
    </w:p>
    <w:p w14:paraId="73DD6A99" w14:textId="6705460B"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Some societies are increasingly accepting euthanasia, which can be seen as a shift in their collective attitude. As societies become more diverse and inclusive, individuals are more </w:t>
      </w:r>
      <w:r w:rsidRPr="001256EA">
        <w:rPr>
          <w:rFonts w:ascii="Times New Roman" w:hAnsi="Times New Roman" w:cs="Times New Roman"/>
          <w:sz w:val="24"/>
          <w:szCs w:val="24"/>
        </w:rPr>
        <w:lastRenderedPageBreak/>
        <w:t>likely to engage with different ethical perspectives and consider various belief systems regarding death and end-of-life choices</w:t>
      </w:r>
      <w:r w:rsidRPr="001256EA">
        <w:rPr>
          <w:rFonts w:ascii="Times New Roman" w:hAnsi="Times New Roman" w:cs="Times New Roman"/>
          <w:sz w:val="24"/>
          <w:szCs w:val="24"/>
          <w:vertAlign w:val="superscript"/>
        </w:rPr>
        <w:footnoteReference w:id="60"/>
      </w:r>
      <w:r w:rsidRPr="001256EA">
        <w:rPr>
          <w:rFonts w:ascii="Times New Roman" w:hAnsi="Times New Roman" w:cs="Times New Roman"/>
          <w:sz w:val="24"/>
          <w:szCs w:val="24"/>
        </w:rPr>
        <w:t xml:space="preserve">. This interaction of viewpoints between traditional religious perspectives and emerging secular ethics highlights both the complexity of the euthanasia debate and the urgent need for further dialogue. Such discourse is essential to clarify these </w:t>
      </w:r>
      <w:r w:rsidR="001D1B0C" w:rsidRPr="001256EA">
        <w:rPr>
          <w:rFonts w:ascii="Times New Roman" w:hAnsi="Times New Roman" w:cs="Times New Roman"/>
          <w:sz w:val="24"/>
          <w:szCs w:val="24"/>
        </w:rPr>
        <w:t>often-conflicting</w:t>
      </w:r>
      <w:r w:rsidRPr="001256EA">
        <w:rPr>
          <w:rFonts w:ascii="Times New Roman" w:hAnsi="Times New Roman" w:cs="Times New Roman"/>
          <w:sz w:val="24"/>
          <w:szCs w:val="24"/>
        </w:rPr>
        <w:t xml:space="preserve"> perspectives, which shape both public policy and personal decision-making</w:t>
      </w:r>
      <w:r w:rsidRPr="001256EA">
        <w:rPr>
          <w:rFonts w:ascii="Times New Roman" w:hAnsi="Times New Roman" w:cs="Times New Roman"/>
          <w:sz w:val="24"/>
          <w:szCs w:val="24"/>
          <w:vertAlign w:val="superscript"/>
        </w:rPr>
        <w:footnoteReference w:id="61"/>
      </w:r>
      <w:r w:rsidRPr="001256EA">
        <w:rPr>
          <w:rFonts w:ascii="Times New Roman" w:hAnsi="Times New Roman" w:cs="Times New Roman"/>
          <w:sz w:val="24"/>
          <w:szCs w:val="24"/>
        </w:rPr>
        <w:t>.</w:t>
      </w:r>
    </w:p>
    <w:p w14:paraId="104F660C" w14:textId="5A9ADA01"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These traditional views, however, stand in </w:t>
      </w:r>
      <w:r w:rsidR="00ED3976" w:rsidRPr="001256EA">
        <w:rPr>
          <w:rFonts w:ascii="Times New Roman" w:hAnsi="Times New Roman" w:cs="Times New Roman"/>
          <w:sz w:val="24"/>
          <w:szCs w:val="24"/>
        </w:rPr>
        <w:t>counter position</w:t>
      </w:r>
      <w:r w:rsidRPr="001256EA">
        <w:rPr>
          <w:rFonts w:ascii="Times New Roman" w:hAnsi="Times New Roman" w:cs="Times New Roman"/>
          <w:sz w:val="24"/>
          <w:szCs w:val="24"/>
        </w:rPr>
        <w:t xml:space="preserve"> to contemporary discourse about euthanasia that has been couched very largely within secular ethical language focusing on individual autonomy and the right of self-determination. It reflects more general changes in society toward greater liberalism and humanism when dealing with end-of-life decisions</w:t>
      </w:r>
      <w:r w:rsidRPr="001256EA">
        <w:rPr>
          <w:rFonts w:ascii="Times New Roman" w:hAnsi="Times New Roman" w:cs="Times New Roman"/>
          <w:sz w:val="24"/>
          <w:szCs w:val="24"/>
          <w:vertAlign w:val="superscript"/>
        </w:rPr>
        <w:footnoteReference w:id="62"/>
      </w:r>
      <w:r w:rsidRPr="001256EA">
        <w:rPr>
          <w:rFonts w:ascii="Times New Roman" w:hAnsi="Times New Roman" w:cs="Times New Roman"/>
          <w:sz w:val="24"/>
          <w:szCs w:val="24"/>
        </w:rPr>
        <w:t>. This meshing of these ways of thinking into legal and medical jurisprudence underlines the changing character of the euthanasia debate and the continuing need for dialogue and reflection</w:t>
      </w:r>
      <w:r w:rsidRPr="001256EA">
        <w:rPr>
          <w:rFonts w:ascii="Times New Roman" w:hAnsi="Times New Roman" w:cs="Times New Roman"/>
          <w:sz w:val="24"/>
          <w:szCs w:val="24"/>
          <w:vertAlign w:val="superscript"/>
        </w:rPr>
        <w:footnoteReference w:id="63"/>
      </w:r>
      <w:r w:rsidRPr="001256EA">
        <w:rPr>
          <w:rFonts w:ascii="Times New Roman" w:hAnsi="Times New Roman" w:cs="Times New Roman"/>
          <w:sz w:val="24"/>
          <w:szCs w:val="24"/>
        </w:rPr>
        <w:t>.</w:t>
      </w:r>
    </w:p>
    <w:p w14:paraId="510A9494"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debate on euthanasia has been in a constant state of flux, influenced by the progress of medical research, changes in societal values, and an increasing respect for patients' rights and self-determination. Nations throughout the world wrestle with these complex issues and seek to craft legislation to deal with the ethical and legal dilemmas presented by euthanasia. Whether taking the strict prohibition route or allowing it in a carefully controlled regime, the legal landscape regarding euthanasia continues to remain as varied as the moral arguments that define it</w:t>
      </w:r>
      <w:r w:rsidRPr="001256EA">
        <w:rPr>
          <w:rFonts w:ascii="Times New Roman" w:hAnsi="Times New Roman" w:cs="Times New Roman"/>
          <w:sz w:val="24"/>
          <w:szCs w:val="24"/>
          <w:vertAlign w:val="superscript"/>
        </w:rPr>
        <w:footnoteReference w:id="64"/>
      </w:r>
      <w:r w:rsidRPr="001256EA">
        <w:rPr>
          <w:rFonts w:ascii="Times New Roman" w:hAnsi="Times New Roman" w:cs="Times New Roman"/>
          <w:sz w:val="24"/>
          <w:szCs w:val="24"/>
        </w:rPr>
        <w:t>. These laws reflect not only the state of the debate but also actively influence how compassion, the limits of medical intervention, and the fundamental rights of people at the end of their lives are defined. With views still changing, human dignity and personal freedom remain central in the debate on euthanasia in both legal and ethical discourse</w:t>
      </w:r>
      <w:r w:rsidRPr="001256EA">
        <w:rPr>
          <w:rFonts w:ascii="Times New Roman" w:hAnsi="Times New Roman" w:cs="Times New Roman"/>
          <w:sz w:val="24"/>
          <w:szCs w:val="24"/>
          <w:vertAlign w:val="superscript"/>
        </w:rPr>
        <w:footnoteReference w:id="65"/>
      </w:r>
      <w:r w:rsidRPr="001256EA">
        <w:rPr>
          <w:rFonts w:ascii="Times New Roman" w:hAnsi="Times New Roman" w:cs="Times New Roman"/>
          <w:sz w:val="24"/>
          <w:szCs w:val="24"/>
        </w:rPr>
        <w:t xml:space="preserve">. These laws not only mirror the current state of the debate but also influence ongoing discussions about the </w:t>
      </w:r>
      <w:r w:rsidRPr="001256EA">
        <w:rPr>
          <w:rFonts w:ascii="Times New Roman" w:hAnsi="Times New Roman" w:cs="Times New Roman"/>
          <w:sz w:val="24"/>
          <w:szCs w:val="24"/>
        </w:rPr>
        <w:lastRenderedPageBreak/>
        <w:t>essence of compassion, the boundaries of medical intervention, and the rights of individuals at the end of life</w:t>
      </w:r>
      <w:r w:rsidRPr="001256EA">
        <w:rPr>
          <w:rFonts w:ascii="Times New Roman" w:hAnsi="Times New Roman" w:cs="Times New Roman"/>
          <w:sz w:val="24"/>
          <w:szCs w:val="24"/>
          <w:vertAlign w:val="superscript"/>
        </w:rPr>
        <w:footnoteReference w:id="66"/>
      </w:r>
    </w:p>
    <w:p w14:paraId="1DF2D0C7" w14:textId="330778A3"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One issue that has largely contributed to the debate, and is even relevant today, is the impact of medical progress on euthanasia legislation. This has </w:t>
      </w:r>
      <w:r w:rsidR="005F3C95" w:rsidRPr="001256EA">
        <w:rPr>
          <w:rFonts w:ascii="Times New Roman" w:hAnsi="Times New Roman" w:cs="Times New Roman"/>
          <w:sz w:val="24"/>
          <w:szCs w:val="24"/>
        </w:rPr>
        <w:t>brought</w:t>
      </w:r>
      <w:r w:rsidRPr="001256EA">
        <w:rPr>
          <w:rFonts w:ascii="Times New Roman" w:hAnsi="Times New Roman" w:cs="Times New Roman"/>
          <w:sz w:val="24"/>
          <w:szCs w:val="24"/>
        </w:rPr>
        <w:t xml:space="preserve"> newer perspectives in terms of the need and appropriateness of euthanasia against the backdrop of newer possibilities of pain management and palliative care opened out by newer innovations in medical technology</w:t>
      </w:r>
      <w:r w:rsidRPr="001256EA">
        <w:rPr>
          <w:rFonts w:ascii="Times New Roman" w:hAnsi="Times New Roman" w:cs="Times New Roman"/>
          <w:sz w:val="24"/>
          <w:szCs w:val="24"/>
          <w:vertAlign w:val="superscript"/>
        </w:rPr>
        <w:footnoteReference w:id="67"/>
      </w:r>
      <w:r w:rsidRPr="001256EA">
        <w:rPr>
          <w:rFonts w:ascii="Times New Roman" w:hAnsi="Times New Roman" w:cs="Times New Roman"/>
          <w:sz w:val="24"/>
          <w:szCs w:val="24"/>
        </w:rPr>
        <w:t xml:space="preserve">. Advancement in the field of treatments and other interventions brings out questions over the extent of the limits of medical intervention and to what lengths it needs to be </w:t>
      </w:r>
      <w:r w:rsidR="000F53EA" w:rsidRPr="001256EA">
        <w:rPr>
          <w:rFonts w:ascii="Times New Roman" w:hAnsi="Times New Roman" w:cs="Times New Roman"/>
          <w:sz w:val="24"/>
          <w:szCs w:val="24"/>
        </w:rPr>
        <w:t>carried out</w:t>
      </w:r>
      <w:r w:rsidRPr="001256EA">
        <w:rPr>
          <w:rFonts w:ascii="Times New Roman" w:hAnsi="Times New Roman" w:cs="Times New Roman"/>
          <w:sz w:val="24"/>
          <w:szCs w:val="24"/>
        </w:rPr>
        <w:t>.</w:t>
      </w:r>
    </w:p>
    <w:p w14:paraId="07402210"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Advanced medical technologies have changed everything in end-of-life care and made possible pain management and life extension to an extent previously unimaginable</w:t>
      </w:r>
      <w:r w:rsidRPr="001256EA">
        <w:rPr>
          <w:rFonts w:ascii="Times New Roman" w:hAnsi="Times New Roman" w:cs="Times New Roman"/>
          <w:sz w:val="24"/>
          <w:szCs w:val="24"/>
          <w:vertAlign w:val="superscript"/>
        </w:rPr>
        <w:footnoteReference w:id="68"/>
      </w:r>
      <w:r w:rsidRPr="001256EA">
        <w:rPr>
          <w:rFonts w:ascii="Times New Roman" w:hAnsi="Times New Roman" w:cs="Times New Roman"/>
          <w:sz w:val="24"/>
          <w:szCs w:val="24"/>
        </w:rPr>
        <w:t xml:space="preserve">. On the other hand, it gave rise to new ethical considerations about euthanasia, as the very nature of suffering itself and the definition of a "good death" were rewritten </w:t>
      </w:r>
      <w:r w:rsidRPr="001256EA">
        <w:rPr>
          <w:rFonts w:ascii="Times New Roman" w:hAnsi="Times New Roman" w:cs="Times New Roman"/>
          <w:sz w:val="24"/>
          <w:szCs w:val="24"/>
          <w:vertAlign w:val="superscript"/>
        </w:rPr>
        <w:footnoteReference w:id="69"/>
      </w:r>
      <w:r w:rsidRPr="001256EA">
        <w:rPr>
          <w:rFonts w:ascii="Times New Roman" w:hAnsi="Times New Roman" w:cs="Times New Roman"/>
          <w:sz w:val="24"/>
          <w:szCs w:val="24"/>
        </w:rPr>
        <w:t xml:space="preserve">. No longer is it a debate as to whether life should be ended or not, but how the gains from medical progress are to be weighed against values of autonomy and quality of life. </w:t>
      </w:r>
    </w:p>
    <w:p w14:paraId="42676307"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These debates reflect profound changes in attitudes toward death and suffering, in reflections on the role that a medical profession ought to play concerning end-of-life issues, and what ethical cost the interventions will incur.</w:t>
      </w:r>
    </w:p>
    <w:p w14:paraId="134EEB9F" w14:textId="185A5EA5"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Against these fast-changing perspectives, the task of setting directions regarding euthanasia through legal frameworks is surely getting increasingly uphill. Having respect for human autonomy retained while having practices that remain within the limits of medicine and ethics does call for serious thought and continuous debate. The requirement of flexibility in the policymaking within this interplay-between developing medical science and the regime of law-may perhaps never have been more acutely felt, not merely in view of rapid technological progress but in an assimilation of heterogeneous values held by different </w:t>
      </w:r>
      <w:r w:rsidR="005F3C95" w:rsidRPr="001256EA">
        <w:rPr>
          <w:rFonts w:ascii="Times New Roman" w:hAnsi="Times New Roman" w:cs="Times New Roman"/>
          <w:sz w:val="24"/>
          <w:szCs w:val="24"/>
        </w:rPr>
        <w:t>people</w:t>
      </w:r>
      <w:r w:rsidRPr="001256EA">
        <w:rPr>
          <w:rFonts w:ascii="Times New Roman" w:hAnsi="Times New Roman" w:cs="Times New Roman"/>
          <w:sz w:val="24"/>
          <w:szCs w:val="24"/>
        </w:rPr>
        <w:t xml:space="preserve"> and communities. Thus, the laws on euthanasia continue to change and remain an ongoing social effort at balancing human dignity against scientific progress in medicine.</w:t>
      </w:r>
    </w:p>
    <w:p w14:paraId="55B1F1B3" w14:textId="7A8298FB"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Concurrent with the technological rise is the continued change in societal attitude to euthanasia. While the rights of patients and their autonomy have been increasingly focused on in some jurisdictions, increasing acceptance for euthanasia is gained, marking a change in values relating to the freedom of individuals and their right to choices in issues concerning death. This, however, is not </w:t>
      </w:r>
      <w:r w:rsidR="00ED3976" w:rsidRPr="001256EA">
        <w:rPr>
          <w:rFonts w:ascii="Times New Roman" w:hAnsi="Times New Roman" w:cs="Times New Roman"/>
          <w:sz w:val="24"/>
          <w:szCs w:val="24"/>
        </w:rPr>
        <w:t>universal</w:t>
      </w:r>
      <w:r w:rsidRPr="001256EA">
        <w:rPr>
          <w:rFonts w:ascii="Times New Roman" w:hAnsi="Times New Roman" w:cs="Times New Roman"/>
          <w:sz w:val="24"/>
          <w:szCs w:val="24"/>
        </w:rPr>
        <w:t xml:space="preserve"> acceptance, and most societies do fight within the dilemma of values and the ethical issues associated with euthanasia</w:t>
      </w:r>
      <w:r w:rsidRPr="001256EA">
        <w:rPr>
          <w:rFonts w:ascii="Times New Roman" w:hAnsi="Times New Roman" w:cs="Times New Roman"/>
          <w:sz w:val="24"/>
          <w:szCs w:val="24"/>
          <w:vertAlign w:val="superscript"/>
        </w:rPr>
        <w:footnoteReference w:id="70"/>
      </w:r>
      <w:r w:rsidRPr="001256EA">
        <w:rPr>
          <w:rFonts w:ascii="Times New Roman" w:hAnsi="Times New Roman" w:cs="Times New Roman"/>
          <w:sz w:val="24"/>
          <w:szCs w:val="24"/>
        </w:rPr>
        <w:t>.</w:t>
      </w:r>
    </w:p>
    <w:p w14:paraId="2692500C" w14:textId="77777777" w:rsidR="005C4B01" w:rsidRPr="001256EA" w:rsidRDefault="005C4B01"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 investigation into the issue of euthanasia sends one to know that it is anything but a straightforward question. The historical progress of euthanasia and its legal disputes, besides ethical puzzles, testifies to the persistence of an imperative quest for combining dignified dying with medical-ethical, legally intact, humanly compassionate considerations. But as societies continue to dance around this sensitive terrain, the debate surrounding euthanasia remains back</w:t>
      </w:r>
      <w:r w:rsidRPr="001256EA">
        <w:rPr>
          <w:rFonts w:ascii="Times New Roman" w:hAnsi="Times New Roman" w:cs="Times New Roman"/>
          <w:sz w:val="24"/>
          <w:szCs w:val="24"/>
          <w:vertAlign w:val="superscript"/>
        </w:rPr>
        <w:footnoteReference w:id="71"/>
      </w:r>
      <w:r w:rsidRPr="001256EA">
        <w:rPr>
          <w:rFonts w:ascii="Times New Roman" w:hAnsi="Times New Roman" w:cs="Times New Roman"/>
          <w:sz w:val="24"/>
          <w:szCs w:val="24"/>
        </w:rPr>
        <w:t>. In the limelight of reflection, debate, and legislative action. The current discourse at the forefront epitomizes deeper questions about life, death, and dignity that have endured for mankind since time immemorial</w:t>
      </w:r>
      <w:r w:rsidRPr="001256EA">
        <w:rPr>
          <w:rFonts w:ascii="Times New Roman" w:hAnsi="Times New Roman" w:cs="Times New Roman"/>
          <w:sz w:val="24"/>
          <w:szCs w:val="24"/>
          <w:vertAlign w:val="superscript"/>
        </w:rPr>
        <w:footnoteReference w:id="72"/>
      </w:r>
      <w:r w:rsidRPr="001256EA">
        <w:rPr>
          <w:rFonts w:ascii="Times New Roman" w:hAnsi="Times New Roman" w:cs="Times New Roman"/>
          <w:sz w:val="24"/>
          <w:szCs w:val="24"/>
        </w:rPr>
        <w:t>.</w:t>
      </w:r>
    </w:p>
    <w:p w14:paraId="5615A50A" w14:textId="43E27FC8" w:rsidR="005C4B01" w:rsidRPr="001256EA" w:rsidRDefault="00904B5C" w:rsidP="00904B5C">
      <w:pPr>
        <w:spacing w:after="0" w:line="360" w:lineRule="auto"/>
        <w:ind w:left="851"/>
        <w:jc w:val="both"/>
        <w:rPr>
          <w:rFonts w:ascii="Times New Roman" w:hAnsi="Times New Roman" w:cs="Times New Roman"/>
          <w:b/>
          <w:bCs/>
          <w:sz w:val="24"/>
          <w:szCs w:val="24"/>
        </w:rPr>
      </w:pPr>
      <w:r w:rsidRPr="001256EA">
        <w:rPr>
          <w:rStyle w:val="markedcontent"/>
          <w:rFonts w:ascii="Times New Roman" w:hAnsi="Times New Roman" w:cs="Times New Roman"/>
          <w:b/>
          <w:sz w:val="24"/>
          <w:szCs w:val="24"/>
        </w:rPr>
        <w:t>The dissertation formulates a problematic situation</w:t>
      </w:r>
    </w:p>
    <w:p w14:paraId="17B6E42A" w14:textId="57A9C3AF" w:rsidR="005C4B01" w:rsidRPr="001277AC" w:rsidRDefault="002963D3" w:rsidP="00851E2A">
      <w:pPr>
        <w:spacing w:after="0" w:line="360" w:lineRule="auto"/>
        <w:ind w:firstLine="851"/>
        <w:jc w:val="both"/>
        <w:rPr>
          <w:rFonts w:ascii="Times New Roman" w:hAnsi="Times New Roman" w:cs="Times New Roman"/>
          <w:sz w:val="24"/>
          <w:szCs w:val="24"/>
        </w:rPr>
      </w:pPr>
      <w:r w:rsidRPr="001277AC">
        <w:rPr>
          <w:rFonts w:ascii="Times New Roman" w:hAnsi="Times New Roman" w:cs="Times New Roman"/>
          <w:sz w:val="24"/>
          <w:szCs w:val="24"/>
        </w:rPr>
        <w:t>In the Lithuanian legal system, the issue of euthanasia remains particularly sensitive and complex, as it intersects with the constitutional principles of the protection of human life, criminal law norms and bioethical standards. The Constitution of the Republic of Lithuania establishes the human right to life as a fundamental value that the state must protect. This provision determines that active euthanasia is prohibited in Lithuania, and its performance is qualified under the Criminal Code as a criminal act related to the deprivation of life.</w:t>
      </w:r>
      <w:r w:rsidR="00851E2A" w:rsidRPr="001277AC">
        <w:rPr>
          <w:rFonts w:ascii="Times New Roman" w:hAnsi="Times New Roman" w:cs="Times New Roman"/>
          <w:sz w:val="24"/>
          <w:szCs w:val="24"/>
        </w:rPr>
        <w:t xml:space="preserve"> </w:t>
      </w:r>
      <w:r w:rsidRPr="001277AC">
        <w:rPr>
          <w:rFonts w:ascii="Times New Roman" w:hAnsi="Times New Roman" w:cs="Times New Roman"/>
          <w:sz w:val="24"/>
          <w:szCs w:val="24"/>
        </w:rPr>
        <w:t>However, in practice, certain borderline situations exist related to the patient's autonomy and the right to refuse treatment. Lithuanian law recognizes the patient's right to refuse medical intervention or to terminate it, even if such a decision may result in death. This provision creates a delicate boundary between the permitted refusal of passive life support and the prohibited active intervention that would directly aim to terminate life. Thus, although euthanasia is formally prohibited, certain decisions at the end of life may have similar consequences, but their legal qualification differs.</w:t>
      </w:r>
      <w:r w:rsidR="00851E2A" w:rsidRPr="001277AC">
        <w:rPr>
          <w:rFonts w:ascii="Times New Roman" w:hAnsi="Times New Roman" w:cs="Times New Roman"/>
          <w:sz w:val="24"/>
          <w:szCs w:val="24"/>
        </w:rPr>
        <w:t xml:space="preserve"> </w:t>
      </w:r>
      <w:r w:rsidRPr="001277AC">
        <w:rPr>
          <w:rFonts w:ascii="Times New Roman" w:hAnsi="Times New Roman" w:cs="Times New Roman"/>
          <w:sz w:val="24"/>
          <w:szCs w:val="24"/>
        </w:rPr>
        <w:t xml:space="preserve">The issue in Lithuania is also revealed through the development of the palliative care system. Legal regulation encourages ensuring the dignity of patients at the end </w:t>
      </w:r>
      <w:r w:rsidRPr="001277AC">
        <w:rPr>
          <w:rFonts w:ascii="Times New Roman" w:hAnsi="Times New Roman" w:cs="Times New Roman"/>
          <w:sz w:val="24"/>
          <w:szCs w:val="24"/>
        </w:rPr>
        <w:lastRenderedPageBreak/>
        <w:t xml:space="preserve">of life, but the practical availability and quality of these services do not always meet needs. This raises the question of </w:t>
      </w:r>
      <w:r w:rsidR="00AC1534" w:rsidRPr="001277AC">
        <w:rPr>
          <w:rFonts w:ascii="Times New Roman" w:hAnsi="Times New Roman" w:cs="Times New Roman"/>
          <w:sz w:val="24"/>
          <w:szCs w:val="24"/>
        </w:rPr>
        <w:t>whether</w:t>
      </w:r>
      <w:r w:rsidRPr="001277AC">
        <w:rPr>
          <w:rFonts w:ascii="Times New Roman" w:hAnsi="Times New Roman" w:cs="Times New Roman"/>
          <w:sz w:val="24"/>
          <w:szCs w:val="24"/>
        </w:rPr>
        <w:t xml:space="preserve"> by prohibiting euthanasia, the state sufficiently ensures alternative measures to reduce suffering, which is a key argument in the discussions on a possible change in legal regulation.</w:t>
      </w:r>
      <w:r w:rsidR="00851E2A" w:rsidRPr="001277AC">
        <w:rPr>
          <w:rFonts w:ascii="Times New Roman" w:hAnsi="Times New Roman" w:cs="Times New Roman"/>
          <w:sz w:val="24"/>
          <w:szCs w:val="24"/>
        </w:rPr>
        <w:t xml:space="preserve"> </w:t>
      </w:r>
      <w:r w:rsidRPr="001277AC">
        <w:rPr>
          <w:rFonts w:ascii="Times New Roman" w:hAnsi="Times New Roman" w:cs="Times New Roman"/>
          <w:sz w:val="24"/>
          <w:szCs w:val="24"/>
        </w:rPr>
        <w:t>In addition, in Lithuanian legal doctrine and public discourse, there is a tension between traditional ethical provisions and the increasing focus on individual autonomy. Although public opinion is gradually changing, the legislator still adheres to a rather conservative position, reflecting both historical and cultural factors. As a result, Lithuania is among those jurisdictions that prioritize the protection of life over the right to terminate it.</w:t>
      </w:r>
      <w:r w:rsidR="00851E2A" w:rsidRPr="001277AC">
        <w:rPr>
          <w:rFonts w:ascii="Times New Roman" w:hAnsi="Times New Roman" w:cs="Times New Roman"/>
          <w:sz w:val="24"/>
          <w:szCs w:val="24"/>
        </w:rPr>
        <w:t xml:space="preserve"> </w:t>
      </w:r>
      <w:r w:rsidRPr="001277AC">
        <w:rPr>
          <w:rFonts w:ascii="Times New Roman" w:hAnsi="Times New Roman" w:cs="Times New Roman"/>
          <w:sz w:val="24"/>
          <w:szCs w:val="24"/>
        </w:rPr>
        <w:t>Thus, the Lithuanian legal situation demonstrates a clear normative choice to prohibit euthanasia, but at the same time highlights the internal tension between this prohibition and the practical realities of end-of-life decisions. This tension becomes an important analytical point in comparative studies, allowing us to assess how different legal systems balance the principles of protection of life, human dignity, and autonomy.</w:t>
      </w:r>
    </w:p>
    <w:p w14:paraId="2E4C4F2D" w14:textId="77777777" w:rsidR="00FC6014" w:rsidRPr="001256EA" w:rsidRDefault="00904B5C" w:rsidP="00E849B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b/>
          <w:sz w:val="24"/>
          <w:szCs w:val="24"/>
        </w:rPr>
        <w:t>The scientific novelty of the PhD thesis</w:t>
      </w:r>
      <w:r w:rsidRPr="001256EA">
        <w:rPr>
          <w:rFonts w:ascii="Times New Roman" w:hAnsi="Times New Roman" w:cs="Times New Roman"/>
          <w:sz w:val="24"/>
          <w:szCs w:val="24"/>
        </w:rPr>
        <w:t>.</w:t>
      </w:r>
    </w:p>
    <w:p w14:paraId="623ADE6F" w14:textId="520329AF" w:rsidR="002963D3" w:rsidRPr="001277AC" w:rsidRDefault="002963D3" w:rsidP="00851E2A">
      <w:pPr>
        <w:spacing w:after="0" w:line="360" w:lineRule="auto"/>
        <w:ind w:firstLine="851"/>
        <w:jc w:val="both"/>
        <w:rPr>
          <w:rFonts w:ascii="Times New Roman" w:hAnsi="Times New Roman" w:cs="Times New Roman"/>
          <w:sz w:val="24"/>
          <w:szCs w:val="24"/>
        </w:rPr>
      </w:pPr>
      <w:r w:rsidRPr="001277AC">
        <w:rPr>
          <w:rFonts w:ascii="Times New Roman" w:hAnsi="Times New Roman" w:cs="Times New Roman"/>
          <w:sz w:val="24"/>
          <w:szCs w:val="24"/>
        </w:rPr>
        <w:t xml:space="preserve">The scientific novelty of the dissertation “Legal regulation problems of the euthanasia institute in international law and perspectives of this institute implementation in Lithuania” is based on a complex and systematic approach to a legal phenomenon that has been poorly studied so far. The work consistently integrates the analysis of international law, comparative law and national law for the first time, to reveal the diversity of models of legal regulation of the institute of euthanasia and the assumptions of their application in different jurisdictions. The scientific novelty is also manifested in the fact that the dissertation is not limited to normative analysis alone, but critically assesses the practical feasibility of euthanasia regulation, identifying essential problems in the application of law. Special attention is paid to situations in which there is a collision between the protection of individual rights and public values, justifying the criteria for when and under what conditions a proportionate restriction </w:t>
      </w:r>
      <w:proofErr w:type="gramStart"/>
      <w:r w:rsidRPr="001277AC">
        <w:rPr>
          <w:rFonts w:ascii="Times New Roman" w:hAnsi="Times New Roman" w:cs="Times New Roman"/>
          <w:sz w:val="24"/>
          <w:szCs w:val="24"/>
        </w:rPr>
        <w:t>of</w:t>
      </w:r>
      <w:proofErr w:type="gramEnd"/>
      <w:r w:rsidRPr="001277AC">
        <w:rPr>
          <w:rFonts w:ascii="Times New Roman" w:hAnsi="Times New Roman" w:cs="Times New Roman"/>
          <w:sz w:val="24"/>
          <w:szCs w:val="24"/>
        </w:rPr>
        <w:t xml:space="preserve"> these interests is possible. In this context, the doctrine of abuse prevention is developed, presenting proposals and recommendations ensuring transparent and consistent application of legal norms. The dissertation also re-evaluates the impact of the legal regulation of euthanasia on the healthcare system and presents an interdisciplinary analysis that allows revealing not only the legal, but also the practical challenges faced by healthcare providers, thus contributing to the development of a more balanced and realistic legal regulation model.</w:t>
      </w:r>
      <w:r w:rsidR="00851E2A" w:rsidRPr="001277AC">
        <w:rPr>
          <w:rFonts w:ascii="Times New Roman" w:hAnsi="Times New Roman" w:cs="Times New Roman"/>
          <w:sz w:val="24"/>
          <w:szCs w:val="24"/>
        </w:rPr>
        <w:t xml:space="preserve"> </w:t>
      </w:r>
      <w:r w:rsidRPr="001277AC">
        <w:rPr>
          <w:rFonts w:ascii="Times New Roman" w:hAnsi="Times New Roman" w:cs="Times New Roman"/>
          <w:sz w:val="24"/>
          <w:szCs w:val="24"/>
        </w:rPr>
        <w:t xml:space="preserve">Finally, the dissertation formulates conceptual assumptions for the implementation of the institute of euthanasia in Lithuania, considering the peculiarities of the national legal system, constitutional principles and international obligations. In this way, the work not only complements the </w:t>
      </w:r>
      <w:r w:rsidRPr="001277AC">
        <w:rPr>
          <w:rFonts w:ascii="Times New Roman" w:hAnsi="Times New Roman" w:cs="Times New Roman"/>
          <w:sz w:val="24"/>
          <w:szCs w:val="24"/>
        </w:rPr>
        <w:lastRenderedPageBreak/>
        <w:t>doctrine of legal science, but also provides practical value, offering reasonable solutions for the improvement of legislation and the application of law.</w:t>
      </w:r>
    </w:p>
    <w:p w14:paraId="78953DE9" w14:textId="77777777" w:rsidR="00FC6014" w:rsidRPr="001256EA" w:rsidRDefault="00C72988" w:rsidP="00C72988">
      <w:pPr>
        <w:spacing w:after="0" w:line="360" w:lineRule="auto"/>
        <w:ind w:firstLine="851"/>
        <w:jc w:val="both"/>
        <w:rPr>
          <w:rFonts w:ascii="Times New Roman" w:hAnsi="Times New Roman" w:cs="Times New Roman"/>
          <w:sz w:val="24"/>
          <w:szCs w:val="24"/>
        </w:rPr>
      </w:pPr>
      <w:r w:rsidRPr="001256EA">
        <w:rPr>
          <w:rStyle w:val="markedcontent"/>
          <w:rFonts w:ascii="Times New Roman" w:hAnsi="Times New Roman" w:cs="Times New Roman"/>
          <w:b/>
          <w:sz w:val="24"/>
          <w:szCs w:val="24"/>
        </w:rPr>
        <w:t>The practical significance of the PhD thesis.</w:t>
      </w:r>
      <w:r w:rsidRPr="001256EA">
        <w:rPr>
          <w:rFonts w:ascii="Times New Roman" w:hAnsi="Times New Roman" w:cs="Times New Roman"/>
          <w:sz w:val="24"/>
          <w:szCs w:val="24"/>
        </w:rPr>
        <w:t xml:space="preserve"> </w:t>
      </w:r>
    </w:p>
    <w:p w14:paraId="7B212A62" w14:textId="6BFFCF10" w:rsidR="009929F4" w:rsidRPr="009929F4" w:rsidRDefault="009929F4" w:rsidP="009929F4">
      <w:pPr>
        <w:spacing w:after="0" w:line="360" w:lineRule="auto"/>
        <w:ind w:firstLine="851"/>
        <w:jc w:val="both"/>
        <w:rPr>
          <w:rFonts w:ascii="Times New Roman" w:hAnsi="Times New Roman" w:cs="Times New Roman"/>
          <w:sz w:val="24"/>
          <w:szCs w:val="24"/>
        </w:rPr>
      </w:pPr>
      <w:r w:rsidRPr="001277AC">
        <w:rPr>
          <w:rFonts w:ascii="Times New Roman" w:hAnsi="Times New Roman" w:cs="Times New Roman"/>
          <w:sz w:val="24"/>
          <w:szCs w:val="24"/>
        </w:rPr>
        <w:t xml:space="preserve">The practical significance of the dissertation is manifested in the fact that the insights and proposals formed in it can be applied both in the practice of legislation and in the application of law. The conclusions and recommendations formulated in the work create prerequisites for improving the legal regulation of euthanasia, ensuring a clearer, more consistent and legally defined regulation of this institute, considering international experience and the peculiarities of national law. The results of the dissertation may be significant for legislative entities that resolve issues related to the regulation of the end of life, as well as for courts and other law enforcement institutions, interpreting and applying valid legal norms. The scientific analysis presented in the work helps to better understand possible legal conflicts, practical difficulties in application and risks related to possible abuse and therefore contributes to more effective and well-founded decision-making. The practical significance of this work is also manifested in the field of healthcare – the aspects discussed in the dissertation may be useful for doctors, medical personnel and health policy makers </w:t>
      </w:r>
      <w:r w:rsidR="00AC1534" w:rsidRPr="001277AC">
        <w:rPr>
          <w:rFonts w:ascii="Times New Roman" w:hAnsi="Times New Roman" w:cs="Times New Roman"/>
          <w:sz w:val="24"/>
          <w:szCs w:val="24"/>
        </w:rPr>
        <w:t>to</w:t>
      </w:r>
      <w:r w:rsidRPr="001277AC">
        <w:rPr>
          <w:rFonts w:ascii="Times New Roman" w:hAnsi="Times New Roman" w:cs="Times New Roman"/>
          <w:sz w:val="24"/>
          <w:szCs w:val="24"/>
        </w:rPr>
        <w:t xml:space="preserve"> more clearly define the boundaries of professional responsibility, the implementation of patients’ rights and guidelines for resolving ethical dilemmas. This creates the prerequisites for increasing legal clarity and reducing uncertainty in practice. In addition, the dissertation can be used in academic activities – as methodological and analytical material for legal studies and further scientific research examining the links between bioethics, human rights and medical law. In this way, the work contributes not only to the development of theoretical discussions, but also to the search for practical solutions in a complex and socially sensitive area.</w:t>
      </w:r>
    </w:p>
    <w:p w14:paraId="2C7BB1E6" w14:textId="33B038B8" w:rsidR="00C72988" w:rsidRPr="001256EA" w:rsidRDefault="00C72988" w:rsidP="004B4756">
      <w:pPr>
        <w:spacing w:after="0" w:line="360" w:lineRule="auto"/>
        <w:ind w:firstLine="851"/>
        <w:jc w:val="both"/>
        <w:rPr>
          <w:rFonts w:ascii="Times New Roman" w:hAnsi="Times New Roman" w:cs="Times New Roman"/>
          <w:b/>
          <w:sz w:val="24"/>
          <w:szCs w:val="24"/>
        </w:rPr>
      </w:pPr>
      <w:r w:rsidRPr="001256EA">
        <w:rPr>
          <w:rFonts w:ascii="Times New Roman" w:hAnsi="Times New Roman" w:cs="Times New Roman"/>
          <w:b/>
          <w:sz w:val="24"/>
          <w:szCs w:val="24"/>
        </w:rPr>
        <w:t xml:space="preserve">The subject of the research </w:t>
      </w:r>
      <w:r w:rsidR="00E77E14" w:rsidRPr="001277AC">
        <w:rPr>
          <w:rFonts w:ascii="Times New Roman" w:hAnsi="Times New Roman" w:cs="Times New Roman"/>
          <w:sz w:val="24"/>
          <w:szCs w:val="24"/>
        </w:rPr>
        <w:t>the legal challenges and obstacles faced by individuals seeking to exercise the right to assisted death (euthanasia), with particular attention paid to the Lithuanian legal system, analyzing it in the context of comparative law and international law.</w:t>
      </w:r>
    </w:p>
    <w:p w14:paraId="20647CE7" w14:textId="5E6309CC" w:rsidR="00C72988" w:rsidRPr="001256EA" w:rsidRDefault="00C72988" w:rsidP="00382B77">
      <w:pPr>
        <w:spacing w:after="0" w:line="360" w:lineRule="auto"/>
        <w:ind w:firstLine="851"/>
        <w:jc w:val="both"/>
        <w:rPr>
          <w:rFonts w:ascii="Times New Roman" w:hAnsi="Times New Roman" w:cs="Times New Roman"/>
          <w:b/>
          <w:sz w:val="24"/>
          <w:szCs w:val="24"/>
        </w:rPr>
      </w:pPr>
      <w:r w:rsidRPr="001256EA">
        <w:rPr>
          <w:rFonts w:ascii="Times New Roman" w:hAnsi="Times New Roman" w:cs="Times New Roman"/>
          <w:b/>
          <w:sz w:val="24"/>
          <w:szCs w:val="24"/>
        </w:rPr>
        <w:t>The aim of the research</w:t>
      </w:r>
      <w:r w:rsidR="00A57F38">
        <w:rPr>
          <w:rFonts w:ascii="Times New Roman" w:hAnsi="Times New Roman" w:cs="Times New Roman"/>
          <w:b/>
          <w:sz w:val="24"/>
          <w:szCs w:val="24"/>
        </w:rPr>
        <w:t>:</w:t>
      </w:r>
      <w:r w:rsidRPr="001256EA">
        <w:rPr>
          <w:rFonts w:ascii="Times New Roman" w:hAnsi="Times New Roman" w:cs="Times New Roman"/>
          <w:b/>
          <w:sz w:val="24"/>
          <w:szCs w:val="24"/>
        </w:rPr>
        <w:t xml:space="preserve"> </w:t>
      </w:r>
      <w:r w:rsidR="00A57F38" w:rsidRPr="001277AC">
        <w:rPr>
          <w:rFonts w:ascii="Times New Roman" w:hAnsi="Times New Roman" w:cs="Times New Roman"/>
          <w:sz w:val="24"/>
          <w:szCs w:val="24"/>
        </w:rPr>
        <w:t>to analyze the problems of legal regulation of the institute of euthanasia in international law, to evaluate the models of legal regulation of different states and, based on comparative analysis, to determine the assumptions, possibilities and limits of the implementation of this institute in Lithuania.</w:t>
      </w:r>
    </w:p>
    <w:p w14:paraId="4A18742C" w14:textId="77777777" w:rsidR="00C72988" w:rsidRPr="001256EA" w:rsidRDefault="00C72988" w:rsidP="00C72988">
      <w:pPr>
        <w:spacing w:after="0" w:line="360" w:lineRule="auto"/>
        <w:ind w:firstLine="851"/>
        <w:rPr>
          <w:rFonts w:ascii="Times New Roman" w:hAnsi="Times New Roman" w:cs="Times New Roman"/>
          <w:b/>
          <w:sz w:val="24"/>
          <w:szCs w:val="24"/>
        </w:rPr>
      </w:pPr>
      <w:r w:rsidRPr="001256EA">
        <w:rPr>
          <w:rFonts w:ascii="Times New Roman" w:hAnsi="Times New Roman" w:cs="Times New Roman"/>
          <w:b/>
          <w:sz w:val="24"/>
          <w:szCs w:val="24"/>
        </w:rPr>
        <w:t xml:space="preserve">Research tasks </w:t>
      </w:r>
    </w:p>
    <w:p w14:paraId="272D960D" w14:textId="27FCBE2E" w:rsidR="00C72988" w:rsidRPr="001256EA" w:rsidRDefault="00C72988" w:rsidP="00C72988">
      <w:pPr>
        <w:spacing w:after="0" w:line="360" w:lineRule="auto"/>
        <w:ind w:firstLine="851"/>
        <w:rPr>
          <w:rFonts w:ascii="Times New Roman" w:hAnsi="Times New Roman" w:cs="Times New Roman"/>
          <w:sz w:val="24"/>
          <w:szCs w:val="24"/>
        </w:rPr>
      </w:pPr>
      <w:r w:rsidRPr="001256EA">
        <w:rPr>
          <w:rFonts w:ascii="Times New Roman" w:hAnsi="Times New Roman" w:cs="Times New Roman"/>
          <w:sz w:val="24"/>
          <w:szCs w:val="24"/>
        </w:rPr>
        <w:tab/>
      </w:r>
      <w:bookmarkStart w:id="5" w:name="_Hlk187997143"/>
      <w:r w:rsidRPr="001256EA">
        <w:rPr>
          <w:rFonts w:ascii="Times New Roman" w:hAnsi="Times New Roman" w:cs="Times New Roman"/>
          <w:sz w:val="24"/>
          <w:szCs w:val="24"/>
        </w:rPr>
        <w:t xml:space="preserve">1. </w:t>
      </w:r>
      <w:r w:rsidR="00A57F38" w:rsidRPr="001256EA">
        <w:rPr>
          <w:rFonts w:ascii="Times New Roman" w:hAnsi="Times New Roman" w:cs="Times New Roman"/>
          <w:sz w:val="24"/>
          <w:szCs w:val="24"/>
        </w:rPr>
        <w:t xml:space="preserve">To </w:t>
      </w:r>
      <w:r w:rsidR="00A57F38">
        <w:rPr>
          <w:rFonts w:ascii="Times New Roman" w:hAnsi="Times New Roman" w:cs="Times New Roman"/>
          <w:sz w:val="24"/>
          <w:szCs w:val="24"/>
        </w:rPr>
        <w:t>d</w:t>
      </w:r>
      <w:r w:rsidRPr="001256EA">
        <w:rPr>
          <w:rFonts w:ascii="Times New Roman" w:hAnsi="Times New Roman" w:cs="Times New Roman"/>
          <w:sz w:val="24"/>
          <w:szCs w:val="24"/>
        </w:rPr>
        <w:t xml:space="preserve">efine the concept of </w:t>
      </w:r>
      <w:r w:rsidR="004B4756"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w:t>
      </w:r>
    </w:p>
    <w:p w14:paraId="1AE230F0" w14:textId="0BD3F6E9" w:rsidR="00C72988" w:rsidRPr="001256EA" w:rsidRDefault="00C72988" w:rsidP="004B4756">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b/>
        <w:t xml:space="preserve">2. To examine the </w:t>
      </w:r>
      <w:r w:rsidR="004B4756" w:rsidRPr="001256EA">
        <w:rPr>
          <w:rFonts w:ascii="Times New Roman" w:hAnsi="Times New Roman" w:cs="Times New Roman"/>
          <w:sz w:val="24"/>
          <w:szCs w:val="24"/>
        </w:rPr>
        <w:t>national and international legal acts regulating</w:t>
      </w:r>
      <w:r w:rsidRPr="001256EA">
        <w:rPr>
          <w:rFonts w:ascii="Times New Roman" w:hAnsi="Times New Roman" w:cs="Times New Roman"/>
          <w:sz w:val="24"/>
          <w:szCs w:val="24"/>
        </w:rPr>
        <w:t xml:space="preserve"> acts regulating </w:t>
      </w:r>
      <w:r w:rsidR="004B4756" w:rsidRPr="001256EA">
        <w:rPr>
          <w:rFonts w:ascii="Times New Roman" w:hAnsi="Times New Roman" w:cs="Times New Roman"/>
          <w:sz w:val="24"/>
          <w:szCs w:val="24"/>
        </w:rPr>
        <w:t>euthanasia institute</w:t>
      </w:r>
      <w:r w:rsidRPr="001256EA">
        <w:rPr>
          <w:rFonts w:ascii="Times New Roman" w:hAnsi="Times New Roman" w:cs="Times New Roman"/>
          <w:sz w:val="24"/>
          <w:szCs w:val="24"/>
        </w:rPr>
        <w:t xml:space="preserve">. </w:t>
      </w:r>
    </w:p>
    <w:p w14:paraId="727C3436" w14:textId="3C9380A7" w:rsidR="00C72988" w:rsidRPr="001256EA" w:rsidRDefault="00C72988" w:rsidP="004B4756">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ab/>
        <w:t xml:space="preserve">3. To analyze court practice and identify problems arising from the legal regulation of </w:t>
      </w:r>
      <w:r w:rsidR="004B4756" w:rsidRPr="001256EA">
        <w:rPr>
          <w:rFonts w:ascii="Times New Roman" w:hAnsi="Times New Roman" w:cs="Times New Roman"/>
          <w:sz w:val="24"/>
          <w:szCs w:val="24"/>
        </w:rPr>
        <w:t>euthanasia institute</w:t>
      </w:r>
      <w:r w:rsidRPr="001256EA">
        <w:rPr>
          <w:rFonts w:ascii="Times New Roman" w:hAnsi="Times New Roman" w:cs="Times New Roman"/>
          <w:sz w:val="24"/>
          <w:szCs w:val="24"/>
        </w:rPr>
        <w:t xml:space="preserve">. </w:t>
      </w:r>
    </w:p>
    <w:p w14:paraId="21EBF155" w14:textId="02A609A7" w:rsidR="00C72988" w:rsidRPr="001256EA" w:rsidRDefault="00C72988" w:rsidP="004B4756">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b/>
        <w:t xml:space="preserve">4. Based on the data of the performed analysis, submit proposals for the improvement of legal </w:t>
      </w:r>
      <w:r w:rsidR="005F3C95" w:rsidRPr="001256EA">
        <w:rPr>
          <w:rFonts w:ascii="Times New Roman" w:hAnsi="Times New Roman" w:cs="Times New Roman"/>
          <w:sz w:val="24"/>
          <w:szCs w:val="24"/>
        </w:rPr>
        <w:t>regulations</w:t>
      </w:r>
      <w:r w:rsidRPr="001256EA">
        <w:rPr>
          <w:rFonts w:ascii="Times New Roman" w:hAnsi="Times New Roman" w:cs="Times New Roman"/>
          <w:sz w:val="24"/>
          <w:szCs w:val="24"/>
        </w:rPr>
        <w:t>.</w:t>
      </w:r>
      <w:bookmarkEnd w:id="5"/>
    </w:p>
    <w:p w14:paraId="23DFAFCB" w14:textId="73960B23" w:rsidR="00C72988" w:rsidRPr="001256EA" w:rsidRDefault="00C72988" w:rsidP="00C72988">
      <w:pPr>
        <w:spacing w:after="0" w:line="360" w:lineRule="auto"/>
        <w:ind w:firstLine="851"/>
        <w:jc w:val="both"/>
        <w:rPr>
          <w:rFonts w:ascii="Times New Roman" w:hAnsi="Times New Roman" w:cs="Times New Roman"/>
          <w:sz w:val="24"/>
          <w:szCs w:val="24"/>
        </w:rPr>
      </w:pPr>
      <w:bookmarkStart w:id="6" w:name="_Hlk187997485"/>
      <w:r w:rsidRPr="001256EA">
        <w:rPr>
          <w:rFonts w:ascii="Times New Roman" w:hAnsi="Times New Roman" w:cs="Times New Roman"/>
          <w:sz w:val="24"/>
          <w:szCs w:val="24"/>
        </w:rPr>
        <w:t xml:space="preserve">Empirical and theoretical </w:t>
      </w:r>
      <w:r w:rsidRPr="001256EA">
        <w:rPr>
          <w:rFonts w:ascii="Times New Roman" w:hAnsi="Times New Roman" w:cs="Times New Roman"/>
          <w:b/>
          <w:sz w:val="24"/>
          <w:szCs w:val="24"/>
        </w:rPr>
        <w:t>methods</w:t>
      </w:r>
      <w:r w:rsidRPr="001256EA">
        <w:rPr>
          <w:rFonts w:ascii="Times New Roman" w:hAnsi="Times New Roman" w:cs="Times New Roman"/>
          <w:sz w:val="24"/>
          <w:szCs w:val="24"/>
        </w:rPr>
        <w:t xml:space="preserve"> of social science for the research were chosen, considering the thesis object, issues, purpose, and raised tasks</w:t>
      </w:r>
      <w:bookmarkEnd w:id="6"/>
      <w:r w:rsidRPr="001256EA">
        <w:rPr>
          <w:rFonts w:ascii="Times New Roman" w:hAnsi="Times New Roman" w:cs="Times New Roman"/>
          <w:sz w:val="24"/>
          <w:szCs w:val="24"/>
        </w:rPr>
        <w:t>:</w:t>
      </w:r>
    </w:p>
    <w:p w14:paraId="2473E310" w14:textId="31797BDE" w:rsidR="00382B77" w:rsidRPr="001256EA" w:rsidRDefault="00382B77" w:rsidP="00382B77">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Considering the subject, problems, goal and objectives of the dissertation, empirical and theoretical social science methods were chosen for the study:</w:t>
      </w:r>
    </w:p>
    <w:p w14:paraId="400A87EE" w14:textId="57697EB8" w:rsidR="00C72988" w:rsidRPr="001256EA" w:rsidRDefault="00382B77" w:rsidP="00A6347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Pr="001256EA">
        <w:rPr>
          <w:rFonts w:ascii="Times New Roman" w:hAnsi="Times New Roman" w:cs="Times New Roman"/>
          <w:i/>
          <w:iCs/>
          <w:sz w:val="24"/>
          <w:szCs w:val="24"/>
        </w:rPr>
        <w:t>document analysis method</w:t>
      </w:r>
      <w:r w:rsidRPr="001256EA">
        <w:rPr>
          <w:rFonts w:ascii="Times New Roman" w:hAnsi="Times New Roman" w:cs="Times New Roman"/>
          <w:sz w:val="24"/>
          <w:szCs w:val="24"/>
        </w:rPr>
        <w:t>, as one of the main methods used in this work, was used to assess national and international rights of individuals to euthanasia and emerging problems, creating prerequisites for the proper implementation of these rights, ensuring the implementation of the right of individuals to assisted death as effectively as possible. Using this method, it was possible to better understand and more deeply assess the object of the study and social processes that influence the implementation of the right to assisted death. This method collected and analyzed various legal and scientific sources, national and international legal acts, decisions of Lithuanian and international courts, statistical data, another scientific research related to the dissertation, etc.</w:t>
      </w:r>
      <w:r w:rsidR="00A63471" w:rsidRPr="001256EA">
        <w:t xml:space="preserve"> </w:t>
      </w:r>
      <w:r w:rsidR="00A63471" w:rsidRPr="001256EA">
        <w:rPr>
          <w:rFonts w:ascii="Times New Roman" w:hAnsi="Times New Roman" w:cs="Times New Roman"/>
          <w:sz w:val="24"/>
          <w:szCs w:val="24"/>
        </w:rPr>
        <w:t>In addition, the application of the document analysis method enabled the identification of similarities and differences between various legal systems, which allowed for a more comprehensive evaluation of the current situation and possible directions for improvement. By systematically comparing international practices and the Lithuanian legal framework, it became possible to highlight both the strengths and the shortcomings of existing regulations. Furthermore, this method revealed how ethical, cultural, and historical contexts influence the perception and application of the right to euthanasia and assisted death in different countries. The insights gained through document analysis also served as a foundation for formulating theoretical conclusions and practical recommendations. The collected material not only provided a factual basis for the dissertation but also allowed for the development of well-grounded arguments regarding the necessity of legal regulation and its alignment with fundamental human rights principles. In this way, the method ensured a holistic approach to the research object, combining theoretical considerations with empirical data, and enabling a more precise identification of emerging legal and social challenges related to the implementation of the right to assisted death.</w:t>
      </w:r>
    </w:p>
    <w:p w14:paraId="391AEEAE" w14:textId="32ADED87" w:rsidR="00A63471" w:rsidRPr="001256EA" w:rsidRDefault="00A63471" w:rsidP="00A6347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Pr="001256EA">
        <w:rPr>
          <w:rFonts w:ascii="Times New Roman" w:hAnsi="Times New Roman" w:cs="Times New Roman"/>
          <w:i/>
          <w:iCs/>
          <w:sz w:val="24"/>
          <w:szCs w:val="24"/>
        </w:rPr>
        <w:t>method of systematic analysis</w:t>
      </w:r>
      <w:r w:rsidRPr="001256EA">
        <w:rPr>
          <w:rFonts w:ascii="Times New Roman" w:hAnsi="Times New Roman" w:cs="Times New Roman"/>
          <w:sz w:val="24"/>
          <w:szCs w:val="24"/>
        </w:rPr>
        <w:t xml:space="preserve"> made it possible to identify the main structural components that determine the content and scope of the right to die, as well as their mutual relationships. When applying systematic analysis, not only individual legal norms and court </w:t>
      </w:r>
      <w:r w:rsidRPr="001256EA">
        <w:rPr>
          <w:rFonts w:ascii="Times New Roman" w:hAnsi="Times New Roman" w:cs="Times New Roman"/>
          <w:sz w:val="24"/>
          <w:szCs w:val="24"/>
        </w:rPr>
        <w:lastRenderedPageBreak/>
        <w:t xml:space="preserve">decisions were examined separately, but also their place in the broader legal system and interaction with other branches of law, such as constitutional, criminal and human rights law. This method also helped to reveal the logical consistency and possible contradictions of legal regulation, allowing a more objective assessment of its coherence and effectiveness. In addition, systematic analysis provided an opportunity to assess how theoretical legal constructions are reflected in practice and to what extent they ensure the implementation of fundamental rights and freedoms. This helped to identify both systemic gaps and overlapping regulations that may complicate the implementation of the right to die. In this way, the method not only contributed to a deeper understanding of the theoretical object of research but also served </w:t>
      </w:r>
      <w:r w:rsidR="00025059" w:rsidRPr="001256EA">
        <w:rPr>
          <w:rFonts w:ascii="Times New Roman" w:hAnsi="Times New Roman" w:cs="Times New Roman"/>
          <w:sz w:val="24"/>
          <w:szCs w:val="24"/>
        </w:rPr>
        <w:t>to</w:t>
      </w:r>
      <w:r w:rsidRPr="001256EA">
        <w:rPr>
          <w:rFonts w:ascii="Times New Roman" w:hAnsi="Times New Roman" w:cs="Times New Roman"/>
          <w:sz w:val="24"/>
          <w:szCs w:val="24"/>
        </w:rPr>
        <w:t xml:space="preserve"> develop practical proposals aimed at improving legal regulation and its application.</w:t>
      </w:r>
    </w:p>
    <w:p w14:paraId="77D77C47" w14:textId="3A763E6D" w:rsidR="00C72988" w:rsidRPr="001256EA" w:rsidRDefault="00025059" w:rsidP="0002505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Pr="001256EA">
        <w:rPr>
          <w:rFonts w:ascii="Times New Roman" w:hAnsi="Times New Roman" w:cs="Times New Roman"/>
          <w:i/>
          <w:iCs/>
          <w:sz w:val="24"/>
          <w:szCs w:val="24"/>
        </w:rPr>
        <w:t>method of comparative analysis</w:t>
      </w:r>
      <w:r w:rsidRPr="001256EA">
        <w:rPr>
          <w:rFonts w:ascii="Times New Roman" w:hAnsi="Times New Roman" w:cs="Times New Roman"/>
          <w:sz w:val="24"/>
          <w:szCs w:val="24"/>
        </w:rPr>
        <w:t xml:space="preserve"> was applied in both theoretical and practical aspects, comparing the experience of Lithuania and foreign countries in the regulation and application of euthanasia. This method made it possible to identify similarities and differences between legal frameworks, ethical approaches, and judicial practices across various jurisdictions. By examining foreign models, it became possible to evaluate which regulatory mechanisms ensure the most effective protection of individual rights and which, conversely, create legal or ethical dilemmas that hinder the realization of the right to die. The comparative approach also allowed research to highlight the influence of cultural, religious, and social values on the development of euthanasia regulations, demonstrating how these factors shape both legislation and its practical enforcement. In the Lithuanian context, such comparison revealed existing shortcomings, as well as potential opportunities for improving the legal framework by drawing on best practices from countries where euthanasia and assisted death are more extensively regulated and practiced. Moreover, this method facilitated not only the assessment of normative acts but also the analysis of judicial case law, political debates, and public opinion, which together reflect the broader social context in which the right to die is interpreted and applied. The insights gained through comparative analysis enriched the dissertation with a multidimensional perspective, enabling a more objective evaluation of Lithuania’s position within the global discourse on euthanasia and assisted death.</w:t>
      </w:r>
    </w:p>
    <w:p w14:paraId="2630ACF9" w14:textId="4BD970D1" w:rsidR="00C72988" w:rsidRPr="001256EA" w:rsidRDefault="00025059" w:rsidP="00C72988">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Pr="001256EA">
        <w:rPr>
          <w:rFonts w:ascii="Times New Roman" w:hAnsi="Times New Roman" w:cs="Times New Roman"/>
          <w:i/>
          <w:iCs/>
          <w:sz w:val="24"/>
          <w:szCs w:val="24"/>
        </w:rPr>
        <w:t>logical-analytical method</w:t>
      </w:r>
      <w:r w:rsidRPr="001256EA">
        <w:rPr>
          <w:rFonts w:ascii="Times New Roman" w:hAnsi="Times New Roman" w:cs="Times New Roman"/>
          <w:sz w:val="24"/>
          <w:szCs w:val="24"/>
        </w:rPr>
        <w:t xml:space="preserve"> was employed to systematically examine scientific sources, legal documents, and their content, thereby ensuring the specification and coherence of both the theoretical and practical parts of the research. Relying on the principles of legal logic, this method was used to interpret legal provisions as accurately as possible and to assess their applicability in practice. In addition, it contributed to integrating the different sections of </w:t>
      </w:r>
      <w:r w:rsidRPr="001256EA">
        <w:rPr>
          <w:rFonts w:ascii="Times New Roman" w:hAnsi="Times New Roman" w:cs="Times New Roman"/>
          <w:sz w:val="24"/>
          <w:szCs w:val="24"/>
        </w:rPr>
        <w:lastRenderedPageBreak/>
        <w:t>the work, maintaining internal consistency and ensuring the continuity of reasoning throughout the dissertation.</w:t>
      </w:r>
    </w:p>
    <w:p w14:paraId="6230583F" w14:textId="47B7669B" w:rsidR="00025059" w:rsidRPr="001256EA" w:rsidRDefault="00025059" w:rsidP="0002505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Pr="001256EA">
        <w:rPr>
          <w:rFonts w:ascii="Times New Roman" w:hAnsi="Times New Roman" w:cs="Times New Roman"/>
          <w:i/>
          <w:iCs/>
          <w:sz w:val="24"/>
          <w:szCs w:val="24"/>
        </w:rPr>
        <w:t>problem analysis method</w:t>
      </w:r>
      <w:r w:rsidRPr="001256EA">
        <w:rPr>
          <w:rFonts w:ascii="Times New Roman" w:hAnsi="Times New Roman" w:cs="Times New Roman"/>
          <w:sz w:val="24"/>
          <w:szCs w:val="24"/>
        </w:rPr>
        <w:t xml:space="preserve"> enabled a more comprehensive examination of the research issue, highlighting shortcomings in the legal regulation of the right to euthanasia, uncovering complex challenges, and identifying possible reasons for the failure to implement this right in certain areas. This method also made it possible to analyze difficulties arising from inconsistent legal regulation and divergent court rulings in identical legal disputes related to euthanasia, while also considering the approaches of different national legal systems.</w:t>
      </w:r>
    </w:p>
    <w:p w14:paraId="73B646EB" w14:textId="10AFACFA" w:rsidR="00025059" w:rsidRDefault="00025059" w:rsidP="0002505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Given the specificity of the research object, a qualitative research method—</w:t>
      </w:r>
      <w:r w:rsidRPr="001256EA">
        <w:rPr>
          <w:rFonts w:ascii="Times New Roman" w:hAnsi="Times New Roman" w:cs="Times New Roman"/>
          <w:i/>
          <w:iCs/>
          <w:sz w:val="24"/>
          <w:szCs w:val="24"/>
        </w:rPr>
        <w:t>a semi-structured interview</w:t>
      </w:r>
      <w:r w:rsidRPr="001256EA">
        <w:rPr>
          <w:rFonts w:ascii="Times New Roman" w:hAnsi="Times New Roman" w:cs="Times New Roman"/>
          <w:sz w:val="24"/>
          <w:szCs w:val="24"/>
        </w:rPr>
        <w:t>—was also applied. This method was selected because solving the problems addressed in the dissertation requires the consideration of multiple variables that are difficult to determine through theoretical analysis alone. The use of interviews ensured that the empirical research conducted in this work was not merely a data collection tool but an integral part of identifying and analyzing relevant factors.</w:t>
      </w:r>
      <w:r w:rsidR="00097501" w:rsidRPr="00097501">
        <w:t xml:space="preserve"> </w:t>
      </w:r>
      <w:r w:rsidR="00097501" w:rsidRPr="001277AC">
        <w:rPr>
          <w:rFonts w:ascii="Times New Roman" w:hAnsi="Times New Roman" w:cs="Times New Roman"/>
          <w:sz w:val="24"/>
          <w:szCs w:val="24"/>
        </w:rPr>
        <w:t>The semi-structured interview method allowed us to identify real problems faced by healthcare professionals, legal practitioners and other stakeholders when assessing the possibilities and limits of legal regulation of euthanasia. The empirical data collected helped to reveal how legal models formed in practice could be adapted in the Lithuanian legal system, considering its specifics, constitutional principles and public expectations.</w:t>
      </w:r>
    </w:p>
    <w:p w14:paraId="0CD066B2" w14:textId="51EBDAD2" w:rsidR="00097501" w:rsidRPr="001277AC" w:rsidRDefault="00097501" w:rsidP="00097501">
      <w:pPr>
        <w:spacing w:after="0" w:line="360" w:lineRule="auto"/>
        <w:ind w:firstLine="851"/>
        <w:jc w:val="both"/>
        <w:rPr>
          <w:rFonts w:ascii="Times New Roman" w:hAnsi="Times New Roman" w:cs="Times New Roman"/>
          <w:sz w:val="24"/>
          <w:szCs w:val="24"/>
        </w:rPr>
      </w:pPr>
      <w:r w:rsidRPr="001277AC">
        <w:rPr>
          <w:rFonts w:ascii="Times New Roman" w:hAnsi="Times New Roman" w:cs="Times New Roman"/>
          <w:sz w:val="24"/>
          <w:szCs w:val="24"/>
        </w:rPr>
        <w:t xml:space="preserve">In this thesis also was used a </w:t>
      </w:r>
      <w:r w:rsidRPr="001277AC">
        <w:rPr>
          <w:rFonts w:ascii="Times New Roman" w:hAnsi="Times New Roman" w:cs="Times New Roman"/>
          <w:i/>
          <w:iCs/>
          <w:sz w:val="24"/>
          <w:szCs w:val="24"/>
        </w:rPr>
        <w:t>computerized thematic analysis method</w:t>
      </w:r>
      <w:r w:rsidRPr="001277AC">
        <w:rPr>
          <w:rFonts w:ascii="Times New Roman" w:hAnsi="Times New Roman" w:cs="Times New Roman"/>
          <w:sz w:val="24"/>
          <w:szCs w:val="24"/>
        </w:rPr>
        <w:t xml:space="preserve"> to systematically identify and assess the main themes related to the interaction of the right to life and the right to die in legal sources. This method allowed processing large-scale data from international legal acts, case law and scientific literature, identifying recurring concepts, lines of argumentation and normative trends. During the analysis, thematic models were grouped according to their content and meaning, </w:t>
      </w:r>
      <w:r w:rsidR="00AC1534" w:rsidRPr="001277AC">
        <w:rPr>
          <w:rFonts w:ascii="Times New Roman" w:hAnsi="Times New Roman" w:cs="Times New Roman"/>
          <w:sz w:val="24"/>
          <w:szCs w:val="24"/>
        </w:rPr>
        <w:t>to</w:t>
      </w:r>
      <w:r w:rsidRPr="001277AC">
        <w:rPr>
          <w:rFonts w:ascii="Times New Roman" w:hAnsi="Times New Roman" w:cs="Times New Roman"/>
          <w:sz w:val="24"/>
          <w:szCs w:val="24"/>
        </w:rPr>
        <w:t xml:space="preserve"> reveal how the relationship between the imperative of protecting life and the principle of individual autonomy is formed in different legal systems. The results obtained form the basis for a comparative analysis and allow for a more objective assessment of the development of legal regulation of euthanasia and the prospects for its application in Lithuania.</w:t>
      </w:r>
    </w:p>
    <w:p w14:paraId="32CBA400" w14:textId="77777777" w:rsidR="00025059" w:rsidRPr="001256EA" w:rsidRDefault="00025059" w:rsidP="0002505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Altogether, the chosen methods influenced both the interpretation of the sources used in the study and the achievement of the research objectives and tasks. They provided a solid foundation for making well-reasoned and reliable generalizations, as well as for formulating valid conclusions.</w:t>
      </w:r>
    </w:p>
    <w:p w14:paraId="44325925" w14:textId="77777777" w:rsidR="007729D1" w:rsidRPr="001256EA" w:rsidRDefault="007729D1" w:rsidP="007729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b/>
          <w:bCs/>
          <w:sz w:val="24"/>
          <w:szCs w:val="24"/>
        </w:rPr>
        <w:lastRenderedPageBreak/>
        <w:t>Hypothesis:</w:t>
      </w:r>
      <w:r w:rsidRPr="001256EA">
        <w:rPr>
          <w:rFonts w:ascii="Times New Roman" w:hAnsi="Times New Roman" w:cs="Times New Roman"/>
          <w:sz w:val="24"/>
          <w:szCs w:val="24"/>
        </w:rPr>
        <w:t xml:space="preserve"> the dissertation has chosen a purposeful hypothesis, which aims to prove that the prospects for implementing the institute of euthanasia in Lithuania are limited by the lack of clear legal regulation and the currently valid constitutional and statutory doctrine of the protection of human life.</w:t>
      </w:r>
    </w:p>
    <w:p w14:paraId="001DDF62" w14:textId="77777777" w:rsidR="000B2237" w:rsidRPr="001256EA" w:rsidRDefault="000B2237" w:rsidP="000B2237">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b/>
          <w:bCs/>
          <w:sz w:val="24"/>
          <w:szCs w:val="24"/>
        </w:rPr>
        <w:t>Approbation of research results.</w:t>
      </w:r>
      <w:r w:rsidRPr="001256EA">
        <w:rPr>
          <w:rFonts w:ascii="Times New Roman" w:hAnsi="Times New Roman" w:cs="Times New Roman"/>
          <w:sz w:val="24"/>
          <w:szCs w:val="24"/>
        </w:rPr>
        <w:t xml:space="preserve"> The problems, main statements, conclusions and proposals related to the implementation of the individual right to euthanasia and the improvement of its legal regulation, examined in the dissertation, were published in peer-reviewed scientific articles, thus ensuring their scientific reliability and public dissemination in the academic community. The results of the research were also widely presented at international scientific-practical conferences in various countries - Lithuania, Latvia, Spain, Italy, Morocco and Turkey. Such international approbation of the research results made it possible not only to check the relevance of the statements formulated in the dissertation in the legal and cultural contexts of different countries, but also to obtain useful comments and critical insights from experts in various fields. A detailed list of publications and conference reports is provided in the next paragraph.</w:t>
      </w:r>
    </w:p>
    <w:p w14:paraId="028BFDEA" w14:textId="2BEFBEE1" w:rsidR="00025059" w:rsidRPr="001256EA" w:rsidRDefault="000B2237"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b/>
          <w:bCs/>
          <w:sz w:val="24"/>
          <w:szCs w:val="24"/>
        </w:rPr>
        <w:t>Structure of the dissertation.</w:t>
      </w:r>
      <w:r w:rsidRPr="001256EA">
        <w:rPr>
          <w:rFonts w:ascii="Times New Roman" w:hAnsi="Times New Roman" w:cs="Times New Roman"/>
          <w:sz w:val="24"/>
          <w:szCs w:val="24"/>
        </w:rPr>
        <w:t xml:space="preserve"> The work consists of an introduction, three main research chapters, and conclusions and recommendations. The introduction justifies the relevance of the topic, defines the problems to be solved, formulates the object of the study, goals, objectives and highlights scientific novelty. The main research questions and methodological provisions are also presented. The first part of the dissertation analyzes the concept of euthanasia, its historical development, ethical and legal aspects, which form the theoretical basis for further research. The second part examines the legal regulation of euthanasia at the national and international levels, identifies essential problems and discusses their causes. The third part is devoted to the empirical study - its methodology, strategy, analysis of the data obtained and the emerging problematic aspects. The work is concluded with conclusions and recommendations, which summarize the results of the study and present proposals for improving the regulation and implementation of the right to euthanasia.</w:t>
      </w:r>
    </w:p>
    <w:p w14:paraId="2C456102" w14:textId="77777777" w:rsidR="00CD214F" w:rsidRPr="001256EA" w:rsidRDefault="000C7C9B"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thesis's structural design is depicted in Figures 1 and 2.</w:t>
      </w:r>
    </w:p>
    <w:p w14:paraId="7A543004" w14:textId="00E1C773" w:rsidR="000C7C9B" w:rsidRPr="001256EA" w:rsidRDefault="000C7C9B"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dissertation begins with an </w:t>
      </w:r>
      <w:r w:rsidRPr="001256EA">
        <w:rPr>
          <w:rFonts w:ascii="Times New Roman" w:hAnsi="Times New Roman" w:cs="Times New Roman"/>
          <w:b/>
          <w:bCs/>
          <w:sz w:val="24"/>
          <w:szCs w:val="24"/>
        </w:rPr>
        <w:t>introduction</w:t>
      </w:r>
      <w:r w:rsidRPr="001256EA">
        <w:rPr>
          <w:rFonts w:ascii="Times New Roman" w:hAnsi="Times New Roman" w:cs="Times New Roman"/>
          <w:sz w:val="24"/>
          <w:szCs w:val="24"/>
        </w:rPr>
        <w:t xml:space="preserve"> as </w:t>
      </w:r>
      <w:r w:rsidRPr="001256EA">
        <w:rPr>
          <w:rFonts w:ascii="Times New Roman" w:hAnsi="Times New Roman" w:cs="Times New Roman"/>
          <w:b/>
          <w:bCs/>
          <w:sz w:val="24"/>
          <w:szCs w:val="24"/>
        </w:rPr>
        <w:t>Figure 1</w:t>
      </w:r>
      <w:r w:rsidRPr="001256EA">
        <w:rPr>
          <w:rFonts w:ascii="Times New Roman" w:hAnsi="Times New Roman" w:cs="Times New Roman"/>
          <w:sz w:val="24"/>
          <w:szCs w:val="24"/>
        </w:rPr>
        <w:t xml:space="preserve"> presents the prologue of the thesis, establishing the foundations of the </w:t>
      </w:r>
      <w:r w:rsidR="00ED3976" w:rsidRPr="001256EA">
        <w:rPr>
          <w:rFonts w:ascii="Times New Roman" w:hAnsi="Times New Roman" w:cs="Times New Roman"/>
          <w:sz w:val="24"/>
          <w:szCs w:val="24"/>
        </w:rPr>
        <w:t>study undertaken</w:t>
      </w:r>
      <w:r w:rsidRPr="001256EA">
        <w:rPr>
          <w:rFonts w:ascii="Times New Roman" w:hAnsi="Times New Roman" w:cs="Times New Roman"/>
          <w:sz w:val="24"/>
          <w:szCs w:val="24"/>
        </w:rPr>
        <w:t xml:space="preserve">. It begins by highlighting the interest encapsulated by the research topic, before addressing the problem statement to be investigated. Subsequently, the presentation turns towards the description of the scientific novelty brought by the thesis as well as its practical utility. The following subsection precisely delineates the subject, ambition, and objectives of the study, also incorporating the research </w:t>
      </w:r>
      <w:r w:rsidRPr="001256EA">
        <w:rPr>
          <w:rFonts w:ascii="Times New Roman" w:hAnsi="Times New Roman" w:cs="Times New Roman"/>
          <w:sz w:val="24"/>
          <w:szCs w:val="24"/>
        </w:rPr>
        <w:lastRenderedPageBreak/>
        <w:t>tasks to be accomplished. To conclude, this initial part formulates the research hypothesis and outlines the methods envisaged for the evaluation of the results. This preamble is intended to provide a complete and detailed understanding of the context, the main questioning and the legal contours defining this doctoral work.</w:t>
      </w:r>
    </w:p>
    <w:p w14:paraId="786E6E82" w14:textId="143F0BFB" w:rsidR="007C2C03" w:rsidRPr="001256EA" w:rsidRDefault="007C2C03" w:rsidP="007C2C03">
      <w:pPr>
        <w:spacing w:after="0" w:line="360" w:lineRule="auto"/>
        <w:jc w:val="both"/>
        <w:rPr>
          <w:rFonts w:ascii="Times New Roman" w:hAnsi="Times New Roman" w:cs="Times New Roman"/>
        </w:rPr>
      </w:pPr>
      <w:r w:rsidRPr="001256EA">
        <w:rPr>
          <w:rFonts w:ascii="Times New Roman" w:hAnsi="Times New Roman" w:cs="Times New Roman"/>
          <w:b/>
          <w:bCs/>
          <w:sz w:val="24"/>
          <w:szCs w:val="24"/>
        </w:rPr>
        <w:t>Figure 1.</w:t>
      </w:r>
      <w:r w:rsidRPr="001256EA">
        <w:rPr>
          <w:rFonts w:ascii="Times New Roman" w:hAnsi="Times New Roman" w:cs="Times New Roman"/>
          <w:sz w:val="24"/>
          <w:szCs w:val="24"/>
        </w:rPr>
        <w:t xml:space="preserve"> Introductory thesis framework (compiled by the author based on the researcher’s research results)</w:t>
      </w:r>
    </w:p>
    <w:p w14:paraId="0AC2F8E0" w14:textId="63C7CD57" w:rsidR="000C7C9B" w:rsidRPr="001256EA" w:rsidRDefault="000C7C9B" w:rsidP="00D54689">
      <w:pPr>
        <w:spacing w:after="0" w:line="360" w:lineRule="auto"/>
        <w:jc w:val="both"/>
        <w:rPr>
          <w:rFonts w:ascii="Times New Roman" w:hAnsi="Times New Roman" w:cs="Times New Roman"/>
        </w:rPr>
      </w:pPr>
      <w:r w:rsidRPr="001256EA">
        <w:rPr>
          <w:rFonts w:ascii="Times New Roman" w:hAnsi="Times New Roman" w:cs="Times New Roman"/>
          <w:noProof/>
          <w:sz w:val="24"/>
          <w:szCs w:val="24"/>
        </w:rPr>
        <mc:AlternateContent>
          <mc:Choice Requires="wpc">
            <w:drawing>
              <wp:anchor distT="0" distB="0" distL="114300" distR="114300" simplePos="0" relativeHeight="251687936" behindDoc="0" locked="0" layoutInCell="1" allowOverlap="1" wp14:anchorId="0289F04F" wp14:editId="1FC0FA3E">
                <wp:simplePos x="0" y="0"/>
                <wp:positionH relativeFrom="column">
                  <wp:posOffset>499110</wp:posOffset>
                </wp:positionH>
                <wp:positionV relativeFrom="paragraph">
                  <wp:posOffset>0</wp:posOffset>
                </wp:positionV>
                <wp:extent cx="4480560" cy="2866390"/>
                <wp:effectExtent l="0" t="0" r="0" b="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 name="Rectangle 9"/>
                        <wps:cNvSpPr/>
                        <wps:spPr>
                          <a:xfrm>
                            <a:off x="19050" y="0"/>
                            <a:ext cx="4360985" cy="283066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BEA5F" w14:textId="77777777" w:rsidR="000C7C9B" w:rsidRPr="00DF64F9" w:rsidRDefault="000C7C9B" w:rsidP="000C7C9B">
                              <w:pPr>
                                <w:jc w:val="center"/>
                                <w:rPr>
                                  <w:rFonts w:ascii="Times New Roman" w:hAnsi="Times New Roman" w:cs="Times New Roman"/>
                                  <w:b/>
                                  <w:bCs/>
                                  <w:color w:val="000000" w:themeColor="text1"/>
                                  <w:sz w:val="32"/>
                                  <w:szCs w:val="32"/>
                                </w:rPr>
                              </w:pPr>
                              <w:r w:rsidRPr="00DF64F9">
                                <w:rPr>
                                  <w:rFonts w:ascii="Times New Roman" w:hAnsi="Times New Roman" w:cs="Times New Roman"/>
                                  <w:b/>
                                  <w:bCs/>
                                  <w:color w:val="000000" w:themeColor="text1"/>
                                  <w:sz w:val="32"/>
                                  <w:szCs w:val="32"/>
                                </w:rPr>
                                <w:t>Introduction</w:t>
                              </w:r>
                            </w:p>
                            <w:p w14:paraId="57AAFBE0" w14:textId="77777777" w:rsidR="000C7C9B" w:rsidRPr="00A91F27" w:rsidRDefault="000C7C9B" w:rsidP="000C7C9B">
                              <w:pPr>
                                <w:jc w:val="center"/>
                                <w:rPr>
                                  <w:rFonts w:ascii="Times New Roman" w:hAnsi="Times New Roman" w:cs="Times New Roman"/>
                                  <w:b/>
                                  <w:bCs/>
                                  <w:color w:val="000000" w:themeColor="text1"/>
                                  <w:sz w:val="32"/>
                                  <w:szCs w:val="32"/>
                                </w:rPr>
                              </w:pPr>
                            </w:p>
                            <w:p w14:paraId="558DB783" w14:textId="77777777" w:rsidR="000C7C9B" w:rsidRDefault="000C7C9B" w:rsidP="000C7C9B">
                              <w:pPr>
                                <w:rPr>
                                  <w:rFonts w:ascii="Times New Roman" w:hAnsi="Times New Roman" w:cs="Times New Roman"/>
                                  <w:b/>
                                  <w:bCs/>
                                  <w:color w:val="000000" w:themeColor="text1"/>
                                  <w:sz w:val="28"/>
                                  <w:szCs w:val="28"/>
                                </w:rPr>
                              </w:pPr>
                            </w:p>
                            <w:p w14:paraId="38C5EF16" w14:textId="77777777" w:rsidR="000C7C9B" w:rsidRDefault="000C7C9B" w:rsidP="000C7C9B">
                              <w:pPr>
                                <w:rPr>
                                  <w:rFonts w:ascii="Times New Roman" w:hAnsi="Times New Roman" w:cs="Times New Roman"/>
                                  <w:b/>
                                  <w:bCs/>
                                  <w:color w:val="000000" w:themeColor="text1"/>
                                  <w:sz w:val="28"/>
                                  <w:szCs w:val="28"/>
                                </w:rPr>
                              </w:pPr>
                            </w:p>
                            <w:p w14:paraId="1C71F84F" w14:textId="77777777" w:rsidR="000C7C9B" w:rsidRDefault="000C7C9B" w:rsidP="000C7C9B">
                              <w:pPr>
                                <w:rPr>
                                  <w:rFonts w:ascii="Times New Roman" w:hAnsi="Times New Roman" w:cs="Times New Roman"/>
                                  <w:b/>
                                  <w:bCs/>
                                  <w:color w:val="000000" w:themeColor="text1"/>
                                  <w:sz w:val="28"/>
                                  <w:szCs w:val="28"/>
                                </w:rPr>
                              </w:pPr>
                            </w:p>
                            <w:p w14:paraId="5B4FB5F4" w14:textId="77777777" w:rsidR="000C7C9B" w:rsidRDefault="000C7C9B" w:rsidP="000C7C9B">
                              <w:pPr>
                                <w:rPr>
                                  <w:rFonts w:ascii="Times New Roman" w:hAnsi="Times New Roman" w:cs="Times New Roman"/>
                                  <w:b/>
                                  <w:bCs/>
                                  <w:color w:val="000000" w:themeColor="text1"/>
                                  <w:sz w:val="28"/>
                                  <w:szCs w:val="28"/>
                                </w:rPr>
                              </w:pPr>
                            </w:p>
                            <w:p w14:paraId="1C0447E1" w14:textId="77777777" w:rsidR="000C7C9B" w:rsidRDefault="000C7C9B" w:rsidP="000C7C9B">
                              <w:pPr>
                                <w:rPr>
                                  <w:rFonts w:ascii="Times New Roman" w:hAnsi="Times New Roman" w:cs="Times New Roman"/>
                                  <w:b/>
                                  <w:bCs/>
                                  <w:color w:val="000000" w:themeColor="text1"/>
                                  <w:sz w:val="28"/>
                                  <w:szCs w:val="28"/>
                                </w:rPr>
                              </w:pPr>
                            </w:p>
                            <w:p w14:paraId="6B464E57" w14:textId="77777777" w:rsidR="000C7C9B" w:rsidRDefault="000C7C9B" w:rsidP="000C7C9B">
                              <w:pPr>
                                <w:rPr>
                                  <w:rFonts w:ascii="Times New Roman" w:hAnsi="Times New Roman" w:cs="Times New Roman"/>
                                  <w:b/>
                                  <w:bCs/>
                                  <w:color w:val="000000" w:themeColor="text1"/>
                                  <w:sz w:val="28"/>
                                  <w:szCs w:val="28"/>
                                </w:rPr>
                              </w:pPr>
                            </w:p>
                            <w:p w14:paraId="03384403" w14:textId="77777777" w:rsidR="000C7C9B" w:rsidRDefault="000C7C9B" w:rsidP="000C7C9B">
                              <w:pPr>
                                <w:rPr>
                                  <w:rFonts w:ascii="Times New Roman" w:hAnsi="Times New Roman" w:cs="Times New Roman"/>
                                  <w:b/>
                                  <w:bCs/>
                                  <w:color w:val="000000" w:themeColor="text1"/>
                                  <w:sz w:val="28"/>
                                  <w:szCs w:val="28"/>
                                </w:rPr>
                              </w:pPr>
                            </w:p>
                            <w:p w14:paraId="2095E9DA" w14:textId="77777777" w:rsidR="000C7C9B" w:rsidRPr="00A91F27" w:rsidRDefault="000C7C9B" w:rsidP="000C7C9B">
                              <w:pPr>
                                <w:rPr>
                                  <w:rFonts w:ascii="Times New Roman" w:hAnsi="Times New Roman" w:cs="Times New Roman"/>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71997" y="336645"/>
                            <a:ext cx="4281671" cy="2449243"/>
                          </a:xfrm>
                          <a:prstGeom prst="roundRect">
                            <a:avLst>
                              <a:gd name="adj" fmla="val 33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117226" y="372371"/>
                            <a:ext cx="2698175" cy="9992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5AE6B" w14:textId="77777777" w:rsidR="000C7C9B" w:rsidRPr="00B76D28" w:rsidRDefault="000C7C9B" w:rsidP="000C7C9B">
                              <w:pPr>
                                <w:pStyle w:val="ListParagraph"/>
                                <w:numPr>
                                  <w:ilvl w:val="0"/>
                                  <w:numId w:val="32"/>
                                </w:numPr>
                                <w:ind w:left="90" w:hanging="180"/>
                                <w:rPr>
                                  <w:rStyle w:val="Strong"/>
                                  <w:rFonts w:ascii="Times New Roman" w:hAnsi="Times New Roman" w:cs="Times New Roman"/>
                                  <w:b w:val="0"/>
                                  <w:bCs w:val="0"/>
                                  <w:color w:val="000000" w:themeColor="text1"/>
                                  <w:sz w:val="24"/>
                                  <w:szCs w:val="24"/>
                                </w:rPr>
                              </w:pPr>
                              <w:r w:rsidRPr="00B76D28">
                                <w:rPr>
                                  <w:rStyle w:val="Strong"/>
                                  <w:rFonts w:ascii="Times New Roman" w:hAnsi="Times New Roman" w:cs="Times New Roman"/>
                                  <w:b w:val="0"/>
                                  <w:bCs w:val="0"/>
                                  <w:color w:val="000000" w:themeColor="text1"/>
                                  <w:sz w:val="24"/>
                                  <w:szCs w:val="24"/>
                                </w:rPr>
                                <w:t>Relevance of research topic</w:t>
                              </w:r>
                              <w:r>
                                <w:rPr>
                                  <w:rStyle w:val="Strong"/>
                                  <w:rFonts w:ascii="Times New Roman" w:hAnsi="Times New Roman" w:cs="Times New Roman"/>
                                  <w:b w:val="0"/>
                                  <w:bCs w:val="0"/>
                                  <w:color w:val="000000" w:themeColor="text1"/>
                                  <w:sz w:val="24"/>
                                  <w:szCs w:val="24"/>
                                </w:rPr>
                                <w:t>.</w:t>
                              </w:r>
                            </w:p>
                            <w:p w14:paraId="21A12A18"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Formulation of research problematic</w:t>
                              </w:r>
                              <w:r>
                                <w:rPr>
                                  <w:rFonts w:ascii="Times New Roman" w:hAnsi="Times New Roman" w:cs="Times New Roman"/>
                                  <w:color w:val="000000" w:themeColor="text1"/>
                                  <w:sz w:val="24"/>
                                  <w:szCs w:val="24"/>
                                </w:rPr>
                                <w:t>.</w:t>
                              </w:r>
                            </w:p>
                            <w:p w14:paraId="3ED8B1C9"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Scientific originality of the thesis</w:t>
                              </w:r>
                              <w:r>
                                <w:rPr>
                                  <w:rFonts w:ascii="Times New Roman" w:hAnsi="Times New Roman" w:cs="Times New Roman"/>
                                  <w:color w:val="000000" w:themeColor="text1"/>
                                  <w:sz w:val="24"/>
                                  <w:szCs w:val="24"/>
                                </w:rPr>
                                <w:t>.</w:t>
                              </w:r>
                            </w:p>
                            <w:p w14:paraId="1A294869"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Practical significance of the thesis</w:t>
                              </w:r>
                              <w:r>
                                <w:rPr>
                                  <w:rFonts w:ascii="Times New Roman" w:hAnsi="Times New Roman" w:cs="Times New Roman"/>
                                  <w:color w:val="000000" w:themeColor="text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117270" y="1424296"/>
                            <a:ext cx="2727068" cy="72102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DE2E3"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object of the research</w:t>
                              </w:r>
                              <w:r>
                                <w:rPr>
                                  <w:rFonts w:ascii="Times New Roman" w:hAnsi="Times New Roman" w:cs="Times New Roman"/>
                                  <w:color w:val="000000" w:themeColor="text1"/>
                                  <w:sz w:val="24"/>
                                  <w:szCs w:val="24"/>
                                </w:rPr>
                                <w:t>.</w:t>
                              </w:r>
                            </w:p>
                            <w:p w14:paraId="6C061FC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aim and objectives of the research</w:t>
                              </w:r>
                              <w:r>
                                <w:rPr>
                                  <w:rFonts w:ascii="Times New Roman" w:hAnsi="Times New Roman" w:cs="Times New Roman"/>
                                  <w:color w:val="000000" w:themeColor="text1"/>
                                  <w:sz w:val="24"/>
                                  <w:szCs w:val="24"/>
                                </w:rPr>
                                <w:t>.</w:t>
                              </w:r>
                            </w:p>
                            <w:p w14:paraId="41FE75D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Research tasks</w:t>
                              </w:r>
                              <w:r>
                                <w:rPr>
                                  <w:rFonts w:ascii="Times New Roman" w:hAnsi="Times New Roman" w:cs="Times New Roman"/>
                                  <w:color w:val="000000" w:themeColor="text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117648" y="2188216"/>
                            <a:ext cx="2726690" cy="5723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DFFD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hypothesis and the approbation of the research results</w:t>
                              </w:r>
                              <w:r>
                                <w:rPr>
                                  <w:rFonts w:ascii="Times New Roman" w:hAnsi="Times New Roman" w:cs="Times New Roman"/>
                                  <w:color w:val="000000" w:themeColor="text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2760488" y="1041510"/>
                            <a:ext cx="1691936" cy="90736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0291C" w14:textId="77777777" w:rsidR="000C7C9B" w:rsidRPr="00A91F27" w:rsidRDefault="000C7C9B" w:rsidP="000C7C9B">
                              <w:pPr>
                                <w:spacing w:after="0" w:line="256" w:lineRule="auto"/>
                                <w:jc w:val="center"/>
                                <w:rPr>
                                  <w:rFonts w:ascii="Times New Roman" w:eastAsia="Calibri" w:hAnsi="Times New Roman" w:cs="Times New Roman"/>
                                  <w:b/>
                                  <w:bCs/>
                                  <w:i/>
                                  <w:iCs/>
                                  <w:color w:val="000000" w:themeColor="text1"/>
                                  <w:sz w:val="28"/>
                                  <w:szCs w:val="28"/>
                                </w:rPr>
                              </w:pPr>
                              <w:r w:rsidRPr="00A91F27">
                                <w:rPr>
                                  <w:rStyle w:val="Strong"/>
                                  <w:rFonts w:ascii="Times New Roman" w:hAnsi="Times New Roman" w:cs="Times New Roman"/>
                                  <w:b w:val="0"/>
                                  <w:bCs w:val="0"/>
                                  <w:i/>
                                  <w:iCs/>
                                  <w:color w:val="000000" w:themeColor="text1"/>
                                  <w:sz w:val="28"/>
                                  <w:szCs w:val="28"/>
                                </w:rPr>
                                <w:t>Contextualization, problematization, and delimitation.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289F04F" id="Canvas 7" o:spid="_x0000_s1026" editas="canvas" style="position:absolute;left:0;text-align:left;margin-left:39.3pt;margin-top:0;width:352.8pt;height:225.7pt;z-index:251687936;mso-width-relative:margin;mso-height-relative:margin" coordsize="44805,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805;height:28663;visibility:visible;mso-wrap-style:square" filled="t">
                  <v:fill o:detectmouseclick="t"/>
                  <v:path o:connecttype="none"/>
                </v:shape>
                <v:rect id="Rectangle 9" o:spid="_x0000_s1028" style="position:absolute;left:190;width:43610;height:2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" fillcolor="#f2f2f2 [3052]" stroked="f" strokeweight="1pt">
                  <v:textbox>
                    <w:txbxContent>
                      <w:p w14:paraId="098BEA5F" w14:textId="77777777" w:rsidR="000C7C9B" w:rsidRPr="00DF64F9" w:rsidRDefault="000C7C9B" w:rsidP="000C7C9B">
                        <w:pPr>
                          <w:jc w:val="center"/>
                          <w:rPr>
                            <w:rFonts w:ascii="Times New Roman" w:hAnsi="Times New Roman" w:cs="Times New Roman"/>
                            <w:b/>
                            <w:bCs/>
                            <w:color w:val="000000" w:themeColor="text1"/>
                            <w:sz w:val="32"/>
                            <w:szCs w:val="32"/>
                          </w:rPr>
                        </w:pPr>
                        <w:r w:rsidRPr="00DF64F9">
                          <w:rPr>
                            <w:rFonts w:ascii="Times New Roman" w:hAnsi="Times New Roman" w:cs="Times New Roman"/>
                            <w:b/>
                            <w:bCs/>
                            <w:color w:val="000000" w:themeColor="text1"/>
                            <w:sz w:val="32"/>
                            <w:szCs w:val="32"/>
                          </w:rPr>
                          <w:t>Introduction</w:t>
                        </w:r>
                      </w:p>
                      <w:p w14:paraId="57AAFBE0" w14:textId="77777777" w:rsidR="000C7C9B" w:rsidRPr="00A91F27" w:rsidRDefault="000C7C9B" w:rsidP="000C7C9B">
                        <w:pPr>
                          <w:jc w:val="center"/>
                          <w:rPr>
                            <w:rFonts w:ascii="Times New Roman" w:hAnsi="Times New Roman" w:cs="Times New Roman"/>
                            <w:b/>
                            <w:bCs/>
                            <w:color w:val="000000" w:themeColor="text1"/>
                            <w:sz w:val="32"/>
                            <w:szCs w:val="32"/>
                          </w:rPr>
                        </w:pPr>
                      </w:p>
                      <w:p w14:paraId="558DB783" w14:textId="77777777" w:rsidR="000C7C9B" w:rsidRDefault="000C7C9B" w:rsidP="000C7C9B">
                        <w:pPr>
                          <w:rPr>
                            <w:rFonts w:ascii="Times New Roman" w:hAnsi="Times New Roman" w:cs="Times New Roman"/>
                            <w:b/>
                            <w:bCs/>
                            <w:color w:val="000000" w:themeColor="text1"/>
                            <w:sz w:val="28"/>
                            <w:szCs w:val="28"/>
                          </w:rPr>
                        </w:pPr>
                      </w:p>
                      <w:p w14:paraId="38C5EF16" w14:textId="77777777" w:rsidR="000C7C9B" w:rsidRDefault="000C7C9B" w:rsidP="000C7C9B">
                        <w:pPr>
                          <w:rPr>
                            <w:rFonts w:ascii="Times New Roman" w:hAnsi="Times New Roman" w:cs="Times New Roman"/>
                            <w:b/>
                            <w:bCs/>
                            <w:color w:val="000000" w:themeColor="text1"/>
                            <w:sz w:val="28"/>
                            <w:szCs w:val="28"/>
                          </w:rPr>
                        </w:pPr>
                      </w:p>
                      <w:p w14:paraId="1C71F84F" w14:textId="77777777" w:rsidR="000C7C9B" w:rsidRDefault="000C7C9B" w:rsidP="000C7C9B">
                        <w:pPr>
                          <w:rPr>
                            <w:rFonts w:ascii="Times New Roman" w:hAnsi="Times New Roman" w:cs="Times New Roman"/>
                            <w:b/>
                            <w:bCs/>
                            <w:color w:val="000000" w:themeColor="text1"/>
                            <w:sz w:val="28"/>
                            <w:szCs w:val="28"/>
                          </w:rPr>
                        </w:pPr>
                      </w:p>
                      <w:p w14:paraId="5B4FB5F4" w14:textId="77777777" w:rsidR="000C7C9B" w:rsidRDefault="000C7C9B" w:rsidP="000C7C9B">
                        <w:pPr>
                          <w:rPr>
                            <w:rFonts w:ascii="Times New Roman" w:hAnsi="Times New Roman" w:cs="Times New Roman"/>
                            <w:b/>
                            <w:bCs/>
                            <w:color w:val="000000" w:themeColor="text1"/>
                            <w:sz w:val="28"/>
                            <w:szCs w:val="28"/>
                          </w:rPr>
                        </w:pPr>
                      </w:p>
                      <w:p w14:paraId="1C0447E1" w14:textId="77777777" w:rsidR="000C7C9B" w:rsidRDefault="000C7C9B" w:rsidP="000C7C9B">
                        <w:pPr>
                          <w:rPr>
                            <w:rFonts w:ascii="Times New Roman" w:hAnsi="Times New Roman" w:cs="Times New Roman"/>
                            <w:b/>
                            <w:bCs/>
                            <w:color w:val="000000" w:themeColor="text1"/>
                            <w:sz w:val="28"/>
                            <w:szCs w:val="28"/>
                          </w:rPr>
                        </w:pPr>
                      </w:p>
                      <w:p w14:paraId="6B464E57" w14:textId="77777777" w:rsidR="000C7C9B" w:rsidRDefault="000C7C9B" w:rsidP="000C7C9B">
                        <w:pPr>
                          <w:rPr>
                            <w:rFonts w:ascii="Times New Roman" w:hAnsi="Times New Roman" w:cs="Times New Roman"/>
                            <w:b/>
                            <w:bCs/>
                            <w:color w:val="000000" w:themeColor="text1"/>
                            <w:sz w:val="28"/>
                            <w:szCs w:val="28"/>
                          </w:rPr>
                        </w:pPr>
                      </w:p>
                      <w:p w14:paraId="03384403" w14:textId="77777777" w:rsidR="000C7C9B" w:rsidRDefault="000C7C9B" w:rsidP="000C7C9B">
                        <w:pPr>
                          <w:rPr>
                            <w:rFonts w:ascii="Times New Roman" w:hAnsi="Times New Roman" w:cs="Times New Roman"/>
                            <w:b/>
                            <w:bCs/>
                            <w:color w:val="000000" w:themeColor="text1"/>
                            <w:sz w:val="28"/>
                            <w:szCs w:val="28"/>
                          </w:rPr>
                        </w:pPr>
                      </w:p>
                      <w:p w14:paraId="2095E9DA" w14:textId="77777777" w:rsidR="000C7C9B" w:rsidRPr="00A91F27" w:rsidRDefault="000C7C9B" w:rsidP="000C7C9B">
                        <w:pPr>
                          <w:rPr>
                            <w:rFonts w:ascii="Times New Roman" w:hAnsi="Times New Roman" w:cs="Times New Roman"/>
                            <w:b/>
                            <w:bCs/>
                            <w:color w:val="000000" w:themeColor="text1"/>
                            <w:sz w:val="28"/>
                            <w:szCs w:val="28"/>
                          </w:rPr>
                        </w:pPr>
                      </w:p>
                    </w:txbxContent>
                  </v:textbox>
                </v:rect>
                <v:roundrect id="Rectangle: Rounded Corners 8" o:spid="_x0000_s1029" style="position:absolute;left:719;top:3366;width:42817;height:24492;visibility:visible;mso-wrap-style:square;v-text-anchor:middle" arcsize="2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" filled="f" strokecolor="black [3213]" strokeweight="1pt">
                  <v:stroke joinstyle="miter"/>
                </v:roundrect>
                <v:roundrect id="Rectangle: Rounded Corners 28" o:spid="_x0000_s1030" style="position:absolute;left:1172;top:3723;width:26982;height:9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" filled="f" strokecolor="black [3213]" strokeweight="1pt">
                  <v:stroke joinstyle="miter"/>
                  <v:textbox>
                    <w:txbxContent>
                      <w:p w14:paraId="5525AE6B" w14:textId="77777777" w:rsidR="000C7C9B" w:rsidRPr="00B76D28" w:rsidRDefault="000C7C9B" w:rsidP="000C7C9B">
                        <w:pPr>
                          <w:pStyle w:val="ListParagraph"/>
                          <w:numPr>
                            <w:ilvl w:val="0"/>
                            <w:numId w:val="32"/>
                          </w:numPr>
                          <w:ind w:left="90" w:hanging="180"/>
                          <w:rPr>
                            <w:rStyle w:val="Strong"/>
                            <w:rFonts w:ascii="Times New Roman" w:hAnsi="Times New Roman" w:cs="Times New Roman"/>
                            <w:b w:val="0"/>
                            <w:bCs w:val="0"/>
                            <w:color w:val="000000" w:themeColor="text1"/>
                            <w:sz w:val="24"/>
                            <w:szCs w:val="24"/>
                          </w:rPr>
                        </w:pPr>
                        <w:r w:rsidRPr="00B76D28">
                          <w:rPr>
                            <w:rStyle w:val="Strong"/>
                            <w:rFonts w:ascii="Times New Roman" w:hAnsi="Times New Roman" w:cs="Times New Roman"/>
                            <w:b w:val="0"/>
                            <w:bCs w:val="0"/>
                            <w:color w:val="000000" w:themeColor="text1"/>
                            <w:sz w:val="24"/>
                            <w:szCs w:val="24"/>
                          </w:rPr>
                          <w:t>Relevance of research topic</w:t>
                        </w:r>
                        <w:r>
                          <w:rPr>
                            <w:rStyle w:val="Strong"/>
                            <w:rFonts w:ascii="Times New Roman" w:hAnsi="Times New Roman" w:cs="Times New Roman"/>
                            <w:b w:val="0"/>
                            <w:bCs w:val="0"/>
                            <w:color w:val="000000" w:themeColor="text1"/>
                            <w:sz w:val="24"/>
                            <w:szCs w:val="24"/>
                          </w:rPr>
                          <w:t>.</w:t>
                        </w:r>
                      </w:p>
                      <w:p w14:paraId="21A12A18"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Formulation of research problematic</w:t>
                        </w:r>
                        <w:r>
                          <w:rPr>
                            <w:rFonts w:ascii="Times New Roman" w:hAnsi="Times New Roman" w:cs="Times New Roman"/>
                            <w:color w:val="000000" w:themeColor="text1"/>
                            <w:sz w:val="24"/>
                            <w:szCs w:val="24"/>
                          </w:rPr>
                          <w:t>.</w:t>
                        </w:r>
                      </w:p>
                      <w:p w14:paraId="3ED8B1C9"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Scientific originality of the thesis</w:t>
                        </w:r>
                        <w:r>
                          <w:rPr>
                            <w:rFonts w:ascii="Times New Roman" w:hAnsi="Times New Roman" w:cs="Times New Roman"/>
                            <w:color w:val="000000" w:themeColor="text1"/>
                            <w:sz w:val="24"/>
                            <w:szCs w:val="24"/>
                          </w:rPr>
                          <w:t>.</w:t>
                        </w:r>
                      </w:p>
                      <w:p w14:paraId="1A294869"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Practical significance of the thesis</w:t>
                        </w:r>
                        <w:r>
                          <w:rPr>
                            <w:rFonts w:ascii="Times New Roman" w:hAnsi="Times New Roman" w:cs="Times New Roman"/>
                            <w:color w:val="000000" w:themeColor="text1"/>
                            <w:sz w:val="24"/>
                            <w:szCs w:val="24"/>
                          </w:rPr>
                          <w:t>.</w:t>
                        </w:r>
                      </w:p>
                    </w:txbxContent>
                  </v:textbox>
                </v:roundrect>
                <v:roundrect id="Rectangle: Rounded Corners 29" o:spid="_x0000_s1031" style="position:absolute;left:1172;top:14242;width:27271;height:7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" filled="f" strokecolor="black [3213]" strokeweight="1pt">
                  <v:stroke joinstyle="miter"/>
                  <v:textbox>
                    <w:txbxContent>
                      <w:p w14:paraId="694DE2E3"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object of the research</w:t>
                        </w:r>
                        <w:r>
                          <w:rPr>
                            <w:rFonts w:ascii="Times New Roman" w:hAnsi="Times New Roman" w:cs="Times New Roman"/>
                            <w:color w:val="000000" w:themeColor="text1"/>
                            <w:sz w:val="24"/>
                            <w:szCs w:val="24"/>
                          </w:rPr>
                          <w:t>.</w:t>
                        </w:r>
                      </w:p>
                      <w:p w14:paraId="6C061FC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aim and objectives of the research</w:t>
                        </w:r>
                        <w:r>
                          <w:rPr>
                            <w:rFonts w:ascii="Times New Roman" w:hAnsi="Times New Roman" w:cs="Times New Roman"/>
                            <w:color w:val="000000" w:themeColor="text1"/>
                            <w:sz w:val="24"/>
                            <w:szCs w:val="24"/>
                          </w:rPr>
                          <w:t>.</w:t>
                        </w:r>
                      </w:p>
                      <w:p w14:paraId="41FE75D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Research tasks</w:t>
                        </w:r>
                        <w:r>
                          <w:rPr>
                            <w:rFonts w:ascii="Times New Roman" w:hAnsi="Times New Roman" w:cs="Times New Roman"/>
                            <w:color w:val="000000" w:themeColor="text1"/>
                            <w:sz w:val="24"/>
                            <w:szCs w:val="24"/>
                          </w:rPr>
                          <w:t>.</w:t>
                        </w:r>
                      </w:p>
                    </w:txbxContent>
                  </v:textbox>
                </v:roundrect>
                <v:roundrect id="Rectangle: Rounded Corners 30" o:spid="_x0000_s1032" style="position:absolute;left:1176;top:21882;width:27267;height:5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" filled="f" strokecolor="black [3213]" strokeweight="1pt">
                  <v:stroke joinstyle="miter"/>
                  <v:textbox>
                    <w:txbxContent>
                      <w:p w14:paraId="36ADFFDA" w14:textId="77777777" w:rsidR="000C7C9B" w:rsidRPr="00B76D28" w:rsidRDefault="000C7C9B" w:rsidP="000C7C9B">
                        <w:pPr>
                          <w:pStyle w:val="ListParagraph"/>
                          <w:numPr>
                            <w:ilvl w:val="0"/>
                            <w:numId w:val="32"/>
                          </w:numPr>
                          <w:ind w:left="90" w:hanging="180"/>
                          <w:rPr>
                            <w:rFonts w:ascii="Times New Roman" w:hAnsi="Times New Roman" w:cs="Times New Roman"/>
                            <w:color w:val="000000" w:themeColor="text1"/>
                            <w:sz w:val="24"/>
                            <w:szCs w:val="24"/>
                          </w:rPr>
                        </w:pPr>
                        <w:r w:rsidRPr="00B76D28">
                          <w:rPr>
                            <w:rFonts w:ascii="Times New Roman" w:hAnsi="Times New Roman" w:cs="Times New Roman"/>
                            <w:color w:val="000000" w:themeColor="text1"/>
                            <w:sz w:val="24"/>
                            <w:szCs w:val="24"/>
                          </w:rPr>
                          <w:t>The hypothesis and the approbation of the research results</w:t>
                        </w:r>
                        <w:r>
                          <w:rPr>
                            <w:rFonts w:ascii="Times New Roman" w:hAnsi="Times New Roman" w:cs="Times New Roman"/>
                            <w:color w:val="000000" w:themeColor="text1"/>
                            <w:sz w:val="24"/>
                            <w:szCs w:val="24"/>
                          </w:rPr>
                          <w:t>.</w:t>
                        </w:r>
                      </w:p>
                    </w:txbxContent>
                  </v:textbox>
                </v:roundrect>
                <v:roundrect id="Rectangle: Rounded Corners 31" o:spid="_x0000_s1033" style="position:absolute;left:27604;top:10415;width:16920;height: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" filled="f" stroked="f" strokeweight="1pt">
                  <v:stroke joinstyle="miter"/>
                  <v:textbox>
                    <w:txbxContent>
                      <w:p w14:paraId="6210291C" w14:textId="77777777" w:rsidR="000C7C9B" w:rsidRPr="00A91F27" w:rsidRDefault="000C7C9B" w:rsidP="000C7C9B">
                        <w:pPr>
                          <w:spacing w:after="0" w:line="256" w:lineRule="auto"/>
                          <w:jc w:val="center"/>
                          <w:rPr>
                            <w:rFonts w:ascii="Times New Roman" w:eastAsia="Calibri" w:hAnsi="Times New Roman" w:cs="Times New Roman"/>
                            <w:b/>
                            <w:bCs/>
                            <w:i/>
                            <w:iCs/>
                            <w:color w:val="000000" w:themeColor="text1"/>
                            <w:sz w:val="28"/>
                            <w:szCs w:val="28"/>
                          </w:rPr>
                        </w:pPr>
                        <w:r w:rsidRPr="00A91F27">
                          <w:rPr>
                            <w:rStyle w:val="Strong"/>
                            <w:rFonts w:ascii="Times New Roman" w:hAnsi="Times New Roman" w:cs="Times New Roman"/>
                            <w:b w:val="0"/>
                            <w:bCs w:val="0"/>
                            <w:i/>
                            <w:iCs/>
                            <w:color w:val="000000" w:themeColor="text1"/>
                            <w:sz w:val="28"/>
                            <w:szCs w:val="28"/>
                          </w:rPr>
                          <w:t>Contextualization, problematization, and delimitation.</w:t>
                        </w:r>
                      </w:p>
                    </w:txbxContent>
                  </v:textbox>
                </v:roundrect>
                <w10:wrap type="topAndBottom"/>
              </v:group>
            </w:pict>
          </mc:Fallback>
        </mc:AlternateContent>
      </w:r>
    </w:p>
    <w:p w14:paraId="45D66224" w14:textId="132F1D51" w:rsidR="000C7C9B" w:rsidRPr="001256EA" w:rsidRDefault="000C7C9B" w:rsidP="00D5468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 2 presents the theoretical and empirical structure of the thesis, which is divided into two main axes.</w:t>
      </w:r>
      <w:r w:rsidR="00D54689" w:rsidRPr="001256EA">
        <w:rPr>
          <w:rFonts w:ascii="Times New Roman" w:hAnsi="Times New Roman" w:cs="Times New Roman"/>
          <w:sz w:val="24"/>
          <w:szCs w:val="24"/>
        </w:rPr>
        <w:t xml:space="preserve"> </w:t>
      </w:r>
      <w:r w:rsidRPr="001256EA">
        <w:rPr>
          <w:rFonts w:ascii="Times New Roman" w:hAnsi="Times New Roman" w:cs="Times New Roman"/>
          <w:sz w:val="24"/>
          <w:szCs w:val="24"/>
        </w:rPr>
        <w:t xml:space="preserve">The first chapter, Theoretical background of the euthanasia institute in the context of international law, develops the conceptual and legal foundations of euthanasia. It examines how </w:t>
      </w:r>
      <w:r w:rsidR="000F53EA" w:rsidRPr="001256EA">
        <w:rPr>
          <w:rFonts w:ascii="Times New Roman" w:hAnsi="Times New Roman" w:cs="Times New Roman"/>
          <w:sz w:val="24"/>
          <w:szCs w:val="24"/>
        </w:rPr>
        <w:t>practice</w:t>
      </w:r>
      <w:r w:rsidRPr="001256EA">
        <w:rPr>
          <w:rFonts w:ascii="Times New Roman" w:hAnsi="Times New Roman" w:cs="Times New Roman"/>
          <w:sz w:val="24"/>
          <w:szCs w:val="24"/>
        </w:rPr>
        <w:t xml:space="preserve"> is institutionalized within the broader framework of human rights, particularly the tension between the right to life and the right to die. The chapter also reviews legal principles, international guidelines, and the social implications of euthanasia, concluding with a computational thematic analysis that offers an overview of the main debates.</w:t>
      </w:r>
    </w:p>
    <w:p w14:paraId="4C7FE880" w14:textId="77777777" w:rsidR="000C7C9B" w:rsidRPr="001256EA" w:rsidRDefault="000C7C9B"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second chapter, the implementation of the euthanasia institute in the context of national and international law and identification of the main problems, moves from theory to practice. It assesses national legal acts and their application, as well as international legal instruments, distinguishing between European Union frameworks and those outside the EU. It also identifies the main limitations and restrictions placed on the right to euthanasia and explores the legal consequences and responsibilities arising from such restrictions.</w:t>
      </w:r>
    </w:p>
    <w:p w14:paraId="62076624" w14:textId="77777777" w:rsidR="000C7C9B" w:rsidRPr="001256EA" w:rsidRDefault="000C7C9B" w:rsidP="007C2C03">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third chapter, methodological and empirical research framework, presents the research design and the methods employed. It explains the epistemological orientation of the study, the document-based approach, the use of semi-structured interviews, sampling strategy, </w:t>
      </w:r>
      <w:r w:rsidRPr="001256EA">
        <w:rPr>
          <w:rFonts w:ascii="Times New Roman" w:hAnsi="Times New Roman" w:cs="Times New Roman"/>
          <w:sz w:val="24"/>
          <w:szCs w:val="24"/>
        </w:rPr>
        <w:lastRenderedPageBreak/>
        <w:t>and ethical considerations. The findings are then organized around key dimensions such as international regulation, ethical compliance, oversight, safeguards against abuse, informed consent, patient protection, and the alignment of euthanasia practices with societal values. This chapter also includes a discussion section that critically analyzes how international frameworks adapt to national contexts, how ethical principles can be embedded in legal regulation, and how oversight, transparency, and accountability mechanisms can be reinforced.</w:t>
      </w:r>
    </w:p>
    <w:p w14:paraId="1B56A473" w14:textId="0EF3C708" w:rsidR="007C2C03" w:rsidRPr="001256EA" w:rsidRDefault="007C2C03" w:rsidP="00AC1534">
      <w:pPr>
        <w:spacing w:after="0" w:line="360" w:lineRule="auto"/>
        <w:ind w:firstLine="708"/>
        <w:jc w:val="both"/>
        <w:rPr>
          <w:rFonts w:ascii="Times New Roman" w:hAnsi="Times New Roman" w:cs="Times New Roman"/>
          <w:sz w:val="24"/>
          <w:szCs w:val="24"/>
        </w:rPr>
      </w:pPr>
      <w:r w:rsidRPr="001256EA">
        <w:rPr>
          <w:rFonts w:ascii="Times New Roman" w:hAnsi="Times New Roman" w:cs="Times New Roman"/>
          <w:noProof/>
          <w:sz w:val="24"/>
          <w:szCs w:val="24"/>
        </w:rPr>
        <mc:AlternateContent>
          <mc:Choice Requires="wpc">
            <w:drawing>
              <wp:anchor distT="0" distB="0" distL="114300" distR="114300" simplePos="0" relativeHeight="251688960" behindDoc="0" locked="0" layoutInCell="1" allowOverlap="1" wp14:anchorId="7B814752" wp14:editId="0D185D44">
                <wp:simplePos x="0" y="0"/>
                <wp:positionH relativeFrom="column">
                  <wp:posOffset>81280</wp:posOffset>
                </wp:positionH>
                <wp:positionV relativeFrom="paragraph">
                  <wp:posOffset>1508125</wp:posOffset>
                </wp:positionV>
                <wp:extent cx="5604510" cy="3538855"/>
                <wp:effectExtent l="0" t="0" r="0" b="23495"/>
                <wp:wrapTopAndBottom/>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 name="Rectangle: Rounded Corners 32"/>
                        <wps:cNvSpPr/>
                        <wps:spPr>
                          <a:xfrm>
                            <a:off x="42021" y="76200"/>
                            <a:ext cx="5467239" cy="3462655"/>
                          </a:xfrm>
                          <a:prstGeom prst="roundRect">
                            <a:avLst>
                              <a:gd name="adj" fmla="val 33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109280" y="180975"/>
                            <a:ext cx="1751326" cy="238746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E76DB" w14:textId="77777777" w:rsidR="000C7C9B" w:rsidRPr="008751E6" w:rsidRDefault="000C7C9B" w:rsidP="000C7C9B">
                              <w:pPr>
                                <w:jc w:val="center"/>
                                <w:rPr>
                                  <w:rFonts w:ascii="Times New Roman" w:hAnsi="Times New Roman" w:cs="Times New Roman"/>
                                  <w:color w:val="000000" w:themeColor="text1"/>
                                  <w:sz w:val="24"/>
                                  <w:szCs w:val="24"/>
                                </w:rPr>
                              </w:pPr>
                              <w:r w:rsidRPr="00364CF5">
                                <w:rPr>
                                  <w:rFonts w:ascii="Times New Roman" w:hAnsi="Times New Roman" w:cs="Times New Roman"/>
                                  <w:color w:val="000000" w:themeColor="text1"/>
                                  <w:sz w:val="24"/>
                                  <w:szCs w:val="24"/>
                                </w:rPr>
                                <w:t>Theoretical background of the euthanasia institute in the context of international law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135356" y="2645913"/>
                            <a:ext cx="5319423" cy="36415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DDB7A" w14:textId="77777777" w:rsidR="000C7C9B" w:rsidRPr="008751E6" w:rsidRDefault="000C7C9B" w:rsidP="000C7C9B">
                              <w:pPr>
                                <w:jc w:val="center"/>
                                <w:rPr>
                                  <w:rFonts w:ascii="Times New Roman" w:hAnsi="Times New Roman" w:cs="Times New Roman"/>
                                  <w:color w:val="000000" w:themeColor="text1"/>
                                  <w:sz w:val="24"/>
                                  <w:szCs w:val="24"/>
                                </w:rPr>
                              </w:pPr>
                              <w:r w:rsidRPr="008751E6">
                                <w:rPr>
                                  <w:rFonts w:ascii="Times New Roman" w:hAnsi="Times New Roman" w:cs="Times New Roman"/>
                                  <w:color w:val="000000" w:themeColor="text1"/>
                                  <w:sz w:val="24"/>
                                  <w:szCs w:val="24"/>
                                </w:rPr>
                                <w:t>Conclusions and recommendations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507411" y="334818"/>
                            <a:ext cx="1025718" cy="48572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ADCEB" w14:textId="77777777" w:rsidR="000C7C9B" w:rsidRPr="008751E6" w:rsidRDefault="000C7C9B" w:rsidP="000C7C9B">
                              <w:pPr>
                                <w:spacing w:after="0" w:line="256" w:lineRule="auto"/>
                                <w:jc w:val="center"/>
                                <w:rPr>
                                  <w:rFonts w:ascii="Times New Roman" w:eastAsia="Calibri" w:hAnsi="Times New Roman" w:cs="Times New Roman"/>
                                  <w:b/>
                                  <w:bCs/>
                                  <w:color w:val="000000" w:themeColor="text1"/>
                                  <w:sz w:val="32"/>
                                  <w:szCs w:val="32"/>
                                </w:rPr>
                              </w:pPr>
                              <w:r w:rsidRPr="008751E6">
                                <w:rPr>
                                  <w:rStyle w:val="Strong"/>
                                  <w:rFonts w:ascii="Times New Roman" w:hAnsi="Times New Roman" w:cs="Times New Roman"/>
                                  <w:b w:val="0"/>
                                  <w:bCs w:val="0"/>
                                  <w:color w:val="000000" w:themeColor="text1"/>
                                  <w:sz w:val="32"/>
                                  <w:szCs w:val="32"/>
                                </w:rPr>
                                <w:t>Chapter 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35357" y="3062845"/>
                            <a:ext cx="5319422" cy="363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351A8" w14:textId="77777777" w:rsidR="000C7C9B" w:rsidRPr="008751E6" w:rsidRDefault="000C7C9B" w:rsidP="000C7C9B">
                              <w:pPr>
                                <w:spacing w:line="256" w:lineRule="auto"/>
                                <w:jc w:val="center"/>
                                <w:rPr>
                                  <w:rFonts w:eastAsia="Calibri"/>
                                  <w:color w:val="000000"/>
                                  <w:sz w:val="24"/>
                                  <w:szCs w:val="24"/>
                                </w:rPr>
                              </w:pPr>
                              <w:r w:rsidRPr="008751E6">
                                <w:rPr>
                                  <w:rFonts w:ascii="Times New Roman" w:hAnsi="Times New Roman" w:cs="Times New Roman"/>
                                  <w:color w:val="000000" w:themeColor="text1"/>
                                  <w:sz w:val="24"/>
                                  <w:szCs w:val="24"/>
                                </w:rPr>
                                <w:t>Recommendations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1930695" y="180975"/>
                            <a:ext cx="1750695" cy="238746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1DA4C" w14:textId="77777777" w:rsidR="000C7C9B" w:rsidRPr="008751E6" w:rsidRDefault="000C7C9B" w:rsidP="000C7C9B">
                              <w:pPr>
                                <w:spacing w:line="256" w:lineRule="auto"/>
                                <w:jc w:val="center"/>
                                <w:rPr>
                                  <w:rFonts w:eastAsia="Calibri"/>
                                  <w:color w:val="000000" w:themeColor="text1"/>
                                  <w:sz w:val="24"/>
                                  <w:szCs w:val="24"/>
                                </w:rPr>
                              </w:pPr>
                              <w:r w:rsidRPr="00364CF5">
                                <w:rPr>
                                  <w:rFonts w:ascii="Times New Roman" w:hAnsi="Times New Roman" w:cs="Times New Roman"/>
                                  <w:color w:val="000000" w:themeColor="text1"/>
                                  <w:sz w:val="24"/>
                                  <w:szCs w:val="24"/>
                                </w:rPr>
                                <w:t>The implementation of the euthanasia institute in the context of national and international law and identification of the main problems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7" name="Rectangle: Rounded Corners 47"/>
                        <wps:cNvSpPr/>
                        <wps:spPr>
                          <a:xfrm>
                            <a:off x="3742184" y="190500"/>
                            <a:ext cx="1750695" cy="237793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70ED8" w14:textId="77777777" w:rsidR="000C7C9B" w:rsidRPr="008751E6" w:rsidRDefault="000C7C9B" w:rsidP="000C7C9B">
                              <w:pPr>
                                <w:spacing w:line="254" w:lineRule="auto"/>
                                <w:jc w:val="center"/>
                                <w:rPr>
                                  <w:rFonts w:eastAsia="Calibri"/>
                                  <w:color w:val="000000" w:themeColor="text1"/>
                                </w:rPr>
                              </w:pPr>
                              <w:r w:rsidRPr="008751E6">
                                <w:rPr>
                                  <w:rFonts w:ascii="Times New Roman" w:hAnsi="Times New Roman" w:cs="Times New Roman"/>
                                  <w:color w:val="000000" w:themeColor="text1"/>
                                  <w:sz w:val="24"/>
                                  <w:szCs w:val="24"/>
                                </w:rPr>
                                <w:t>Methodological and empirical research framework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279144" y="378949"/>
                            <a:ext cx="1100161" cy="4004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87CD1" w14:textId="77777777" w:rsidR="000C7C9B" w:rsidRPr="004524A8" w:rsidRDefault="000C7C9B" w:rsidP="000C7C9B">
                              <w:pPr>
                                <w:spacing w:line="254" w:lineRule="auto"/>
                                <w:jc w:val="center"/>
                                <w:rPr>
                                  <w:rFonts w:ascii="Times New Roman" w:eastAsia="Calibri" w:hAnsi="Times New Roman" w:cs="Times New Roman"/>
                                  <w:color w:val="000000"/>
                                  <w:sz w:val="32"/>
                                  <w:szCs w:val="32"/>
                                </w:rPr>
                              </w:pPr>
                              <w:r w:rsidRPr="004524A8">
                                <w:rPr>
                                  <w:rFonts w:ascii="Times New Roman" w:eastAsia="Calibri" w:hAnsi="Times New Roman" w:cs="Times New Roman"/>
                                  <w:color w:val="000000"/>
                                  <w:sz w:val="32"/>
                                  <w:szCs w:val="32"/>
                                </w:rPr>
                                <w:t>Chapter II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3999506" y="384130"/>
                            <a:ext cx="1272209" cy="4851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23DA7" w14:textId="77777777" w:rsidR="000C7C9B" w:rsidRPr="004524A8" w:rsidRDefault="000C7C9B" w:rsidP="000C7C9B">
                              <w:pPr>
                                <w:spacing w:line="254" w:lineRule="auto"/>
                                <w:jc w:val="center"/>
                                <w:rPr>
                                  <w:rFonts w:ascii="Times New Roman" w:eastAsia="Calibri" w:hAnsi="Times New Roman" w:cs="Times New Roman"/>
                                  <w:color w:val="000000"/>
                                  <w:sz w:val="32"/>
                                  <w:szCs w:val="32"/>
                                </w:rPr>
                              </w:pPr>
                              <w:r w:rsidRPr="004524A8">
                                <w:rPr>
                                  <w:rFonts w:ascii="Times New Roman" w:eastAsia="Calibri" w:hAnsi="Times New Roman" w:cs="Times New Roman"/>
                                  <w:color w:val="000000"/>
                                  <w:sz w:val="32"/>
                                  <w:szCs w:val="32"/>
                                </w:rPr>
                                <w:t>Chapter III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B814752" id="Canvas 37" o:spid="_x0000_s1034" editas="canvas" style="position:absolute;left:0;text-align:left;margin-left:6.4pt;margin-top:118.75pt;width:441.3pt;height:278.65pt;z-index:251688960;mso-width-relative:margin;mso-height-relative:margin" coordsize="56045,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">
                <v:shape id="_x0000_s1035" type="#_x0000_t75" style="position:absolute;width:56045;height:35388;visibility:visible;mso-wrap-style:square" filled="t">
                  <v:fill o:detectmouseclick="t"/>
                  <v:path o:connecttype="none"/>
                </v:shape>
                <v:roundrect id="Rectangle: Rounded Corners 32" o:spid="_x0000_s1036" style="position:absolute;left:420;top:762;width:54672;height:34626;visibility:visible;mso-wrap-style:square;v-text-anchor:middle" arcsize="2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" filled="f" strokecolor="black [3213]" strokeweight="1pt">
                  <v:stroke joinstyle="miter"/>
                </v:roundrect>
                <v:roundrect id="Rectangle: Rounded Corners 33" o:spid="_x0000_s1037" style="position:absolute;left:1092;top:1809;width:17514;height:23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" filled="f" strokecolor="black [3213]" strokeweight="1pt">
                  <v:stroke joinstyle="miter"/>
                  <v:textbox>
                    <w:txbxContent>
                      <w:p w14:paraId="0EDE76DB" w14:textId="77777777" w:rsidR="000C7C9B" w:rsidRPr="008751E6" w:rsidRDefault="000C7C9B" w:rsidP="000C7C9B">
                        <w:pPr>
                          <w:jc w:val="center"/>
                          <w:rPr>
                            <w:rFonts w:ascii="Times New Roman" w:hAnsi="Times New Roman" w:cs="Times New Roman"/>
                            <w:color w:val="000000" w:themeColor="text1"/>
                            <w:sz w:val="24"/>
                            <w:szCs w:val="24"/>
                          </w:rPr>
                        </w:pPr>
                        <w:r w:rsidRPr="00364CF5">
                          <w:rPr>
                            <w:rFonts w:ascii="Times New Roman" w:hAnsi="Times New Roman" w:cs="Times New Roman"/>
                            <w:color w:val="000000" w:themeColor="text1"/>
                            <w:sz w:val="24"/>
                            <w:szCs w:val="24"/>
                          </w:rPr>
                          <w:t>Theoretical background of the euthanasia institute in the context of international law</w:t>
                        </w:r>
                      </w:p>
                    </w:txbxContent>
                  </v:textbox>
                </v:roundrect>
                <v:roundrect id="Rectangle: Rounded Corners 35" o:spid="_x0000_s1038" style="position:absolute;left:1353;top:26459;width:53194;height:3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" filled="f" strokecolor="black [3213]" strokeweight="1pt">
                  <v:stroke joinstyle="miter"/>
                  <v:textbox>
                    <w:txbxContent>
                      <w:p w14:paraId="30ADDB7A" w14:textId="77777777" w:rsidR="000C7C9B" w:rsidRPr="008751E6" w:rsidRDefault="000C7C9B" w:rsidP="000C7C9B">
                        <w:pPr>
                          <w:jc w:val="center"/>
                          <w:rPr>
                            <w:rFonts w:ascii="Times New Roman" w:hAnsi="Times New Roman" w:cs="Times New Roman"/>
                            <w:color w:val="000000" w:themeColor="text1"/>
                            <w:sz w:val="24"/>
                            <w:szCs w:val="24"/>
                          </w:rPr>
                        </w:pPr>
                        <w:r w:rsidRPr="008751E6">
                          <w:rPr>
                            <w:rFonts w:ascii="Times New Roman" w:hAnsi="Times New Roman" w:cs="Times New Roman"/>
                            <w:color w:val="000000" w:themeColor="text1"/>
                            <w:sz w:val="24"/>
                            <w:szCs w:val="24"/>
                          </w:rPr>
                          <w:t>Conclusions and recommendations</w:t>
                        </w:r>
                      </w:p>
                    </w:txbxContent>
                  </v:textbox>
                </v:roundrect>
                <v:roundrect id="Rectangle: Rounded Corners 36" o:spid="_x0000_s1039" style="position:absolute;left:5074;top:3348;width:10257;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" filled="f" stroked="f" strokeweight="1pt">
                  <v:stroke joinstyle="miter"/>
                  <v:textbox>
                    <w:txbxContent>
                      <w:p w14:paraId="0A6ADCEB" w14:textId="77777777" w:rsidR="000C7C9B" w:rsidRPr="008751E6" w:rsidRDefault="000C7C9B" w:rsidP="000C7C9B">
                        <w:pPr>
                          <w:spacing w:after="0" w:line="256" w:lineRule="auto"/>
                          <w:jc w:val="center"/>
                          <w:rPr>
                            <w:rFonts w:ascii="Times New Roman" w:eastAsia="Calibri" w:hAnsi="Times New Roman" w:cs="Times New Roman"/>
                            <w:b/>
                            <w:bCs/>
                            <w:color w:val="000000" w:themeColor="text1"/>
                            <w:sz w:val="32"/>
                            <w:szCs w:val="32"/>
                          </w:rPr>
                        </w:pPr>
                        <w:r w:rsidRPr="008751E6">
                          <w:rPr>
                            <w:rStyle w:val="Strong"/>
                            <w:rFonts w:ascii="Times New Roman" w:hAnsi="Times New Roman" w:cs="Times New Roman"/>
                            <w:b w:val="0"/>
                            <w:bCs w:val="0"/>
                            <w:color w:val="000000" w:themeColor="text1"/>
                            <w:sz w:val="32"/>
                            <w:szCs w:val="32"/>
                          </w:rPr>
                          <w:t>Chapter I</w:t>
                        </w:r>
                      </w:p>
                    </w:txbxContent>
                  </v:textbox>
                </v:roundrect>
                <v:roundrect id="Rectangle: Rounded Corners 45" o:spid="_x0000_s1040" style="position:absolute;left:1353;top:30628;width:53194;height:3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" filled="f" strokecolor="black [3213]" strokeweight="1pt">
                  <v:stroke joinstyle="miter"/>
                  <v:textbox>
                    <w:txbxContent>
                      <w:p w14:paraId="4EE351A8" w14:textId="77777777" w:rsidR="000C7C9B" w:rsidRPr="008751E6" w:rsidRDefault="000C7C9B" w:rsidP="000C7C9B">
                        <w:pPr>
                          <w:spacing w:line="256" w:lineRule="auto"/>
                          <w:jc w:val="center"/>
                          <w:rPr>
                            <w:rFonts w:eastAsia="Calibri"/>
                            <w:color w:val="000000"/>
                            <w:sz w:val="24"/>
                            <w:szCs w:val="24"/>
                          </w:rPr>
                        </w:pPr>
                        <w:r w:rsidRPr="008751E6">
                          <w:rPr>
                            <w:rFonts w:ascii="Times New Roman" w:hAnsi="Times New Roman" w:cs="Times New Roman"/>
                            <w:color w:val="000000" w:themeColor="text1"/>
                            <w:sz w:val="24"/>
                            <w:szCs w:val="24"/>
                          </w:rPr>
                          <w:t>Recommendations</w:t>
                        </w:r>
                      </w:p>
                    </w:txbxContent>
                  </v:textbox>
                </v:roundrect>
                <v:roundrect id="Rectangle: Rounded Corners 46" o:spid="_x0000_s1041" style="position:absolute;left:19306;top:1809;width:17507;height:23875;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" filled="f" strokecolor="black [3213]" strokeweight="1pt">
                  <v:stroke joinstyle="miter"/>
                  <v:textbox>
                    <w:txbxContent>
                      <w:p w14:paraId="52C1DA4C" w14:textId="77777777" w:rsidR="000C7C9B" w:rsidRPr="008751E6" w:rsidRDefault="000C7C9B" w:rsidP="000C7C9B">
                        <w:pPr>
                          <w:spacing w:line="256" w:lineRule="auto"/>
                          <w:jc w:val="center"/>
                          <w:rPr>
                            <w:rFonts w:eastAsia="Calibri"/>
                            <w:color w:val="000000" w:themeColor="text1"/>
                            <w:sz w:val="24"/>
                            <w:szCs w:val="24"/>
                          </w:rPr>
                        </w:pPr>
                        <w:r w:rsidRPr="00364CF5">
                          <w:rPr>
                            <w:rFonts w:ascii="Times New Roman" w:hAnsi="Times New Roman" w:cs="Times New Roman"/>
                            <w:color w:val="000000" w:themeColor="text1"/>
                            <w:sz w:val="24"/>
                            <w:szCs w:val="24"/>
                          </w:rPr>
                          <w:t>The implementation of the euthanasia institute in the context of national and international law and identification of the main problems</w:t>
                        </w:r>
                      </w:p>
                    </w:txbxContent>
                  </v:textbox>
                </v:roundrect>
                <v:roundrect id="Rectangle: Rounded Corners 47" o:spid="_x0000_s1042" style="position:absolute;left:37421;top:1905;width:17507;height:2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textbox>
                    <w:txbxContent>
                      <w:p w14:paraId="4DA70ED8" w14:textId="77777777" w:rsidR="000C7C9B" w:rsidRPr="008751E6" w:rsidRDefault="000C7C9B" w:rsidP="000C7C9B">
                        <w:pPr>
                          <w:spacing w:line="254" w:lineRule="auto"/>
                          <w:jc w:val="center"/>
                          <w:rPr>
                            <w:rFonts w:eastAsia="Calibri"/>
                            <w:color w:val="000000" w:themeColor="text1"/>
                          </w:rPr>
                        </w:pPr>
                        <w:r w:rsidRPr="008751E6">
                          <w:rPr>
                            <w:rFonts w:ascii="Times New Roman" w:hAnsi="Times New Roman" w:cs="Times New Roman"/>
                            <w:color w:val="000000" w:themeColor="text1"/>
                            <w:sz w:val="24"/>
                            <w:szCs w:val="24"/>
                          </w:rPr>
                          <w:t>Methodological and empirical research framework</w:t>
                        </w:r>
                      </w:p>
                    </w:txbxContent>
                  </v:textbox>
                </v:roundrect>
                <v:roundrect id="Rectangle: Rounded Corners 48" o:spid="_x0000_s1043" style="position:absolute;left:22791;top:3789;width:11002;height:4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" filled="f" stroked="f" strokeweight="1pt">
                  <v:stroke joinstyle="miter"/>
                  <v:textbox>
                    <w:txbxContent>
                      <w:p w14:paraId="70787CD1" w14:textId="77777777" w:rsidR="000C7C9B" w:rsidRPr="004524A8" w:rsidRDefault="000C7C9B" w:rsidP="000C7C9B">
                        <w:pPr>
                          <w:spacing w:line="254" w:lineRule="auto"/>
                          <w:jc w:val="center"/>
                          <w:rPr>
                            <w:rFonts w:ascii="Times New Roman" w:eastAsia="Calibri" w:hAnsi="Times New Roman" w:cs="Times New Roman"/>
                            <w:color w:val="000000"/>
                            <w:sz w:val="32"/>
                            <w:szCs w:val="32"/>
                          </w:rPr>
                        </w:pPr>
                        <w:r w:rsidRPr="004524A8">
                          <w:rPr>
                            <w:rFonts w:ascii="Times New Roman" w:eastAsia="Calibri" w:hAnsi="Times New Roman" w:cs="Times New Roman"/>
                            <w:color w:val="000000"/>
                            <w:sz w:val="32"/>
                            <w:szCs w:val="32"/>
                          </w:rPr>
                          <w:t>Chapter II</w:t>
                        </w:r>
                      </w:p>
                    </w:txbxContent>
                  </v:textbox>
                </v:roundrect>
                <v:roundrect id="Rectangle: Rounded Corners 49" o:spid="_x0000_s1044" style="position:absolute;left:39995;top:3841;width:12722;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" filled="f" stroked="f" strokeweight="1pt">
                  <v:stroke joinstyle="miter"/>
                  <v:textbox>
                    <w:txbxContent>
                      <w:p w14:paraId="52C23DA7" w14:textId="77777777" w:rsidR="000C7C9B" w:rsidRPr="004524A8" w:rsidRDefault="000C7C9B" w:rsidP="000C7C9B">
                        <w:pPr>
                          <w:spacing w:line="254" w:lineRule="auto"/>
                          <w:jc w:val="center"/>
                          <w:rPr>
                            <w:rFonts w:ascii="Times New Roman" w:eastAsia="Calibri" w:hAnsi="Times New Roman" w:cs="Times New Roman"/>
                            <w:color w:val="000000"/>
                            <w:sz w:val="32"/>
                            <w:szCs w:val="32"/>
                          </w:rPr>
                        </w:pPr>
                        <w:r w:rsidRPr="004524A8">
                          <w:rPr>
                            <w:rFonts w:ascii="Times New Roman" w:eastAsia="Calibri" w:hAnsi="Times New Roman" w:cs="Times New Roman"/>
                            <w:color w:val="000000"/>
                            <w:sz w:val="32"/>
                            <w:szCs w:val="32"/>
                          </w:rPr>
                          <w:t>Chapter III</w:t>
                        </w:r>
                      </w:p>
                    </w:txbxContent>
                  </v:textbox>
                </v:roundrect>
                <w10:wrap type="topAndBottom"/>
              </v:group>
            </w:pict>
          </mc:Fallback>
        </mc:AlternateContent>
      </w:r>
      <w:r w:rsidR="000C7C9B" w:rsidRPr="001256EA">
        <w:rPr>
          <w:rFonts w:ascii="Times New Roman" w:hAnsi="Times New Roman" w:cs="Times New Roman"/>
          <w:sz w:val="24"/>
          <w:szCs w:val="24"/>
        </w:rPr>
        <w:t>Finally, the dissertation concludes with a synthesis of</w:t>
      </w:r>
      <w:r w:rsidR="000C7C9B" w:rsidRPr="001256EA">
        <w:rPr>
          <w:rFonts w:ascii="Times New Roman" w:hAnsi="Times New Roman" w:cs="Times New Roman"/>
          <w:b/>
          <w:bCs/>
          <w:sz w:val="24"/>
          <w:szCs w:val="24"/>
        </w:rPr>
        <w:t xml:space="preserve"> findings and recommendations</w:t>
      </w:r>
      <w:r w:rsidR="000C7C9B" w:rsidRPr="001256EA">
        <w:rPr>
          <w:rFonts w:ascii="Times New Roman" w:hAnsi="Times New Roman" w:cs="Times New Roman"/>
          <w:sz w:val="24"/>
          <w:szCs w:val="24"/>
        </w:rPr>
        <w:t xml:space="preserve">. The conclusion summarizes the core arguments and highlights the contribution of the research, while the recommendations propose legal, institutional, and procedural measures aimed at strengthening the regulation of euthanasia in line with human </w:t>
      </w:r>
      <w:r w:rsidR="00B56A99" w:rsidRPr="001256EA">
        <w:rPr>
          <w:rFonts w:ascii="Times New Roman" w:hAnsi="Times New Roman" w:cs="Times New Roman"/>
          <w:sz w:val="24"/>
          <w:szCs w:val="24"/>
        </w:rPr>
        <w:t>rights and ethical standards.</w:t>
      </w:r>
      <w:r w:rsidRPr="001256EA">
        <w:rPr>
          <w:rFonts w:ascii="Times New Roman" w:hAnsi="Times New Roman" w:cs="Times New Roman"/>
          <w:sz w:val="24"/>
          <w:szCs w:val="24"/>
        </w:rPr>
        <w:t xml:space="preserve"> </w:t>
      </w:r>
      <w:r w:rsidRPr="001256EA">
        <w:rPr>
          <w:rFonts w:ascii="Times New Roman" w:hAnsi="Times New Roman" w:cs="Times New Roman"/>
          <w:b/>
          <w:bCs/>
          <w:sz w:val="24"/>
          <w:szCs w:val="24"/>
        </w:rPr>
        <w:t>Figure 2.</w:t>
      </w:r>
      <w:r w:rsidRPr="001256EA">
        <w:rPr>
          <w:rFonts w:ascii="Times New Roman" w:hAnsi="Times New Roman" w:cs="Times New Roman"/>
          <w:sz w:val="24"/>
          <w:szCs w:val="24"/>
        </w:rPr>
        <w:t xml:space="preserve"> Theoretical and empirical framework of the thesis (compiled by the author based on the researcher’s research results)</w:t>
      </w:r>
    </w:p>
    <w:p w14:paraId="2077B3DE" w14:textId="0E7DE62B" w:rsidR="000C7C9B" w:rsidRPr="001256EA" w:rsidRDefault="000C7C9B" w:rsidP="00CD214F">
      <w:pPr>
        <w:spacing w:after="0" w:line="360" w:lineRule="auto"/>
        <w:ind w:firstLine="851"/>
        <w:jc w:val="both"/>
        <w:rPr>
          <w:rFonts w:ascii="Times New Roman" w:hAnsi="Times New Roman" w:cs="Times New Roman"/>
          <w:b/>
          <w:sz w:val="24"/>
          <w:szCs w:val="24"/>
        </w:rPr>
      </w:pPr>
    </w:p>
    <w:p w14:paraId="0F4861EC" w14:textId="628B98F4" w:rsidR="00293B92" w:rsidRPr="001256EA" w:rsidRDefault="009A113A" w:rsidP="00FC6014">
      <w:pPr>
        <w:spacing w:after="0" w:line="360" w:lineRule="auto"/>
        <w:jc w:val="both"/>
        <w:rPr>
          <w:rFonts w:ascii="Times New Roman" w:hAnsi="Times New Roman" w:cs="Times New Roman"/>
          <w:b/>
          <w:sz w:val="24"/>
          <w:szCs w:val="24"/>
        </w:rPr>
      </w:pPr>
      <w:r w:rsidRPr="001256EA">
        <w:rPr>
          <w:rFonts w:ascii="Times New Roman" w:hAnsi="Times New Roman" w:cs="Times New Roman"/>
          <w:b/>
          <w:sz w:val="24"/>
          <w:szCs w:val="24"/>
        </w:rPr>
        <w:t>List of scientific publications related to the doctoral thesis:</w:t>
      </w:r>
    </w:p>
    <w:p w14:paraId="72167ECB" w14:textId="77777777" w:rsidR="001277AC" w:rsidRDefault="009A113A" w:rsidP="00F7029D">
      <w:pPr>
        <w:spacing w:after="0" w:line="360" w:lineRule="auto"/>
        <w:jc w:val="both"/>
        <w:rPr>
          <w:rFonts w:ascii="Times New Roman" w:hAnsi="Times New Roman" w:cs="Times New Roman"/>
          <w:strike/>
          <w:sz w:val="24"/>
          <w:szCs w:val="24"/>
        </w:rPr>
      </w:pPr>
      <w:r w:rsidRPr="001256EA">
        <w:rPr>
          <w:rFonts w:ascii="Times New Roman" w:hAnsi="Times New Roman" w:cs="Times New Roman"/>
          <w:sz w:val="24"/>
          <w:szCs w:val="24"/>
        </w:rPr>
        <w:t>1.</w:t>
      </w:r>
      <w:r w:rsidRPr="001256EA">
        <w:rPr>
          <w:rFonts w:ascii="Times New Roman" w:hAnsi="Times New Roman" w:cs="Times New Roman"/>
          <w:b/>
          <w:bCs/>
          <w:sz w:val="24"/>
          <w:szCs w:val="24"/>
        </w:rPr>
        <w:t xml:space="preserve"> </w:t>
      </w:r>
      <w:proofErr w:type="spellStart"/>
      <w:r w:rsidRPr="001256EA">
        <w:rPr>
          <w:rFonts w:ascii="Times New Roman" w:hAnsi="Times New Roman" w:cs="Times New Roman"/>
          <w:sz w:val="24"/>
          <w:szCs w:val="24"/>
        </w:rPr>
        <w:t>Beriozovas</w:t>
      </w:r>
      <w:proofErr w:type="spellEnd"/>
      <w:r w:rsidRPr="001256EA">
        <w:rPr>
          <w:rFonts w:ascii="Times New Roman" w:hAnsi="Times New Roman" w:cs="Times New Roman"/>
          <w:sz w:val="24"/>
          <w:szCs w:val="24"/>
        </w:rPr>
        <w:t xml:space="preserve">, O. et. </w:t>
      </w:r>
      <w:proofErr w:type="gramStart"/>
      <w:r w:rsidRPr="001256EA">
        <w:rPr>
          <w:rFonts w:ascii="Times New Roman" w:hAnsi="Times New Roman" w:cs="Times New Roman"/>
          <w:sz w:val="24"/>
          <w:szCs w:val="24"/>
        </w:rPr>
        <w:t>al</w:t>
      </w:r>
      <w:proofErr w:type="gramEnd"/>
      <w:r w:rsidRPr="001256EA">
        <w:rPr>
          <w:rFonts w:ascii="Times New Roman" w:hAnsi="Times New Roman" w:cs="Times New Roman"/>
          <w:sz w:val="24"/>
          <w:szCs w:val="24"/>
        </w:rPr>
        <w:t xml:space="preserve">., (2024). Development of a methodology for the monitoring of socio-economic indicators of private forest owners towards sustainable forest management: The case of Lithuania. </w:t>
      </w:r>
      <w:r w:rsidRPr="001256EA">
        <w:rPr>
          <w:rFonts w:ascii="Times New Roman" w:hAnsi="Times New Roman" w:cs="Times New Roman"/>
          <w:i/>
          <w:iCs/>
          <w:sz w:val="24"/>
          <w:szCs w:val="24"/>
        </w:rPr>
        <w:t>Forests</w:t>
      </w:r>
      <w:r w:rsidRPr="001256EA">
        <w:rPr>
          <w:rFonts w:ascii="Times New Roman" w:hAnsi="Times New Roman" w:cs="Times New Roman"/>
          <w:sz w:val="24"/>
          <w:szCs w:val="24"/>
        </w:rPr>
        <w:t xml:space="preserve">, </w:t>
      </w:r>
      <w:r w:rsidRPr="001256EA">
        <w:rPr>
          <w:rFonts w:ascii="Times New Roman" w:hAnsi="Times New Roman" w:cs="Times New Roman"/>
          <w:i/>
          <w:iCs/>
          <w:sz w:val="24"/>
          <w:szCs w:val="24"/>
        </w:rPr>
        <w:t>15</w:t>
      </w:r>
      <w:r w:rsidRPr="001256EA">
        <w:rPr>
          <w:rFonts w:ascii="Times New Roman" w:hAnsi="Times New Roman" w:cs="Times New Roman"/>
          <w:sz w:val="24"/>
          <w:szCs w:val="24"/>
        </w:rPr>
        <w:t>(9), 1657.</w:t>
      </w:r>
    </w:p>
    <w:p w14:paraId="211591FC" w14:textId="77777777" w:rsidR="001277AC" w:rsidRDefault="001277AC" w:rsidP="00F7029D">
      <w:pPr>
        <w:spacing w:after="0" w:line="360" w:lineRule="auto"/>
        <w:jc w:val="both"/>
        <w:rPr>
          <w:rFonts w:ascii="Times New Roman" w:hAnsi="Times New Roman" w:cs="Times New Roman"/>
          <w:strike/>
          <w:sz w:val="24"/>
          <w:szCs w:val="24"/>
        </w:rPr>
      </w:pPr>
      <w:r w:rsidRPr="001277AC">
        <w:rPr>
          <w:rFonts w:ascii="Times New Roman" w:hAnsi="Times New Roman" w:cs="Times New Roman"/>
          <w:sz w:val="24"/>
          <w:szCs w:val="24"/>
        </w:rPr>
        <w:t xml:space="preserve">2. </w:t>
      </w:r>
      <w:proofErr w:type="spellStart"/>
      <w:r w:rsidR="009A113A" w:rsidRPr="001256EA">
        <w:rPr>
          <w:rFonts w:ascii="Times New Roman" w:hAnsi="Times New Roman" w:cs="Times New Roman"/>
          <w:sz w:val="24"/>
          <w:szCs w:val="24"/>
        </w:rPr>
        <w:t>Beriozovas</w:t>
      </w:r>
      <w:proofErr w:type="spellEnd"/>
      <w:r w:rsidR="009A113A" w:rsidRPr="001256EA">
        <w:rPr>
          <w:rFonts w:ascii="Times New Roman" w:hAnsi="Times New Roman" w:cs="Times New Roman"/>
          <w:sz w:val="24"/>
          <w:szCs w:val="24"/>
        </w:rPr>
        <w:t xml:space="preserve">, O., &amp; </w:t>
      </w:r>
      <w:proofErr w:type="spellStart"/>
      <w:r w:rsidR="009A113A" w:rsidRPr="001256EA">
        <w:rPr>
          <w:rFonts w:ascii="Times New Roman" w:hAnsi="Times New Roman" w:cs="Times New Roman"/>
          <w:sz w:val="24"/>
          <w:szCs w:val="24"/>
        </w:rPr>
        <w:t>Avižienė</w:t>
      </w:r>
      <w:proofErr w:type="spellEnd"/>
      <w:r w:rsidR="009A113A" w:rsidRPr="001256EA">
        <w:rPr>
          <w:rFonts w:ascii="Times New Roman" w:hAnsi="Times New Roman" w:cs="Times New Roman"/>
          <w:sz w:val="24"/>
          <w:szCs w:val="24"/>
        </w:rPr>
        <w:t xml:space="preserve">, G. (2023). Institute Of Euthanasia: Between A Person's Right to Life and The Right to A Dignified Death: Problems and Challenges in the Implementation of Human Rights of Choice in Lithuania. </w:t>
      </w:r>
      <w:r w:rsidR="009A113A" w:rsidRPr="001256EA">
        <w:rPr>
          <w:rFonts w:ascii="Times New Roman" w:hAnsi="Times New Roman" w:cs="Times New Roman"/>
          <w:i/>
          <w:iCs/>
          <w:sz w:val="24"/>
          <w:szCs w:val="24"/>
        </w:rPr>
        <w:t xml:space="preserve">Acta </w:t>
      </w:r>
      <w:proofErr w:type="spellStart"/>
      <w:r w:rsidR="009A113A" w:rsidRPr="001256EA">
        <w:rPr>
          <w:rFonts w:ascii="Times New Roman" w:hAnsi="Times New Roman" w:cs="Times New Roman"/>
          <w:i/>
          <w:iCs/>
          <w:sz w:val="24"/>
          <w:szCs w:val="24"/>
        </w:rPr>
        <w:t>prosperitatis</w:t>
      </w:r>
      <w:proofErr w:type="spellEnd"/>
      <w:r w:rsidR="009A113A" w:rsidRPr="001256EA">
        <w:rPr>
          <w:rFonts w:ascii="Times New Roman" w:hAnsi="Times New Roman" w:cs="Times New Roman"/>
          <w:sz w:val="24"/>
          <w:szCs w:val="24"/>
        </w:rPr>
        <w:t xml:space="preserve">, </w:t>
      </w:r>
      <w:r w:rsidR="009A113A" w:rsidRPr="001256EA">
        <w:rPr>
          <w:rFonts w:ascii="Times New Roman" w:hAnsi="Times New Roman" w:cs="Times New Roman"/>
          <w:i/>
          <w:iCs/>
          <w:sz w:val="24"/>
          <w:szCs w:val="24"/>
        </w:rPr>
        <w:t>14</w:t>
      </w:r>
      <w:r w:rsidR="009A113A" w:rsidRPr="001256EA">
        <w:rPr>
          <w:rFonts w:ascii="Times New Roman" w:hAnsi="Times New Roman" w:cs="Times New Roman"/>
          <w:sz w:val="24"/>
          <w:szCs w:val="24"/>
        </w:rPr>
        <w:t>(1).</w:t>
      </w:r>
    </w:p>
    <w:p w14:paraId="6A4A8378" w14:textId="15DA3B57" w:rsidR="009A113A" w:rsidRPr="001277AC" w:rsidRDefault="001277AC" w:rsidP="00F7029D">
      <w:pPr>
        <w:spacing w:after="0" w:line="360" w:lineRule="auto"/>
        <w:jc w:val="both"/>
        <w:rPr>
          <w:rFonts w:ascii="Times New Roman" w:hAnsi="Times New Roman" w:cs="Times New Roman"/>
          <w:strike/>
          <w:sz w:val="24"/>
          <w:szCs w:val="24"/>
        </w:rPr>
      </w:pPr>
      <w:r w:rsidRPr="001277AC">
        <w:rPr>
          <w:rFonts w:ascii="Times New Roman" w:hAnsi="Times New Roman" w:cs="Times New Roman"/>
          <w:sz w:val="24"/>
          <w:szCs w:val="24"/>
        </w:rPr>
        <w:lastRenderedPageBreak/>
        <w:t xml:space="preserve">3. </w:t>
      </w:r>
      <w:r w:rsidR="009A113A" w:rsidRPr="001256EA">
        <w:rPr>
          <w:rFonts w:ascii="Times New Roman" w:hAnsi="Times New Roman" w:cs="Times New Roman"/>
          <w:sz w:val="24"/>
          <w:szCs w:val="24"/>
        </w:rPr>
        <w:t xml:space="preserve">Perkumienė, D., </w:t>
      </w:r>
      <w:proofErr w:type="spellStart"/>
      <w:r w:rsidR="009A113A" w:rsidRPr="001256EA">
        <w:rPr>
          <w:rFonts w:ascii="Times New Roman" w:hAnsi="Times New Roman" w:cs="Times New Roman"/>
          <w:sz w:val="24"/>
          <w:szCs w:val="24"/>
        </w:rPr>
        <w:t>Beriozovas</w:t>
      </w:r>
      <w:proofErr w:type="spellEnd"/>
      <w:r w:rsidR="009A113A" w:rsidRPr="001256EA">
        <w:rPr>
          <w:rFonts w:ascii="Times New Roman" w:hAnsi="Times New Roman" w:cs="Times New Roman"/>
          <w:sz w:val="24"/>
          <w:szCs w:val="24"/>
        </w:rPr>
        <w:t xml:space="preserve">, O., &amp; Smilginytė, A. (2022). Human rights analysis from the constitutional perspective in Lithuanian national law context. In </w:t>
      </w:r>
      <w:r w:rsidR="009A113A" w:rsidRPr="001256EA">
        <w:rPr>
          <w:rFonts w:ascii="Times New Roman" w:hAnsi="Times New Roman" w:cs="Times New Roman"/>
          <w:i/>
          <w:iCs/>
          <w:sz w:val="24"/>
          <w:szCs w:val="24"/>
        </w:rPr>
        <w:t>International Applied Research Conference Proceedings Problems and Challenges of Contemporary Law in the Context of International Law</w:t>
      </w:r>
      <w:r w:rsidR="009A113A" w:rsidRPr="001256EA">
        <w:rPr>
          <w:rFonts w:ascii="Times New Roman" w:hAnsi="Times New Roman" w:cs="Times New Roman"/>
          <w:sz w:val="24"/>
          <w:szCs w:val="24"/>
        </w:rPr>
        <w:t xml:space="preserve"> (</w:t>
      </w:r>
      <w:r w:rsidR="00ED3976" w:rsidRPr="001256EA">
        <w:rPr>
          <w:rFonts w:ascii="Times New Roman" w:hAnsi="Times New Roman" w:cs="Times New Roman"/>
          <w:sz w:val="24"/>
          <w:szCs w:val="24"/>
        </w:rPr>
        <w:t>p</w:t>
      </w:r>
      <w:r w:rsidR="009A113A" w:rsidRPr="001256EA">
        <w:rPr>
          <w:rFonts w:ascii="Times New Roman" w:hAnsi="Times New Roman" w:cs="Times New Roman"/>
          <w:sz w:val="24"/>
          <w:szCs w:val="24"/>
        </w:rPr>
        <w:t>. 88-93).</w:t>
      </w:r>
    </w:p>
    <w:p w14:paraId="3B754CD4" w14:textId="77777777" w:rsidR="009A113A" w:rsidRPr="001256EA" w:rsidRDefault="009A113A" w:rsidP="009A113A">
      <w:pPr>
        <w:rPr>
          <w:rFonts w:ascii="Times New Roman" w:hAnsi="Times New Roman" w:cs="Times New Roman"/>
          <w:b/>
          <w:sz w:val="24"/>
          <w:szCs w:val="24"/>
        </w:rPr>
      </w:pPr>
      <w:r w:rsidRPr="001256EA">
        <w:rPr>
          <w:rFonts w:ascii="Times New Roman" w:hAnsi="Times New Roman" w:cs="Times New Roman"/>
          <w:b/>
          <w:sz w:val="24"/>
          <w:szCs w:val="24"/>
        </w:rPr>
        <w:t>List of scientific reports related to the doctoral thesis:</w:t>
      </w:r>
    </w:p>
    <w:p w14:paraId="1E1125BB" w14:textId="15E57E05" w:rsidR="009A113A" w:rsidRPr="001256EA" w:rsidRDefault="009A113A"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 the international scientific conference “</w:t>
      </w:r>
      <w:r w:rsidR="00F7029D" w:rsidRPr="001256EA">
        <w:rPr>
          <w:rFonts w:ascii="Times New Roman" w:hAnsi="Times New Roman" w:cs="Times New Roman"/>
          <w:sz w:val="24"/>
          <w:szCs w:val="24"/>
        </w:rPr>
        <w:t>Euthanasia in Lithuania: Navigating Between the Right to Life and the Right to a Dignified Death</w:t>
      </w:r>
      <w:r w:rsidRPr="001256EA">
        <w:rPr>
          <w:rFonts w:ascii="Times New Roman" w:hAnsi="Times New Roman" w:cs="Times New Roman"/>
          <w:sz w:val="24"/>
          <w:szCs w:val="24"/>
        </w:rPr>
        <w:t xml:space="preserve">” in the Kaunas Forestry and Environmental Engineering University of Applied Science International Scientific Conference “Relevant Issues of Environment Management” in Lithuania, Kaunas, on </w:t>
      </w:r>
      <w:r w:rsidR="00ED3976" w:rsidRPr="001256EA">
        <w:rPr>
          <w:rFonts w:ascii="Times New Roman" w:hAnsi="Times New Roman" w:cs="Times New Roman"/>
          <w:sz w:val="24"/>
          <w:szCs w:val="24"/>
        </w:rPr>
        <w:t>7</w:t>
      </w:r>
      <w:r w:rsidR="00ED3976" w:rsidRPr="001256EA">
        <w:rPr>
          <w:rFonts w:ascii="Times New Roman" w:hAnsi="Times New Roman" w:cs="Times New Roman"/>
          <w:sz w:val="24"/>
          <w:szCs w:val="24"/>
          <w:vertAlign w:val="superscript"/>
        </w:rPr>
        <w:t>th</w:t>
      </w:r>
      <w:r w:rsidRPr="001256EA">
        <w:rPr>
          <w:rFonts w:ascii="Times New Roman" w:hAnsi="Times New Roman" w:cs="Times New Roman"/>
          <w:sz w:val="24"/>
          <w:szCs w:val="24"/>
        </w:rPr>
        <w:t xml:space="preserve"> and </w:t>
      </w:r>
      <w:r w:rsidR="00ED3976" w:rsidRPr="001256EA">
        <w:rPr>
          <w:rFonts w:ascii="Times New Roman" w:hAnsi="Times New Roman" w:cs="Times New Roman"/>
          <w:sz w:val="24"/>
          <w:szCs w:val="24"/>
        </w:rPr>
        <w:t>9</w:t>
      </w:r>
      <w:r w:rsidR="00ED3976" w:rsidRPr="001256EA">
        <w:rPr>
          <w:rFonts w:ascii="Times New Roman" w:hAnsi="Times New Roman" w:cs="Times New Roman"/>
          <w:sz w:val="24"/>
          <w:szCs w:val="24"/>
          <w:vertAlign w:val="superscript"/>
        </w:rPr>
        <w:t>th</w:t>
      </w:r>
      <w:r w:rsidRPr="001256EA">
        <w:rPr>
          <w:rFonts w:ascii="Times New Roman" w:hAnsi="Times New Roman" w:cs="Times New Roman"/>
          <w:sz w:val="24"/>
          <w:szCs w:val="24"/>
        </w:rPr>
        <w:t xml:space="preserve"> </w:t>
      </w:r>
      <w:r w:rsidR="00CE5D11" w:rsidRPr="001256EA">
        <w:rPr>
          <w:rFonts w:ascii="Times New Roman" w:hAnsi="Times New Roman" w:cs="Times New Roman"/>
          <w:sz w:val="24"/>
          <w:szCs w:val="24"/>
        </w:rPr>
        <w:t>April</w:t>
      </w:r>
      <w:r w:rsidRPr="001256EA">
        <w:rPr>
          <w:rFonts w:ascii="Times New Roman" w:hAnsi="Times New Roman" w:cs="Times New Roman"/>
          <w:sz w:val="24"/>
          <w:szCs w:val="24"/>
        </w:rPr>
        <w:t xml:space="preserve"> 2024.</w:t>
      </w:r>
    </w:p>
    <w:p w14:paraId="12E130B5" w14:textId="4C53FA03" w:rsidR="009A113A" w:rsidRPr="001256EA" w:rsidRDefault="009A113A"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 the international scientific conference “</w:t>
      </w:r>
      <w:r w:rsidR="00F7029D" w:rsidRPr="001256EA">
        <w:rPr>
          <w:rFonts w:ascii="Times New Roman" w:hAnsi="Times New Roman" w:cs="Times New Roman"/>
          <w:sz w:val="24"/>
          <w:szCs w:val="24"/>
        </w:rPr>
        <w:t xml:space="preserve">Institute of Euthanasia: Balancing the Right to Life and the Right to a Dignified Death – Problems and Challenges in Implementing the Human Right of Choice in Lithuania </w:t>
      </w:r>
      <w:r w:rsidRPr="001256EA">
        <w:rPr>
          <w:rFonts w:ascii="Times New Roman" w:hAnsi="Times New Roman" w:cs="Times New Roman"/>
          <w:sz w:val="24"/>
          <w:szCs w:val="24"/>
        </w:rPr>
        <w:t>“Contemporary legal problems and challenges in the context of international law 2024, in Lithuania, Vilnius, January 7.</w:t>
      </w:r>
    </w:p>
    <w:p w14:paraId="641644F3" w14:textId="42D12754" w:rsidR="009A113A" w:rsidRPr="001256EA" w:rsidRDefault="009A113A"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 the international conference „</w:t>
      </w:r>
      <w:r w:rsidR="00F7029D" w:rsidRPr="001256EA">
        <w:rPr>
          <w:rFonts w:ascii="Times New Roman" w:hAnsi="Times New Roman" w:cs="Times New Roman"/>
          <w:sz w:val="24"/>
          <w:szCs w:val="24"/>
        </w:rPr>
        <w:t xml:space="preserve"> Problems and Challenges in Implementing the Human Right to die “in</w:t>
      </w:r>
      <w:r w:rsidRPr="001256EA">
        <w:rPr>
          <w:rFonts w:ascii="Times New Roman" w:hAnsi="Times New Roman" w:cs="Times New Roman"/>
          <w:sz w:val="24"/>
          <w:szCs w:val="24"/>
        </w:rPr>
        <w:t xml:space="preserve"> Istanbul University-</w:t>
      </w:r>
      <w:proofErr w:type="spellStart"/>
      <w:r w:rsidRPr="001256EA">
        <w:rPr>
          <w:rFonts w:ascii="Times New Roman" w:hAnsi="Times New Roman" w:cs="Times New Roman"/>
          <w:sz w:val="24"/>
          <w:szCs w:val="24"/>
        </w:rPr>
        <w:t>Cerrahpasa</w:t>
      </w:r>
      <w:proofErr w:type="spellEnd"/>
      <w:r w:rsidRPr="001256EA">
        <w:rPr>
          <w:rFonts w:ascii="Times New Roman" w:hAnsi="Times New Roman" w:cs="Times New Roman"/>
          <w:sz w:val="24"/>
          <w:szCs w:val="24"/>
        </w:rPr>
        <w:t xml:space="preserve"> University International Symposium, 2023, December 5-6.</w:t>
      </w:r>
    </w:p>
    <w:p w14:paraId="45601D22" w14:textId="340337D5" w:rsidR="009A113A" w:rsidRPr="001256EA" w:rsidRDefault="009A113A"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 the international scientific conference “</w:t>
      </w:r>
      <w:r w:rsidR="00F7029D" w:rsidRPr="001256EA">
        <w:rPr>
          <w:rFonts w:ascii="Times New Roman" w:hAnsi="Times New Roman" w:cs="Times New Roman"/>
          <w:sz w:val="24"/>
          <w:szCs w:val="24"/>
        </w:rPr>
        <w:t>The Institute of Euthanasia: Between the Right to Life and the Right to Die with Dignity</w:t>
      </w:r>
      <w:r w:rsidRPr="001256EA">
        <w:rPr>
          <w:rFonts w:ascii="Times New Roman" w:hAnsi="Times New Roman" w:cs="Times New Roman"/>
          <w:sz w:val="24"/>
          <w:szCs w:val="24"/>
        </w:rPr>
        <w:t>” in Spain, Caceres, on 22</w:t>
      </w:r>
      <w:r w:rsidRPr="001256EA">
        <w:rPr>
          <w:rFonts w:ascii="Times New Roman" w:hAnsi="Times New Roman" w:cs="Times New Roman"/>
          <w:sz w:val="24"/>
          <w:szCs w:val="24"/>
          <w:vertAlign w:val="superscript"/>
        </w:rPr>
        <w:t>nd</w:t>
      </w:r>
      <w:r w:rsidRPr="001256EA">
        <w:rPr>
          <w:rFonts w:ascii="Times New Roman" w:hAnsi="Times New Roman" w:cs="Times New Roman"/>
          <w:sz w:val="24"/>
          <w:szCs w:val="24"/>
        </w:rPr>
        <w:t xml:space="preserve"> and 23</w:t>
      </w:r>
      <w:r w:rsidRPr="001256EA">
        <w:rPr>
          <w:rFonts w:ascii="Times New Roman" w:hAnsi="Times New Roman" w:cs="Times New Roman"/>
          <w:sz w:val="24"/>
          <w:szCs w:val="24"/>
          <w:vertAlign w:val="superscript"/>
        </w:rPr>
        <w:t>rd</w:t>
      </w:r>
      <w:r w:rsidRPr="001256EA">
        <w:rPr>
          <w:rFonts w:ascii="Times New Roman" w:hAnsi="Times New Roman" w:cs="Times New Roman"/>
          <w:sz w:val="24"/>
          <w:szCs w:val="24"/>
        </w:rPr>
        <w:t xml:space="preserve"> </w:t>
      </w:r>
      <w:r w:rsidR="00F7029D" w:rsidRPr="001256EA">
        <w:rPr>
          <w:rFonts w:ascii="Times New Roman" w:hAnsi="Times New Roman" w:cs="Times New Roman"/>
          <w:sz w:val="24"/>
          <w:szCs w:val="24"/>
        </w:rPr>
        <w:t>November</w:t>
      </w:r>
      <w:r w:rsidRPr="001256EA">
        <w:rPr>
          <w:rFonts w:ascii="Times New Roman" w:hAnsi="Times New Roman" w:cs="Times New Roman"/>
          <w:sz w:val="24"/>
          <w:szCs w:val="24"/>
        </w:rPr>
        <w:t xml:space="preserve"> 2022. </w:t>
      </w:r>
    </w:p>
    <w:p w14:paraId="6C799FAD" w14:textId="120E83B8" w:rsidR="00293B92" w:rsidRPr="001256EA" w:rsidRDefault="009A113A"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 the international scientific conference “</w:t>
      </w:r>
      <w:r w:rsidR="00F7029D" w:rsidRPr="001256EA">
        <w:rPr>
          <w:rFonts w:ascii="Times New Roman" w:hAnsi="Times New Roman" w:cs="Times New Roman"/>
          <w:sz w:val="24"/>
          <w:szCs w:val="24"/>
        </w:rPr>
        <w:t>Right to Die with Dignity: Issues and Challenges</w:t>
      </w:r>
      <w:r w:rsidRPr="001256EA">
        <w:rPr>
          <w:rFonts w:ascii="Times New Roman" w:hAnsi="Times New Roman" w:cs="Times New Roman"/>
          <w:sz w:val="24"/>
          <w:szCs w:val="24"/>
        </w:rPr>
        <w:t xml:space="preserve">”, Morocco, Cady Ayad university on </w:t>
      </w:r>
      <w:r w:rsidR="00ED3976" w:rsidRPr="001256EA">
        <w:rPr>
          <w:rFonts w:ascii="Times New Roman" w:hAnsi="Times New Roman" w:cs="Times New Roman"/>
          <w:sz w:val="24"/>
          <w:szCs w:val="24"/>
        </w:rPr>
        <w:t>7</w:t>
      </w:r>
      <w:r w:rsidR="00ED3976" w:rsidRPr="001256EA">
        <w:rPr>
          <w:rFonts w:ascii="Times New Roman" w:hAnsi="Times New Roman" w:cs="Times New Roman"/>
          <w:sz w:val="24"/>
          <w:szCs w:val="24"/>
          <w:vertAlign w:val="superscript"/>
        </w:rPr>
        <w:t>th</w:t>
      </w:r>
      <w:r w:rsidRPr="001256EA">
        <w:rPr>
          <w:rFonts w:ascii="Times New Roman" w:hAnsi="Times New Roman" w:cs="Times New Roman"/>
          <w:sz w:val="24"/>
          <w:szCs w:val="24"/>
        </w:rPr>
        <w:t xml:space="preserve"> and </w:t>
      </w:r>
      <w:r w:rsidR="00ED3976" w:rsidRPr="001256EA">
        <w:rPr>
          <w:rFonts w:ascii="Times New Roman" w:hAnsi="Times New Roman" w:cs="Times New Roman"/>
          <w:sz w:val="24"/>
          <w:szCs w:val="24"/>
        </w:rPr>
        <w:t>11</w:t>
      </w:r>
      <w:r w:rsidR="00ED3976" w:rsidRPr="001256EA">
        <w:rPr>
          <w:rFonts w:ascii="Times New Roman" w:hAnsi="Times New Roman" w:cs="Times New Roman"/>
          <w:sz w:val="24"/>
          <w:szCs w:val="24"/>
          <w:vertAlign w:val="superscript"/>
        </w:rPr>
        <w:t>th</w:t>
      </w:r>
      <w:r w:rsidRPr="001256EA">
        <w:rPr>
          <w:rFonts w:ascii="Times New Roman" w:hAnsi="Times New Roman" w:cs="Times New Roman"/>
          <w:sz w:val="24"/>
          <w:szCs w:val="24"/>
        </w:rPr>
        <w:t xml:space="preserve"> </w:t>
      </w:r>
      <w:r w:rsidR="00CE5D11" w:rsidRPr="001256EA">
        <w:rPr>
          <w:rFonts w:ascii="Times New Roman" w:hAnsi="Times New Roman" w:cs="Times New Roman"/>
          <w:sz w:val="24"/>
          <w:szCs w:val="24"/>
        </w:rPr>
        <w:t>November</w:t>
      </w:r>
      <w:r w:rsidRPr="001256EA">
        <w:rPr>
          <w:rFonts w:ascii="Times New Roman" w:hAnsi="Times New Roman" w:cs="Times New Roman"/>
          <w:sz w:val="24"/>
          <w:szCs w:val="24"/>
        </w:rPr>
        <w:t xml:space="preserve"> 202</w:t>
      </w:r>
      <w:r w:rsidR="00F7029D" w:rsidRPr="001256EA">
        <w:rPr>
          <w:rFonts w:ascii="Times New Roman" w:hAnsi="Times New Roman" w:cs="Times New Roman"/>
          <w:sz w:val="24"/>
          <w:szCs w:val="24"/>
        </w:rPr>
        <w:t>4</w:t>
      </w:r>
      <w:r w:rsidRPr="001256EA">
        <w:rPr>
          <w:rFonts w:ascii="Times New Roman" w:hAnsi="Times New Roman" w:cs="Times New Roman"/>
          <w:sz w:val="24"/>
          <w:szCs w:val="24"/>
        </w:rPr>
        <w:t>.</w:t>
      </w:r>
    </w:p>
    <w:p w14:paraId="5E7A2A58" w14:textId="5EB69BCF" w:rsidR="00F329BD" w:rsidRPr="001256EA" w:rsidRDefault="00CA7CCD" w:rsidP="009A113A">
      <w:pPr>
        <w:pStyle w:val="ListParagraph"/>
        <w:numPr>
          <w:ilvl w:val="0"/>
          <w:numId w:val="31"/>
        </w:numPr>
        <w:spacing w:line="360" w:lineRule="auto"/>
        <w:ind w:left="360"/>
        <w:jc w:val="both"/>
        <w:rPr>
          <w:rFonts w:ascii="Times New Roman" w:hAnsi="Times New Roman" w:cs="Times New Roman"/>
          <w:sz w:val="24"/>
          <w:szCs w:val="24"/>
        </w:rPr>
      </w:pPr>
      <w:r w:rsidRPr="001256EA">
        <w:rPr>
          <w:rFonts w:ascii="Times New Roman" w:hAnsi="Times New Roman" w:cs="Times New Roman"/>
          <w:sz w:val="24"/>
          <w:szCs w:val="24"/>
        </w:rPr>
        <w:t>Presentation int the international scie</w:t>
      </w:r>
      <w:r w:rsidR="008F5229" w:rsidRPr="001256EA">
        <w:rPr>
          <w:rFonts w:ascii="Times New Roman" w:hAnsi="Times New Roman" w:cs="Times New Roman"/>
          <w:sz w:val="24"/>
          <w:szCs w:val="24"/>
        </w:rPr>
        <w:t xml:space="preserve">ntific conference </w:t>
      </w:r>
      <w:r w:rsidR="00134497" w:rsidRPr="001256EA">
        <w:rPr>
          <w:rFonts w:ascii="Times New Roman" w:hAnsi="Times New Roman" w:cs="Times New Roman"/>
          <w:sz w:val="24"/>
          <w:szCs w:val="24"/>
        </w:rPr>
        <w:t>“</w:t>
      </w:r>
      <w:r w:rsidR="00E54052" w:rsidRPr="001256EA">
        <w:rPr>
          <w:rFonts w:ascii="Times New Roman" w:hAnsi="Times New Roman" w:cs="Times New Roman"/>
          <w:sz w:val="24"/>
          <w:szCs w:val="24"/>
        </w:rPr>
        <w:t>Industry 5.0 in Healthcare: Ethical, Technological, and Training Perspectives on Euthanasia</w:t>
      </w:r>
      <w:r w:rsidR="00B109BF" w:rsidRPr="001256EA">
        <w:rPr>
          <w:rFonts w:ascii="Times New Roman" w:hAnsi="Times New Roman" w:cs="Times New Roman"/>
          <w:sz w:val="24"/>
          <w:szCs w:val="24"/>
        </w:rPr>
        <w:t xml:space="preserve">” in </w:t>
      </w:r>
      <w:r w:rsidR="008F5229" w:rsidRPr="001256EA">
        <w:rPr>
          <w:rFonts w:ascii="Times New Roman" w:hAnsi="Times New Roman" w:cs="Times New Roman"/>
          <w:sz w:val="24"/>
          <w:szCs w:val="24"/>
        </w:rPr>
        <w:t>Sapienza University in Rome, Italy</w:t>
      </w:r>
      <w:r w:rsidR="00B109BF" w:rsidRPr="001256EA">
        <w:rPr>
          <w:rFonts w:ascii="Times New Roman" w:hAnsi="Times New Roman" w:cs="Times New Roman"/>
          <w:sz w:val="24"/>
          <w:szCs w:val="24"/>
        </w:rPr>
        <w:t xml:space="preserve"> on </w:t>
      </w:r>
      <w:r w:rsidR="005219E5" w:rsidRPr="001256EA">
        <w:rPr>
          <w:rFonts w:ascii="Times New Roman" w:hAnsi="Times New Roman" w:cs="Times New Roman"/>
          <w:sz w:val="24"/>
          <w:szCs w:val="24"/>
        </w:rPr>
        <w:t>May 7, 2025.</w:t>
      </w:r>
    </w:p>
    <w:p w14:paraId="524B0232" w14:textId="4CF62DC6" w:rsidR="00025059" w:rsidRPr="001256EA" w:rsidRDefault="00025059">
      <w:pPr>
        <w:rPr>
          <w:rFonts w:ascii="Times New Roman" w:hAnsi="Times New Roman" w:cs="Times New Roman"/>
          <w:sz w:val="24"/>
          <w:szCs w:val="24"/>
        </w:rPr>
      </w:pPr>
      <w:r w:rsidRPr="001256EA">
        <w:rPr>
          <w:rFonts w:ascii="Times New Roman" w:hAnsi="Times New Roman" w:cs="Times New Roman"/>
          <w:sz w:val="24"/>
          <w:szCs w:val="24"/>
        </w:rPr>
        <w:br w:type="page"/>
      </w:r>
    </w:p>
    <w:p w14:paraId="11357A6E" w14:textId="77777777" w:rsidR="00293B92" w:rsidRPr="001256EA" w:rsidRDefault="00293B92" w:rsidP="00FC6014">
      <w:pPr>
        <w:pStyle w:val="Heading1"/>
        <w:numPr>
          <w:ilvl w:val="0"/>
          <w:numId w:val="26"/>
        </w:numPr>
        <w:jc w:val="center"/>
        <w:rPr>
          <w:rFonts w:ascii="Times New Roman" w:hAnsi="Times New Roman" w:cs="Times New Roman"/>
          <w:b/>
          <w:bCs/>
          <w:color w:val="auto"/>
          <w:sz w:val="28"/>
          <w:szCs w:val="28"/>
          <w:lang w:bidi="en-US"/>
        </w:rPr>
      </w:pPr>
      <w:bookmarkStart w:id="7" w:name="_Hlk204195575"/>
      <w:bookmarkStart w:id="8" w:name="_Toc216374383"/>
      <w:bookmarkEnd w:id="7"/>
      <w:r w:rsidRPr="001256EA">
        <w:rPr>
          <w:rFonts w:ascii="Times New Roman" w:hAnsi="Times New Roman" w:cs="Times New Roman"/>
          <w:b/>
          <w:bCs/>
          <w:color w:val="auto"/>
          <w:sz w:val="28"/>
          <w:szCs w:val="28"/>
          <w:lang w:bidi="en-US"/>
        </w:rPr>
        <w:lastRenderedPageBreak/>
        <w:t>THEORETICAL BACKGROUND OF THE EUTHANASIA INSTITUTE IN CONTEXT OF INTERNATIONAL LAW</w:t>
      </w:r>
      <w:bookmarkEnd w:id="8"/>
    </w:p>
    <w:p w14:paraId="2C580EEC" w14:textId="77777777" w:rsidR="00F7029D" w:rsidRPr="001256EA" w:rsidRDefault="00F7029D" w:rsidP="00293B92">
      <w:pPr>
        <w:spacing w:line="360" w:lineRule="auto"/>
        <w:jc w:val="both"/>
        <w:rPr>
          <w:rFonts w:ascii="Times New Roman" w:eastAsia="Calibri" w:hAnsi="Times New Roman" w:cs="Times New Roman"/>
          <w:sz w:val="24"/>
          <w:szCs w:val="24"/>
        </w:rPr>
      </w:pPr>
    </w:p>
    <w:p w14:paraId="4BA67F57" w14:textId="3EE683B8"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Euthanasia, often described as a "merciful release" from the pain of terminal illness</w:t>
      </w:r>
      <w:r w:rsidRPr="001256EA">
        <w:rPr>
          <w:rFonts w:ascii="Times New Roman" w:eastAsia="Calibri" w:hAnsi="Times New Roman" w:cs="Times New Roman"/>
          <w:sz w:val="24"/>
          <w:szCs w:val="24"/>
          <w:vertAlign w:val="superscript"/>
        </w:rPr>
        <w:footnoteReference w:id="73"/>
      </w:r>
      <w:r w:rsidRPr="001256EA">
        <w:rPr>
          <w:rFonts w:ascii="Times New Roman" w:eastAsia="Calibri" w:hAnsi="Times New Roman" w:cs="Times New Roman"/>
          <w:sz w:val="24"/>
          <w:szCs w:val="24"/>
        </w:rPr>
        <w:t>, refers to practices that seek to ensure a dignified end to life</w:t>
      </w:r>
      <w:r w:rsidRPr="001256EA">
        <w:rPr>
          <w:rFonts w:ascii="Times New Roman" w:eastAsia="Calibri" w:hAnsi="Times New Roman" w:cs="Times New Roman"/>
          <w:sz w:val="24"/>
          <w:szCs w:val="24"/>
          <w:vertAlign w:val="superscript"/>
        </w:rPr>
        <w:footnoteReference w:id="74"/>
      </w:r>
      <w:r w:rsidRPr="001256EA">
        <w:rPr>
          <w:rFonts w:ascii="Times New Roman" w:eastAsia="Calibri" w:hAnsi="Times New Roman" w:cs="Times New Roman"/>
          <w:sz w:val="24"/>
          <w:szCs w:val="24"/>
        </w:rPr>
        <w:t>.  As the deliberate act of ending life to relieve suffering, it raises complex legal and ethical questions at the intersection of medicine and human rights</w:t>
      </w:r>
      <w:r w:rsidRPr="001256EA">
        <w:rPr>
          <w:rFonts w:ascii="Times New Roman" w:eastAsia="Calibri" w:hAnsi="Times New Roman" w:cs="Times New Roman"/>
          <w:sz w:val="24"/>
          <w:szCs w:val="24"/>
          <w:vertAlign w:val="superscript"/>
        </w:rPr>
        <w:footnoteReference w:id="75"/>
      </w:r>
      <w:r w:rsidRPr="001256EA">
        <w:rPr>
          <w:rFonts w:ascii="Times New Roman" w:eastAsia="Calibri" w:hAnsi="Times New Roman" w:cs="Times New Roman"/>
          <w:sz w:val="24"/>
          <w:szCs w:val="24"/>
        </w:rPr>
        <w:t>. When examined through the lens of the right to live and die, the debate becomes even more nuanced, shaped by overlapping legal, ethical, and clinical viewpoints</w:t>
      </w:r>
      <w:r w:rsidRPr="001256EA">
        <w:rPr>
          <w:rFonts w:ascii="Times New Roman" w:eastAsia="Calibri" w:hAnsi="Times New Roman" w:cs="Times New Roman"/>
          <w:sz w:val="24"/>
          <w:szCs w:val="24"/>
          <w:vertAlign w:val="superscript"/>
        </w:rPr>
        <w:footnoteReference w:id="76"/>
      </w:r>
      <w:r w:rsidRPr="001256EA">
        <w:rPr>
          <w:rFonts w:ascii="Times New Roman" w:eastAsia="Calibri" w:hAnsi="Times New Roman" w:cs="Times New Roman"/>
          <w:sz w:val="24"/>
          <w:szCs w:val="24"/>
        </w:rPr>
        <w:t xml:space="preserve">. </w:t>
      </w:r>
    </w:p>
    <w:p w14:paraId="4D6FFAFB" w14:textId="56821AC8" w:rsidR="00293B92" w:rsidRPr="001256EA" w:rsidRDefault="002D0B24"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This chapter examines the theoretical aspects of euthanasia from various perspectives. First, euthanasia is defined in the broader human rights context, specifically the right to life and death, and its various forms are explained. It then reviews global legal norms and standards related to euthanasia, with particular attention to how they strike a balance between patient autonomy and the right to die. It also examines the social and legal implications of euthanasia from a human rights perspective, considering the arguments for and against its legalization. A systematic mapping of the scientific literature was conducted to provide a more in-depth analysis and identify key research trends using bibliometric tools.</w:t>
      </w:r>
    </w:p>
    <w:p w14:paraId="5BFC48DF" w14:textId="3831DFC5"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An examination of these opposing opinions underscores the necessity of having a better understanding of euthanasia. Euthanasia is not simply a medical practice but a deeply rooted social and ethical phenomenon, as illustrated by the interconnectedness of legal, moral, and medical considerations. It is important to have a firm framework that addresses all these considerations </w:t>
      </w:r>
      <w:r w:rsidR="002D0B24" w:rsidRPr="001256EA">
        <w:rPr>
          <w:rFonts w:ascii="Times New Roman" w:eastAsia="Calibri" w:hAnsi="Times New Roman" w:cs="Times New Roman"/>
          <w:sz w:val="24"/>
          <w:szCs w:val="24"/>
        </w:rPr>
        <w:t>to</w:t>
      </w:r>
      <w:r w:rsidRPr="001256EA">
        <w:rPr>
          <w:rFonts w:ascii="Times New Roman" w:eastAsia="Calibri" w:hAnsi="Times New Roman" w:cs="Times New Roman"/>
          <w:sz w:val="24"/>
          <w:szCs w:val="24"/>
        </w:rPr>
        <w:t xml:space="preserve"> address the problems associated with euthanasia. By comparing how various legal systems treat euthanasia, we may understand how societies combine life protection with respect for the autonomy of individuals making end-of-life decisions. In addition, palliative </w:t>
      </w:r>
      <w:r w:rsidRPr="001256EA">
        <w:rPr>
          <w:rFonts w:ascii="Times New Roman" w:eastAsia="Calibri" w:hAnsi="Times New Roman" w:cs="Times New Roman"/>
          <w:sz w:val="24"/>
          <w:szCs w:val="24"/>
        </w:rPr>
        <w:lastRenderedPageBreak/>
        <w:t>care plays a very pivotal role in end-of-life care. By prioritizing palliative care, we offer patients comprehensive treatment that deals with not only their physical suffering but also their emotional and psychological well-being. This is aligned to the very foundations of human rights, where we stress the dignity and value of every human being. It also centers on our moral duty to give humane care while respecting patients' autonomy and choice.</w:t>
      </w:r>
    </w:p>
    <w:p w14:paraId="78847D1B" w14:textId="4E8213B2"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Simultaneously, the use of computational thematic review permits a thorough review and aggregation of research studies in relation to multiple facets of euthanasia. This procedure gives us a large reading in the academic chat, which can highlight dominating choice methods and prevailing themes along with issues absent from your readings. </w:t>
      </w:r>
      <w:r w:rsidR="002D0B24" w:rsidRPr="001256EA">
        <w:rPr>
          <w:rFonts w:ascii="Times New Roman" w:eastAsia="Calibri" w:hAnsi="Times New Roman" w:cs="Times New Roman"/>
          <w:sz w:val="24"/>
          <w:szCs w:val="24"/>
        </w:rPr>
        <w:t>Thus, having examined how wide the debate has been and which aspects ask for advanced research strategies via a traditional mapping of scientific production.</w:t>
      </w:r>
      <w:r w:rsidRPr="001256EA">
        <w:rPr>
          <w:rFonts w:ascii="Times New Roman" w:eastAsia="Calibri" w:hAnsi="Times New Roman" w:cs="Times New Roman"/>
          <w:sz w:val="24"/>
          <w:szCs w:val="24"/>
        </w:rPr>
        <w:t xml:space="preserve"> It is necessary to go beyond these narrowing views </w:t>
      </w:r>
      <w:r w:rsidR="002D0B24" w:rsidRPr="001256EA">
        <w:rPr>
          <w:rFonts w:ascii="Times New Roman" w:eastAsia="Calibri" w:hAnsi="Times New Roman" w:cs="Times New Roman"/>
          <w:sz w:val="24"/>
          <w:szCs w:val="24"/>
        </w:rPr>
        <w:t>to</w:t>
      </w:r>
      <w:r w:rsidRPr="001256EA">
        <w:rPr>
          <w:rFonts w:ascii="Times New Roman" w:eastAsia="Calibri" w:hAnsi="Times New Roman" w:cs="Times New Roman"/>
          <w:sz w:val="24"/>
          <w:szCs w:val="24"/>
        </w:rPr>
        <w:t xml:space="preserve"> make decisions on euthanasia that do justice to the multiple roles played by </w:t>
      </w:r>
      <w:r w:rsidR="002D0B24" w:rsidRPr="001256EA">
        <w:rPr>
          <w:rFonts w:ascii="Times New Roman" w:eastAsia="Calibri" w:hAnsi="Times New Roman" w:cs="Times New Roman"/>
          <w:sz w:val="24"/>
          <w:szCs w:val="24"/>
        </w:rPr>
        <w:t xml:space="preserve">individuals, </w:t>
      </w:r>
      <w:r w:rsidRPr="001256EA">
        <w:rPr>
          <w:rFonts w:ascii="Times New Roman" w:eastAsia="Calibri" w:hAnsi="Times New Roman" w:cs="Times New Roman"/>
          <w:sz w:val="24"/>
          <w:szCs w:val="24"/>
        </w:rPr>
        <w:t>each particularly contingent upon and reciprocal with contexts of practice.</w:t>
      </w:r>
    </w:p>
    <w:p w14:paraId="0DC07CCF" w14:textId="6B5996CE" w:rsidR="00293B92" w:rsidRPr="001256EA" w:rsidRDefault="002D0B24"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Finally, the complexity of the institution of euthanasia and the diversity of its expression on a global scale, including in the national context, are revealed. It has been established that the legal and social regulation of euthanasia is formed as a multifaceted system consisting of legal norms, cultural traditions and value propositions of different countries, therefore a comparative and contextual assessment of such models is necessary.</w:t>
      </w:r>
      <w:r w:rsidR="00293B92" w:rsidRPr="001256EA">
        <w:rPr>
          <w:rFonts w:ascii="Times New Roman" w:eastAsia="Calibri" w:hAnsi="Times New Roman" w:cs="Times New Roman"/>
          <w:sz w:val="24"/>
          <w:szCs w:val="24"/>
        </w:rPr>
        <w:t xml:space="preserve"> Countries have different models for euthanasia, as one would expect from the greater society's values and beliefs about life, death, and autonomy. Through these distinctions, it is possible to achieve a balanced and inclusive method of developing an understanding of euthanasia, thereby encouraging dialogue that encompasses several dialogues with </w:t>
      </w:r>
      <w:r w:rsidRPr="001256EA">
        <w:rPr>
          <w:rFonts w:ascii="Times New Roman" w:eastAsia="Calibri" w:hAnsi="Times New Roman" w:cs="Times New Roman"/>
          <w:sz w:val="24"/>
          <w:szCs w:val="24"/>
        </w:rPr>
        <w:t>respect</w:t>
      </w:r>
      <w:r w:rsidR="00293B92" w:rsidRPr="001256EA">
        <w:rPr>
          <w:rFonts w:ascii="Times New Roman" w:eastAsia="Calibri" w:hAnsi="Times New Roman" w:cs="Times New Roman"/>
          <w:sz w:val="24"/>
          <w:szCs w:val="24"/>
        </w:rPr>
        <w:t xml:space="preserve"> for divergent opinions. This kind of dialogue is required for the development of the dialogue on euthanasia and for ensuring that the associated policies and practices are grounded in a correct understanding of its multifaceted nature.</w:t>
      </w:r>
    </w:p>
    <w:p w14:paraId="4D188BC5" w14:textId="77777777" w:rsidR="00F7029D" w:rsidRPr="001256EA" w:rsidRDefault="00F7029D" w:rsidP="00F7029D">
      <w:pPr>
        <w:spacing w:after="0" w:line="360" w:lineRule="auto"/>
        <w:ind w:firstLine="851"/>
        <w:jc w:val="both"/>
        <w:rPr>
          <w:rFonts w:ascii="Times New Roman" w:eastAsia="Calibri" w:hAnsi="Times New Roman" w:cs="Times New Roman"/>
          <w:sz w:val="24"/>
          <w:szCs w:val="24"/>
        </w:rPr>
      </w:pPr>
    </w:p>
    <w:p w14:paraId="1397E7A2" w14:textId="196EA4D5" w:rsidR="00F7029D" w:rsidRPr="001256EA" w:rsidRDefault="00293B92" w:rsidP="00722DEC">
      <w:pPr>
        <w:pStyle w:val="Heading2"/>
        <w:numPr>
          <w:ilvl w:val="1"/>
          <w:numId w:val="26"/>
        </w:numPr>
        <w:spacing w:before="0" w:line="360" w:lineRule="auto"/>
        <w:jc w:val="center"/>
        <w:rPr>
          <w:rFonts w:ascii="Times New Roman" w:eastAsia="Calibri" w:hAnsi="Times New Roman" w:cs="Times New Roman"/>
          <w:b/>
          <w:bCs/>
          <w:color w:val="auto"/>
          <w:sz w:val="24"/>
          <w:szCs w:val="24"/>
        </w:rPr>
      </w:pPr>
      <w:bookmarkStart w:id="9" w:name="_Toc216374384"/>
      <w:r w:rsidRPr="001256EA">
        <w:rPr>
          <w:rFonts w:ascii="Times New Roman" w:eastAsia="Calibri" w:hAnsi="Times New Roman" w:cs="Times New Roman"/>
          <w:b/>
          <w:bCs/>
          <w:color w:val="auto"/>
          <w:sz w:val="24"/>
          <w:szCs w:val="24"/>
        </w:rPr>
        <w:t>Institutionalization of euthanasia in the framework of realizing human right to life and death</w:t>
      </w:r>
      <w:bookmarkEnd w:id="9"/>
    </w:p>
    <w:p w14:paraId="5C78D05D" w14:textId="77777777" w:rsidR="007C2C03" w:rsidRPr="001256EA" w:rsidRDefault="007C2C03" w:rsidP="007C2C03"/>
    <w:p w14:paraId="612E87BA" w14:textId="309FDC26" w:rsidR="00293B92" w:rsidRPr="001256EA" w:rsidRDefault="00293B92" w:rsidP="00722DEC">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Euthanasia as an intentional practice that creates a life-ending through pain, suffering relief application has lasted for centuries</w:t>
      </w:r>
      <w:r w:rsidRPr="001256EA">
        <w:rPr>
          <w:rFonts w:ascii="Times New Roman" w:eastAsia="Calibri" w:hAnsi="Times New Roman" w:cs="Times New Roman"/>
          <w:sz w:val="24"/>
          <w:szCs w:val="24"/>
          <w:vertAlign w:val="superscript"/>
        </w:rPr>
        <w:footnoteReference w:id="77"/>
      </w:r>
      <w:r w:rsidRPr="001256EA">
        <w:rPr>
          <w:rFonts w:ascii="Times New Roman" w:eastAsia="Calibri" w:hAnsi="Times New Roman" w:cs="Times New Roman"/>
          <w:sz w:val="24"/>
          <w:szCs w:val="24"/>
        </w:rPr>
        <w:t xml:space="preserve">. It is a complex and </w:t>
      </w:r>
      <w:r w:rsidR="002D0B24" w:rsidRPr="001256EA">
        <w:rPr>
          <w:rFonts w:ascii="Times New Roman" w:eastAsia="Calibri" w:hAnsi="Times New Roman" w:cs="Times New Roman"/>
          <w:sz w:val="24"/>
          <w:szCs w:val="24"/>
        </w:rPr>
        <w:t>many layered</w:t>
      </w:r>
      <w:r w:rsidRPr="001256EA">
        <w:rPr>
          <w:rFonts w:ascii="Times New Roman" w:eastAsia="Calibri" w:hAnsi="Times New Roman" w:cs="Times New Roman"/>
          <w:sz w:val="24"/>
          <w:szCs w:val="24"/>
        </w:rPr>
        <w:t xml:space="preserve"> </w:t>
      </w:r>
      <w:r w:rsidR="00ED3976" w:rsidRPr="001256EA">
        <w:rPr>
          <w:rFonts w:ascii="Times New Roman" w:eastAsia="Calibri" w:hAnsi="Times New Roman" w:cs="Times New Roman"/>
          <w:sz w:val="24"/>
          <w:szCs w:val="24"/>
        </w:rPr>
        <w:t>debates</w:t>
      </w:r>
      <w:r w:rsidRPr="001256EA">
        <w:rPr>
          <w:rFonts w:ascii="Times New Roman" w:eastAsia="Calibri" w:hAnsi="Times New Roman" w:cs="Times New Roman"/>
          <w:sz w:val="24"/>
          <w:szCs w:val="24"/>
        </w:rPr>
        <w:t xml:space="preserve"> covering legal, social scientific, ethical as well as religious aspects. </w:t>
      </w:r>
    </w:p>
    <w:p w14:paraId="5119DBA3"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lastRenderedPageBreak/>
        <w:t>Well, the social and legal concerns with euthanasia from the perspective of human rights are presented as part 2. Furthermore, the debate on euthanasia inevitably involves intricate considerations of patient autonomy, dignity, and the role of physicians in end-of-life care, which highlights the complexity of this moral question.</w:t>
      </w:r>
    </w:p>
    <w:p w14:paraId="680BD9B9" w14:textId="0480BE81"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Those who advocate for euthanasia hold that individuals possess an essential right to control what is done to their own bodies and lives</w:t>
      </w:r>
      <w:r w:rsidRPr="001256EA">
        <w:rPr>
          <w:rFonts w:ascii="Times New Roman" w:eastAsia="Calibri" w:hAnsi="Times New Roman" w:cs="Times New Roman"/>
          <w:sz w:val="24"/>
          <w:szCs w:val="24"/>
          <w:vertAlign w:val="superscript"/>
        </w:rPr>
        <w:footnoteReference w:id="78"/>
      </w:r>
      <w:r w:rsidRPr="001256EA">
        <w:rPr>
          <w:rFonts w:ascii="Times New Roman" w:eastAsia="Calibri" w:hAnsi="Times New Roman" w:cs="Times New Roman"/>
          <w:sz w:val="24"/>
          <w:szCs w:val="24"/>
        </w:rPr>
        <w:t xml:space="preserve">. They argue that patients should be empowered to make decisions on their end-of-life care, including </w:t>
      </w:r>
      <w:r w:rsidR="002D0B24" w:rsidRPr="001256EA">
        <w:rPr>
          <w:rFonts w:ascii="Times New Roman" w:eastAsia="Calibri" w:hAnsi="Times New Roman" w:cs="Times New Roman"/>
          <w:sz w:val="24"/>
          <w:szCs w:val="24"/>
        </w:rPr>
        <w:t>euthanasia,</w:t>
      </w:r>
      <w:r w:rsidRPr="001256EA">
        <w:rPr>
          <w:rFonts w:ascii="Times New Roman" w:eastAsia="Calibri" w:hAnsi="Times New Roman" w:cs="Times New Roman"/>
          <w:sz w:val="24"/>
          <w:szCs w:val="24"/>
        </w:rPr>
        <w:t xml:space="preserve"> to bring an end to their suffering</w:t>
      </w:r>
      <w:r w:rsidRPr="001256EA">
        <w:rPr>
          <w:rFonts w:ascii="Times New Roman" w:eastAsia="Calibri" w:hAnsi="Times New Roman" w:cs="Times New Roman"/>
          <w:sz w:val="24"/>
          <w:szCs w:val="24"/>
          <w:vertAlign w:val="superscript"/>
        </w:rPr>
        <w:footnoteReference w:id="79"/>
      </w:r>
      <w:r w:rsidRPr="001256EA">
        <w:rPr>
          <w:rFonts w:ascii="Times New Roman" w:eastAsia="Calibri" w:hAnsi="Times New Roman" w:cs="Times New Roman"/>
          <w:sz w:val="24"/>
          <w:szCs w:val="24"/>
        </w:rPr>
        <w:t>. According to</w:t>
      </w:r>
      <w:r w:rsidR="001A5697" w:rsidRPr="001A5697">
        <w:rPr>
          <w:rFonts w:ascii="Times New Roman" w:eastAsia="Calibri" w:hAnsi="Times New Roman" w:cs="Times New Roman"/>
          <w:sz w:val="24"/>
          <w:szCs w:val="24"/>
        </w:rPr>
        <w:t xml:space="preserve"> </w:t>
      </w:r>
      <w:r w:rsidR="001A5697" w:rsidRPr="001256EA">
        <w:rPr>
          <w:rFonts w:ascii="Times New Roman" w:eastAsia="Calibri" w:hAnsi="Times New Roman" w:cs="Times New Roman"/>
          <w:sz w:val="24"/>
          <w:szCs w:val="24"/>
        </w:rPr>
        <w:t>ICCPR</w:t>
      </w:r>
      <w:r w:rsidR="001A5697" w:rsidRPr="001256EA">
        <w:rPr>
          <w:rFonts w:ascii="Times New Roman" w:eastAsia="Calibri" w:hAnsi="Times New Roman" w:cs="Times New Roman"/>
          <w:sz w:val="24"/>
          <w:szCs w:val="24"/>
          <w:vertAlign w:val="superscript"/>
        </w:rPr>
        <w:footnoteReference w:id="80"/>
      </w:r>
      <w:r w:rsidRPr="001256EA">
        <w:rPr>
          <w:rFonts w:ascii="Times New Roman" w:eastAsia="Calibri" w:hAnsi="Times New Roman" w:cs="Times New Roman"/>
          <w:sz w:val="24"/>
          <w:szCs w:val="24"/>
        </w:rPr>
        <w:t xml:space="preserve"> </w:t>
      </w:r>
      <w:r w:rsidR="001A5697">
        <w:rPr>
          <w:rFonts w:ascii="Times New Roman" w:eastAsia="Calibri" w:hAnsi="Times New Roman" w:cs="Times New Roman"/>
          <w:sz w:val="24"/>
          <w:szCs w:val="24"/>
        </w:rPr>
        <w:t xml:space="preserve">and </w:t>
      </w:r>
      <w:r w:rsidR="001A5697" w:rsidRPr="001256EA">
        <w:rPr>
          <w:rFonts w:ascii="Times New Roman" w:eastAsia="Calibri" w:hAnsi="Times New Roman" w:cs="Times New Roman"/>
          <w:sz w:val="24"/>
          <w:szCs w:val="24"/>
        </w:rPr>
        <w:t>UDHR</w:t>
      </w:r>
      <w:r w:rsidR="001A5697" w:rsidRPr="001256EA">
        <w:rPr>
          <w:rFonts w:ascii="Times New Roman" w:eastAsia="Calibri" w:hAnsi="Times New Roman" w:cs="Times New Roman"/>
          <w:sz w:val="24"/>
          <w:szCs w:val="24"/>
          <w:vertAlign w:val="superscript"/>
        </w:rPr>
        <w:footnoteReference w:id="81"/>
      </w:r>
      <w:r w:rsidRPr="001256EA">
        <w:rPr>
          <w:rFonts w:ascii="Times New Roman" w:eastAsia="Calibri" w:hAnsi="Times New Roman" w:cs="Times New Roman"/>
          <w:sz w:val="24"/>
          <w:szCs w:val="24"/>
        </w:rPr>
        <w:t>, the right to life includes the right to choose how and when to die, especially in the face of unbearable pain. This viewpoint is supported by ethical frameworks that prioritize patient autonomy and the compassionate relief of suffering</w:t>
      </w:r>
      <w:r w:rsidRPr="001256EA">
        <w:rPr>
          <w:rFonts w:ascii="Times New Roman" w:eastAsia="Calibri" w:hAnsi="Times New Roman" w:cs="Times New Roman"/>
          <w:sz w:val="24"/>
          <w:szCs w:val="24"/>
          <w:vertAlign w:val="superscript"/>
        </w:rPr>
        <w:footnoteReference w:id="82"/>
      </w:r>
      <w:r w:rsidRPr="001256EA">
        <w:rPr>
          <w:rFonts w:ascii="Times New Roman" w:eastAsia="Calibri" w:hAnsi="Times New Roman" w:cs="Times New Roman"/>
          <w:sz w:val="24"/>
          <w:szCs w:val="24"/>
        </w:rPr>
        <w:t>.</w:t>
      </w:r>
    </w:p>
    <w:p w14:paraId="29AC826C"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However, critics of euthanasia point out the potential for misuse and the exploitation of vulnerable people</w:t>
      </w:r>
      <w:r w:rsidRPr="001256EA">
        <w:rPr>
          <w:rFonts w:ascii="Times New Roman" w:eastAsia="Calibri" w:hAnsi="Times New Roman" w:cs="Times New Roman"/>
          <w:sz w:val="24"/>
          <w:szCs w:val="24"/>
          <w:vertAlign w:val="superscript"/>
        </w:rPr>
        <w:footnoteReference w:id="83"/>
      </w:r>
      <w:r w:rsidRPr="001256EA">
        <w:rPr>
          <w:rFonts w:ascii="Times New Roman" w:eastAsia="Calibri" w:hAnsi="Times New Roman" w:cs="Times New Roman"/>
          <w:sz w:val="24"/>
          <w:szCs w:val="24"/>
        </w:rPr>
        <w:t xml:space="preserve">. They worry that legalizing euthanasia might lead to a slippery slope, where the lives of the elderly, disabled, or those who cannot speak up for themselves could be ended prematurely, sometimes against their actual wishes. They also emphasize the sanctity of life, referencing Article 6 of the ICCPR, which states, </w:t>
      </w:r>
      <w:r w:rsidRPr="001256EA">
        <w:rPr>
          <w:rFonts w:ascii="Times New Roman" w:eastAsia="Calibri" w:hAnsi="Times New Roman" w:cs="Times New Roman"/>
          <w:i/>
          <w:iCs/>
          <w:sz w:val="24"/>
          <w:szCs w:val="24"/>
        </w:rPr>
        <w:t>"no one shall be arbitrarily deprived of life"</w:t>
      </w:r>
      <w:r w:rsidRPr="001256EA">
        <w:rPr>
          <w:rFonts w:ascii="Times New Roman" w:eastAsia="Calibri" w:hAnsi="Times New Roman" w:cs="Times New Roman"/>
          <w:sz w:val="24"/>
          <w:szCs w:val="24"/>
          <w:vertAlign w:val="superscript"/>
        </w:rPr>
        <w:footnoteReference w:id="84"/>
      </w:r>
      <w:r w:rsidRPr="001256EA">
        <w:rPr>
          <w:rFonts w:ascii="Times New Roman" w:eastAsia="Calibri" w:hAnsi="Times New Roman" w:cs="Times New Roman"/>
          <w:sz w:val="24"/>
          <w:szCs w:val="24"/>
        </w:rPr>
        <w:t>.</w:t>
      </w:r>
    </w:p>
    <w:p w14:paraId="6F78DC8D" w14:textId="29D330FE" w:rsidR="00E4394A" w:rsidRPr="001256EA" w:rsidRDefault="00293B92" w:rsidP="00E4394A">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protection of vulnerable groups, including the elderly, disabled and psychiatric patients, is a major legal challenge in regulating euthanasia. Critics argue that legalizing euthanasia could lead to coercing or inappropriately pressuring these groups, </w:t>
      </w:r>
      <w:r w:rsidR="00AC1534" w:rsidRPr="001256EA">
        <w:rPr>
          <w:rFonts w:ascii="Times New Roman" w:eastAsia="Calibri" w:hAnsi="Times New Roman" w:cs="Times New Roman"/>
          <w:sz w:val="24"/>
          <w:szCs w:val="24"/>
        </w:rPr>
        <w:t>in</w:t>
      </w:r>
      <w:r w:rsidRPr="001256EA">
        <w:rPr>
          <w:rFonts w:ascii="Times New Roman" w:eastAsia="Calibri" w:hAnsi="Times New Roman" w:cs="Times New Roman"/>
          <w:sz w:val="24"/>
          <w:szCs w:val="24"/>
        </w:rPr>
        <w:t xml:space="preserve"> resource-constrained healthcare systems</w:t>
      </w:r>
      <w:r w:rsidRPr="001256EA">
        <w:rPr>
          <w:rFonts w:ascii="Times New Roman" w:eastAsia="Calibri" w:hAnsi="Times New Roman" w:cs="Times New Roman"/>
          <w:sz w:val="24"/>
          <w:szCs w:val="24"/>
          <w:vertAlign w:val="superscript"/>
        </w:rPr>
        <w:footnoteReference w:id="85"/>
      </w:r>
      <w:r w:rsidRPr="001256EA">
        <w:rPr>
          <w:rFonts w:ascii="Times New Roman" w:eastAsia="Calibri" w:hAnsi="Times New Roman" w:cs="Times New Roman"/>
          <w:sz w:val="24"/>
          <w:szCs w:val="24"/>
        </w:rPr>
        <w:t>. Responding to this, legal systems such as those in Canada</w:t>
      </w:r>
      <w:r w:rsidRPr="001256EA">
        <w:rPr>
          <w:rFonts w:ascii="Times New Roman" w:eastAsia="Calibri" w:hAnsi="Times New Roman" w:cs="Times New Roman"/>
          <w:sz w:val="24"/>
          <w:szCs w:val="24"/>
          <w:vertAlign w:val="superscript"/>
        </w:rPr>
        <w:footnoteReference w:id="86"/>
      </w:r>
      <w:r w:rsidRPr="001256EA">
        <w:rPr>
          <w:rFonts w:ascii="Times New Roman" w:eastAsia="Calibri" w:hAnsi="Times New Roman" w:cs="Times New Roman"/>
          <w:sz w:val="24"/>
          <w:szCs w:val="24"/>
        </w:rPr>
        <w:t xml:space="preserve"> </w:t>
      </w:r>
      <w:r w:rsidRPr="001256EA">
        <w:rPr>
          <w:rFonts w:ascii="Times New Roman" w:eastAsia="Calibri" w:hAnsi="Times New Roman" w:cs="Times New Roman"/>
          <w:sz w:val="24"/>
          <w:szCs w:val="24"/>
        </w:rPr>
        <w:lastRenderedPageBreak/>
        <w:t>and the Netherlands</w:t>
      </w:r>
      <w:r w:rsidRPr="001256EA">
        <w:rPr>
          <w:rFonts w:ascii="Times New Roman" w:eastAsia="Calibri" w:hAnsi="Times New Roman" w:cs="Times New Roman"/>
          <w:sz w:val="24"/>
          <w:szCs w:val="24"/>
          <w:vertAlign w:val="superscript"/>
        </w:rPr>
        <w:footnoteReference w:id="87"/>
      </w:r>
      <w:r w:rsidRPr="001256EA">
        <w:rPr>
          <w:rFonts w:ascii="Times New Roman" w:eastAsia="Calibri" w:hAnsi="Times New Roman" w:cs="Times New Roman"/>
          <w:sz w:val="24"/>
          <w:szCs w:val="24"/>
        </w:rPr>
        <w:t xml:space="preserve"> have introduced additional safeguards, including mandatory psychiatric evaluations and independent review committees. </w:t>
      </w:r>
    </w:p>
    <w:p w14:paraId="54C8B3CF" w14:textId="6CDAD82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euthanasia debate demands a careful balance between honoring individual autonomy and the right to be free from </w:t>
      </w:r>
      <w:r w:rsidR="002D0B24" w:rsidRPr="001256EA">
        <w:rPr>
          <w:rFonts w:ascii="Times New Roman" w:eastAsia="Calibri" w:hAnsi="Times New Roman" w:cs="Times New Roman"/>
          <w:sz w:val="24"/>
          <w:szCs w:val="24"/>
        </w:rPr>
        <w:t>suffering and</w:t>
      </w:r>
      <w:r w:rsidRPr="001256EA">
        <w:rPr>
          <w:rFonts w:ascii="Times New Roman" w:eastAsia="Calibri" w:hAnsi="Times New Roman" w:cs="Times New Roman"/>
          <w:sz w:val="24"/>
          <w:szCs w:val="24"/>
        </w:rPr>
        <w:t xml:space="preserve"> protecting life and preventing abuse</w:t>
      </w:r>
      <w:r w:rsidRPr="001256EA">
        <w:rPr>
          <w:rFonts w:ascii="Times New Roman" w:eastAsia="Calibri" w:hAnsi="Times New Roman" w:cs="Times New Roman"/>
          <w:sz w:val="24"/>
          <w:szCs w:val="24"/>
          <w:vertAlign w:val="superscript"/>
        </w:rPr>
        <w:footnoteReference w:id="88"/>
      </w:r>
      <w:r w:rsidRPr="001256EA">
        <w:rPr>
          <w:rFonts w:ascii="Times New Roman" w:eastAsia="Calibri" w:hAnsi="Times New Roman" w:cs="Times New Roman"/>
          <w:sz w:val="24"/>
          <w:szCs w:val="24"/>
        </w:rPr>
        <w:t xml:space="preserve">. </w:t>
      </w:r>
      <w:r w:rsidR="002D0B24" w:rsidRPr="001256EA">
        <w:rPr>
          <w:rFonts w:ascii="Times New Roman" w:eastAsia="Calibri" w:hAnsi="Times New Roman" w:cs="Times New Roman"/>
          <w:sz w:val="24"/>
          <w:szCs w:val="24"/>
        </w:rPr>
        <w:t>To</w:t>
      </w:r>
      <w:r w:rsidRPr="001256EA">
        <w:rPr>
          <w:rFonts w:ascii="Times New Roman" w:eastAsia="Calibri" w:hAnsi="Times New Roman" w:cs="Times New Roman"/>
          <w:sz w:val="24"/>
          <w:szCs w:val="24"/>
        </w:rPr>
        <w:t xml:space="preserve"> carry out euthanasia both responsibly and ethically, firm criteria and rigorous safeguards need to be put in place. This would involve </w:t>
      </w:r>
      <w:r w:rsidR="002D0B24" w:rsidRPr="001256EA">
        <w:rPr>
          <w:rFonts w:ascii="Times New Roman" w:eastAsia="Calibri" w:hAnsi="Times New Roman" w:cs="Times New Roman"/>
          <w:sz w:val="24"/>
          <w:szCs w:val="24"/>
        </w:rPr>
        <w:t>assessing</w:t>
      </w:r>
      <w:r w:rsidRPr="001256EA">
        <w:rPr>
          <w:rFonts w:ascii="Times New Roman" w:eastAsia="Calibri" w:hAnsi="Times New Roman" w:cs="Times New Roman"/>
          <w:sz w:val="24"/>
          <w:szCs w:val="24"/>
        </w:rPr>
        <w:t xml:space="preserve"> the state of mind of the patient and inclusive processes of obtaining informed consent. The necessity to create sharp guidelines in distinguishing between voluntary euthanasia, in which patients give consent, and involuntary euthanasia, which is carried out in the absence of explicit consent and raises serious ethical concerns, needs to be undertaken</w:t>
      </w:r>
      <w:r w:rsidRPr="001256EA">
        <w:rPr>
          <w:rFonts w:ascii="Times New Roman" w:eastAsia="Calibri" w:hAnsi="Times New Roman" w:cs="Times New Roman"/>
          <w:sz w:val="24"/>
          <w:szCs w:val="24"/>
          <w:vertAlign w:val="superscript"/>
        </w:rPr>
        <w:footnoteReference w:id="89"/>
      </w:r>
      <w:r w:rsidRPr="001256EA">
        <w:rPr>
          <w:rFonts w:ascii="Times New Roman" w:eastAsia="Calibri" w:hAnsi="Times New Roman" w:cs="Times New Roman"/>
          <w:sz w:val="24"/>
          <w:szCs w:val="24"/>
        </w:rPr>
        <w:t>.</w:t>
      </w:r>
    </w:p>
    <w:p w14:paraId="32A6EB36"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Furthermore, the legal frameworks of euthanasia in different countries are quite different from one another, embodying their respective ethical, cultural, and societal values. Certain countries, such as the Netherlands and Belgium, have legalized euthanasia under restricted circumstances that include both patient consent and medical supervision</w:t>
      </w:r>
      <w:r w:rsidRPr="001256EA">
        <w:rPr>
          <w:rFonts w:ascii="Times New Roman" w:eastAsia="Calibri" w:hAnsi="Times New Roman" w:cs="Times New Roman"/>
          <w:sz w:val="24"/>
          <w:szCs w:val="24"/>
          <w:vertAlign w:val="superscript"/>
        </w:rPr>
        <w:footnoteReference w:id="90"/>
      </w:r>
      <w:r w:rsidRPr="001256EA">
        <w:rPr>
          <w:rFonts w:ascii="Times New Roman" w:eastAsia="Calibri" w:hAnsi="Times New Roman" w:cs="Times New Roman"/>
          <w:sz w:val="24"/>
          <w:szCs w:val="24"/>
        </w:rPr>
        <w:t>. Others, like France, permit only the withdrawal of life-sustaining treatments deemed "disproportionate" or "unreasonable"</w:t>
      </w:r>
      <w:r w:rsidRPr="001256EA">
        <w:rPr>
          <w:rFonts w:ascii="Times New Roman" w:eastAsia="Calibri" w:hAnsi="Times New Roman" w:cs="Times New Roman"/>
          <w:sz w:val="24"/>
          <w:szCs w:val="24"/>
          <w:vertAlign w:val="superscript"/>
        </w:rPr>
        <w:footnoteReference w:id="91"/>
      </w:r>
      <w:r w:rsidRPr="001256EA">
        <w:rPr>
          <w:rFonts w:ascii="Times New Roman" w:eastAsia="Calibri" w:hAnsi="Times New Roman" w:cs="Times New Roman"/>
          <w:sz w:val="24"/>
          <w:szCs w:val="24"/>
        </w:rPr>
        <w:t>.</w:t>
      </w:r>
    </w:p>
    <w:p w14:paraId="489A3662"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Conversely, there are nations with an absolute prohibition </w:t>
      </w:r>
      <w:proofErr w:type="gramStart"/>
      <w:r w:rsidRPr="001256EA">
        <w:rPr>
          <w:rFonts w:ascii="Times New Roman" w:eastAsia="Calibri" w:hAnsi="Times New Roman" w:cs="Times New Roman"/>
          <w:sz w:val="24"/>
          <w:szCs w:val="24"/>
        </w:rPr>
        <w:t>of</w:t>
      </w:r>
      <w:proofErr w:type="gramEnd"/>
      <w:r w:rsidRPr="001256EA">
        <w:rPr>
          <w:rFonts w:ascii="Times New Roman" w:eastAsia="Calibri" w:hAnsi="Times New Roman" w:cs="Times New Roman"/>
          <w:sz w:val="24"/>
          <w:szCs w:val="24"/>
        </w:rPr>
        <w:t xml:space="preserve"> euthanasia, considering it equivalent to murder. Such political decisions demonstrate </w:t>
      </w:r>
      <w:proofErr w:type="gramStart"/>
      <w:r w:rsidRPr="001256EA">
        <w:rPr>
          <w:rFonts w:ascii="Times New Roman" w:eastAsia="Calibri" w:hAnsi="Times New Roman" w:cs="Times New Roman"/>
          <w:sz w:val="24"/>
          <w:szCs w:val="24"/>
        </w:rPr>
        <w:t>the opposing</w:t>
      </w:r>
      <w:proofErr w:type="gramEnd"/>
      <w:r w:rsidRPr="001256EA">
        <w:rPr>
          <w:rFonts w:ascii="Times New Roman" w:eastAsia="Calibri" w:hAnsi="Times New Roman" w:cs="Times New Roman"/>
          <w:sz w:val="24"/>
          <w:szCs w:val="24"/>
        </w:rPr>
        <w:t xml:space="preserve"> moral viewpoints, where some countries prefer autonomy and compassion, whereas others believe in the sanctity of life and safety from possible abuse.</w:t>
      </w:r>
    </w:p>
    <w:p w14:paraId="5F25172E"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Aside from legislation in place, how such laws are interpreted and implemented by the courts also significantly shapes euthanasia practice. Court rulings establish the limits and terms under which legally practicing euthanasia is allowed, having a direct impact on medical </w:t>
      </w:r>
      <w:r w:rsidRPr="001256EA">
        <w:rPr>
          <w:rFonts w:ascii="Times New Roman" w:eastAsia="Calibri" w:hAnsi="Times New Roman" w:cs="Times New Roman"/>
          <w:sz w:val="24"/>
          <w:szCs w:val="24"/>
        </w:rPr>
        <w:lastRenderedPageBreak/>
        <w:t>practice. For example, landmark court rulings in various regions of the globe have set precedents that broaden or narrow the extent of allowable euthanasia, mirroring evolving public opinion and ethical debate</w:t>
      </w:r>
      <w:r w:rsidRPr="001256EA">
        <w:rPr>
          <w:rFonts w:ascii="Times New Roman" w:eastAsia="Calibri" w:hAnsi="Times New Roman" w:cs="Times New Roman"/>
          <w:sz w:val="24"/>
          <w:szCs w:val="24"/>
          <w:vertAlign w:val="superscript"/>
        </w:rPr>
        <w:footnoteReference w:id="92"/>
      </w:r>
      <w:r w:rsidRPr="001256EA">
        <w:rPr>
          <w:rFonts w:ascii="Times New Roman" w:eastAsia="Calibri" w:hAnsi="Times New Roman" w:cs="Times New Roman"/>
          <w:sz w:val="24"/>
          <w:szCs w:val="24"/>
        </w:rPr>
        <w:t>.</w:t>
      </w:r>
    </w:p>
    <w:p w14:paraId="2CF727CA"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In shaping euthanasia law, judicial decisions have played an important role. For instance, in Carter v. Canada</w:t>
      </w:r>
      <w:r w:rsidRPr="001256EA">
        <w:rPr>
          <w:rFonts w:ascii="Times New Roman" w:eastAsia="Calibri" w:hAnsi="Times New Roman" w:cs="Times New Roman"/>
          <w:sz w:val="24"/>
          <w:szCs w:val="24"/>
          <w:vertAlign w:val="superscript"/>
        </w:rPr>
        <w:footnoteReference w:id="93"/>
      </w:r>
      <w:r w:rsidRPr="001256EA">
        <w:rPr>
          <w:rFonts w:ascii="Times New Roman" w:eastAsia="Calibri" w:hAnsi="Times New Roman" w:cs="Times New Roman"/>
          <w:sz w:val="24"/>
          <w:szCs w:val="24"/>
        </w:rPr>
        <w:t>, the Supreme Court of Canada ruled that criminalizing doctor-assisted death was a violation of the Canadian Charter of Rights and Freedoms, which led to the legalization of assisted suicide under certain conditions. Similarly, the German Federal Constitutional Court (</w:t>
      </w:r>
      <w:proofErr w:type="spellStart"/>
      <w:r w:rsidRPr="00434D87">
        <w:rPr>
          <w:rFonts w:ascii="Times New Roman" w:eastAsia="Calibri" w:hAnsi="Times New Roman" w:cs="Times New Roman"/>
          <w:i/>
          <w:iCs/>
          <w:sz w:val="24"/>
          <w:szCs w:val="24"/>
        </w:rPr>
        <w:t>Bundesverfassungsgericht</w:t>
      </w:r>
      <w:proofErr w:type="spellEnd"/>
      <w:r w:rsidRPr="001256EA">
        <w:rPr>
          <w:rFonts w:ascii="Times New Roman" w:eastAsia="Calibri" w:hAnsi="Times New Roman" w:cs="Times New Roman"/>
          <w:sz w:val="24"/>
          <w:szCs w:val="24"/>
        </w:rPr>
        <w:t>) ruled in 2020 that the right to die as one chooses is protected under German constitutional law</w:t>
      </w:r>
      <w:r w:rsidRPr="001256EA">
        <w:rPr>
          <w:rFonts w:ascii="Times New Roman" w:eastAsia="Calibri" w:hAnsi="Times New Roman" w:cs="Times New Roman"/>
          <w:sz w:val="24"/>
          <w:szCs w:val="24"/>
          <w:vertAlign w:val="superscript"/>
        </w:rPr>
        <w:footnoteReference w:id="94"/>
      </w:r>
      <w:r w:rsidRPr="001256EA">
        <w:rPr>
          <w:rFonts w:ascii="Times New Roman" w:eastAsia="Calibri" w:hAnsi="Times New Roman" w:cs="Times New Roman"/>
          <w:sz w:val="24"/>
          <w:szCs w:val="24"/>
        </w:rPr>
        <w:t>.</w:t>
      </w:r>
    </w:p>
    <w:p w14:paraId="20BE2F53"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Fundamentally, the debate on euthanasia is highly complex in the way it treads the balance between upholding personal autonomy and ensuring protection from potential exploitation</w:t>
      </w:r>
      <w:r w:rsidRPr="001256EA">
        <w:rPr>
          <w:rFonts w:ascii="Times New Roman" w:eastAsia="Calibri" w:hAnsi="Times New Roman" w:cs="Times New Roman"/>
          <w:sz w:val="24"/>
          <w:szCs w:val="24"/>
          <w:vertAlign w:val="superscript"/>
        </w:rPr>
        <w:footnoteReference w:id="95"/>
      </w:r>
      <w:r w:rsidRPr="001256EA">
        <w:rPr>
          <w:rFonts w:ascii="Times New Roman" w:eastAsia="Calibri" w:hAnsi="Times New Roman" w:cs="Times New Roman"/>
          <w:sz w:val="24"/>
          <w:szCs w:val="24"/>
        </w:rPr>
        <w:t>. The evolution of laws and court rulings across nations globally highlights ongoing attempts at reconciling the opposing principles, attesting to the imperatives of ongoing debate and moral inquiry in legislating euthanasia</w:t>
      </w:r>
      <w:r w:rsidRPr="001256EA">
        <w:rPr>
          <w:rFonts w:ascii="Times New Roman" w:eastAsia="Calibri" w:hAnsi="Times New Roman" w:cs="Times New Roman"/>
          <w:sz w:val="24"/>
          <w:szCs w:val="24"/>
          <w:vertAlign w:val="superscript"/>
        </w:rPr>
        <w:footnoteReference w:id="96"/>
      </w:r>
      <w:r w:rsidRPr="001256EA">
        <w:rPr>
          <w:rFonts w:ascii="Times New Roman" w:eastAsia="Calibri" w:hAnsi="Times New Roman" w:cs="Times New Roman"/>
          <w:sz w:val="24"/>
          <w:szCs w:val="24"/>
        </w:rPr>
        <w:t>. The intricacy of this problem demands ongoing diligence on the part of physicians and nurses alike to make sure that policies are framed by compassion, justice, and ethical principles.</w:t>
      </w:r>
    </w:p>
    <w:p w14:paraId="3B2A4CCF"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Euthanasia, derived from the Greek word meaning "good death," has come to represent the act of inducing a painless death to relieve the suffering of those with incurable and painful conditions</w:t>
      </w:r>
      <w:r w:rsidRPr="001256EA">
        <w:rPr>
          <w:rFonts w:ascii="Times New Roman" w:eastAsia="Calibri" w:hAnsi="Times New Roman" w:cs="Times New Roman"/>
          <w:sz w:val="24"/>
          <w:szCs w:val="24"/>
          <w:vertAlign w:val="superscript"/>
        </w:rPr>
        <w:footnoteReference w:id="97"/>
      </w:r>
      <w:r w:rsidRPr="001256EA">
        <w:rPr>
          <w:rFonts w:ascii="Times New Roman" w:eastAsia="Calibri" w:hAnsi="Times New Roman" w:cs="Times New Roman"/>
          <w:sz w:val="24"/>
          <w:szCs w:val="24"/>
        </w:rPr>
        <w:t>. This idea has ignited ethical and religious debates since the late 19th century</w:t>
      </w:r>
      <w:r w:rsidRPr="001256EA">
        <w:rPr>
          <w:rFonts w:ascii="Times New Roman" w:eastAsia="Calibri" w:hAnsi="Times New Roman" w:cs="Times New Roman"/>
          <w:sz w:val="24"/>
          <w:szCs w:val="24"/>
          <w:vertAlign w:val="superscript"/>
        </w:rPr>
        <w:footnoteReference w:id="98"/>
      </w:r>
      <w:r w:rsidRPr="001256EA">
        <w:rPr>
          <w:rFonts w:ascii="Times New Roman" w:eastAsia="Calibri" w:hAnsi="Times New Roman" w:cs="Times New Roman"/>
          <w:sz w:val="24"/>
          <w:szCs w:val="24"/>
        </w:rPr>
        <w:t xml:space="preserve">. The Oxford Dictionary explains euthanasia as the act of inducing a painless and peaceful death on sufferers of incurable and painful diseases. This clarification of the term and its origins </w:t>
      </w:r>
      <w:proofErr w:type="gramStart"/>
      <w:r w:rsidRPr="001256EA">
        <w:rPr>
          <w:rFonts w:ascii="Times New Roman" w:eastAsia="Calibri" w:hAnsi="Times New Roman" w:cs="Times New Roman"/>
          <w:sz w:val="24"/>
          <w:szCs w:val="24"/>
        </w:rPr>
        <w:t>lays</w:t>
      </w:r>
      <w:proofErr w:type="gramEnd"/>
      <w:r w:rsidRPr="001256EA">
        <w:rPr>
          <w:rFonts w:ascii="Times New Roman" w:eastAsia="Calibri" w:hAnsi="Times New Roman" w:cs="Times New Roman"/>
          <w:sz w:val="24"/>
          <w:szCs w:val="24"/>
        </w:rPr>
        <w:t xml:space="preserve"> a solid foundation for understanding the various dimensions of euthanasia, thereby stimulating greater debate on its moral, legal, and social implications.</w:t>
      </w:r>
    </w:p>
    <w:p w14:paraId="60D169E1"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lastRenderedPageBreak/>
        <w:t>In his 1804 work on euthanasia, theologian and scholar Eugenios Voulgaris of Corfu analyzed the concept of death both spiritually and ethically</w:t>
      </w:r>
      <w:r w:rsidRPr="001256EA">
        <w:rPr>
          <w:rFonts w:ascii="Times New Roman" w:eastAsia="Calibri" w:hAnsi="Times New Roman" w:cs="Times New Roman"/>
          <w:sz w:val="24"/>
          <w:szCs w:val="24"/>
          <w:vertAlign w:val="superscript"/>
        </w:rPr>
        <w:footnoteReference w:id="99"/>
      </w:r>
      <w:r w:rsidRPr="001256EA">
        <w:rPr>
          <w:rFonts w:ascii="Times New Roman" w:eastAsia="Calibri" w:hAnsi="Times New Roman" w:cs="Times New Roman"/>
          <w:sz w:val="24"/>
          <w:szCs w:val="24"/>
        </w:rPr>
        <w:t xml:space="preserve">. In presenting such concepts as </w:t>
      </w:r>
      <w:proofErr w:type="spellStart"/>
      <w:r w:rsidRPr="001256EA">
        <w:rPr>
          <w:rFonts w:ascii="Times New Roman" w:eastAsia="Calibri" w:hAnsi="Times New Roman" w:cs="Times New Roman"/>
          <w:sz w:val="24"/>
          <w:szCs w:val="24"/>
        </w:rPr>
        <w:t>dysthanasia</w:t>
      </w:r>
      <w:proofErr w:type="spellEnd"/>
      <w:r w:rsidRPr="001256EA">
        <w:rPr>
          <w:rFonts w:ascii="Times New Roman" w:eastAsia="Calibri" w:hAnsi="Times New Roman" w:cs="Times New Roman"/>
          <w:sz w:val="24"/>
          <w:szCs w:val="24"/>
        </w:rPr>
        <w:t xml:space="preserve"> (difficult death), </w:t>
      </w:r>
      <w:proofErr w:type="spellStart"/>
      <w:r w:rsidRPr="001256EA">
        <w:rPr>
          <w:rFonts w:ascii="Times New Roman" w:eastAsia="Calibri" w:hAnsi="Times New Roman" w:cs="Times New Roman"/>
          <w:sz w:val="24"/>
          <w:szCs w:val="24"/>
        </w:rPr>
        <w:t>etoimothanasia</w:t>
      </w:r>
      <w:proofErr w:type="spellEnd"/>
      <w:r w:rsidRPr="001256EA">
        <w:rPr>
          <w:rFonts w:ascii="Times New Roman" w:eastAsia="Calibri" w:hAnsi="Times New Roman" w:cs="Times New Roman"/>
          <w:sz w:val="24"/>
          <w:szCs w:val="24"/>
        </w:rPr>
        <w:t xml:space="preserve"> (preparedness for death), and </w:t>
      </w:r>
      <w:proofErr w:type="spellStart"/>
      <w:r w:rsidRPr="001256EA">
        <w:rPr>
          <w:rFonts w:ascii="Times New Roman" w:eastAsia="Calibri" w:hAnsi="Times New Roman" w:cs="Times New Roman"/>
          <w:sz w:val="24"/>
          <w:szCs w:val="24"/>
        </w:rPr>
        <w:t>prothanasia</w:t>
      </w:r>
      <w:proofErr w:type="spellEnd"/>
      <w:r w:rsidRPr="001256EA">
        <w:rPr>
          <w:rFonts w:ascii="Times New Roman" w:eastAsia="Calibri" w:hAnsi="Times New Roman" w:cs="Times New Roman"/>
          <w:sz w:val="24"/>
          <w:szCs w:val="24"/>
        </w:rPr>
        <w:t xml:space="preserve"> (premature death), he stressed the necessity for embracing the end of life as a natural and inevitable process. His treatise, one of the earliest scholarly writings on the subject in Europe, offers a glimpse into early perspectives in having a "good death" and demonstrates the interconnectedness of medical, philosophical, and religious ethics.</w:t>
      </w:r>
    </w:p>
    <w:p w14:paraId="5CD7BDEB" w14:textId="1BCC44E0"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Pursuing the various definitions and historical contexts of euthanasia, we </w:t>
      </w:r>
      <w:r w:rsidR="00AC1534" w:rsidRPr="001256EA">
        <w:rPr>
          <w:rFonts w:ascii="Times New Roman" w:eastAsia="Calibri" w:hAnsi="Times New Roman" w:cs="Times New Roman"/>
          <w:sz w:val="24"/>
          <w:szCs w:val="24"/>
        </w:rPr>
        <w:t>can</w:t>
      </w:r>
      <w:r w:rsidRPr="001256EA">
        <w:rPr>
          <w:rFonts w:ascii="Times New Roman" w:eastAsia="Calibri" w:hAnsi="Times New Roman" w:cs="Times New Roman"/>
          <w:sz w:val="24"/>
          <w:szCs w:val="24"/>
        </w:rPr>
        <w:t xml:space="preserve"> grapple with this complex issue. In </w:t>
      </w:r>
      <w:r w:rsidR="002D0B24" w:rsidRPr="001256EA">
        <w:rPr>
          <w:rFonts w:ascii="Times New Roman" w:eastAsia="Calibri" w:hAnsi="Times New Roman" w:cs="Times New Roman"/>
          <w:sz w:val="24"/>
          <w:szCs w:val="24"/>
        </w:rPr>
        <w:t>contemporary</w:t>
      </w:r>
      <w:r w:rsidRPr="001256EA">
        <w:rPr>
          <w:rFonts w:ascii="Times New Roman" w:eastAsia="Calibri" w:hAnsi="Times New Roman" w:cs="Times New Roman"/>
          <w:sz w:val="24"/>
          <w:szCs w:val="24"/>
        </w:rPr>
        <w:t xml:space="preserve"> age, euthanasia means intentionally ending a person’s life to relieve unbearable suffering, especially when there is no possibility of recovery</w:t>
      </w:r>
      <w:r w:rsidRPr="001256EA">
        <w:rPr>
          <w:rFonts w:ascii="Times New Roman" w:eastAsia="Calibri" w:hAnsi="Times New Roman" w:cs="Times New Roman"/>
          <w:sz w:val="24"/>
          <w:szCs w:val="24"/>
          <w:vertAlign w:val="superscript"/>
        </w:rPr>
        <w:footnoteReference w:id="100"/>
      </w:r>
      <w:r w:rsidRPr="001256EA">
        <w:rPr>
          <w:rFonts w:ascii="Times New Roman" w:eastAsia="Calibri" w:hAnsi="Times New Roman" w:cs="Times New Roman"/>
          <w:sz w:val="24"/>
          <w:szCs w:val="24"/>
        </w:rPr>
        <w:t>. This encompasses both active measures—direct actions to end life—and passive approaches, such as withholding or withdrawing life-sustaining treatments</w:t>
      </w:r>
      <w:r w:rsidRPr="001256EA">
        <w:rPr>
          <w:rFonts w:ascii="Times New Roman" w:eastAsia="Calibri" w:hAnsi="Times New Roman" w:cs="Times New Roman"/>
          <w:sz w:val="24"/>
          <w:szCs w:val="24"/>
          <w:vertAlign w:val="superscript"/>
        </w:rPr>
        <w:footnoteReference w:id="101"/>
      </w:r>
      <w:r w:rsidRPr="001256EA">
        <w:rPr>
          <w:rFonts w:ascii="Times New Roman" w:eastAsia="Calibri" w:hAnsi="Times New Roman" w:cs="Times New Roman"/>
          <w:sz w:val="24"/>
          <w:szCs w:val="24"/>
        </w:rPr>
        <w:t>. Traditionally regarded as a dignified farewell to life, the practice of euthanasia has developed into something deeply tied to the personal experiences of the person and the dignity of all parties involved</w:t>
      </w:r>
      <w:r w:rsidRPr="001256EA">
        <w:rPr>
          <w:rFonts w:ascii="Times New Roman" w:eastAsia="Calibri" w:hAnsi="Times New Roman" w:cs="Times New Roman"/>
          <w:sz w:val="24"/>
          <w:szCs w:val="24"/>
          <w:vertAlign w:val="superscript"/>
        </w:rPr>
        <w:footnoteReference w:id="102"/>
      </w:r>
      <w:r w:rsidRPr="001256EA">
        <w:rPr>
          <w:rFonts w:ascii="Times New Roman" w:eastAsia="Calibri" w:hAnsi="Times New Roman" w:cs="Times New Roman"/>
          <w:sz w:val="24"/>
          <w:szCs w:val="24"/>
        </w:rPr>
        <w:t>. Contemporary debates extend beyond the procedure of euthanasia itself to the overall life narrative of the person and promote a humane and ethical practice that honors the individual journeys that end in this choice</w:t>
      </w:r>
      <w:r w:rsidRPr="001256EA">
        <w:rPr>
          <w:rFonts w:ascii="Times New Roman" w:eastAsia="Calibri" w:hAnsi="Times New Roman" w:cs="Times New Roman"/>
          <w:sz w:val="24"/>
          <w:szCs w:val="24"/>
          <w:vertAlign w:val="superscript"/>
        </w:rPr>
        <w:footnoteReference w:id="103"/>
      </w:r>
      <w:r w:rsidRPr="001256EA">
        <w:rPr>
          <w:rFonts w:ascii="Times New Roman" w:eastAsia="Calibri" w:hAnsi="Times New Roman" w:cs="Times New Roman"/>
          <w:sz w:val="24"/>
          <w:szCs w:val="24"/>
        </w:rPr>
        <w:t>.</w:t>
      </w:r>
    </w:p>
    <w:p w14:paraId="5B9DD0C3"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Legally, active euthanasia is a controversial topic and is typically deemed illegal homicide since it is an intentional act of taking a life</w:t>
      </w:r>
      <w:r w:rsidRPr="001256EA">
        <w:rPr>
          <w:rFonts w:ascii="Times New Roman" w:eastAsia="Calibri" w:hAnsi="Times New Roman" w:cs="Times New Roman"/>
          <w:sz w:val="24"/>
          <w:szCs w:val="24"/>
          <w:vertAlign w:val="superscript"/>
        </w:rPr>
        <w:footnoteReference w:id="104"/>
      </w:r>
      <w:r w:rsidRPr="001256EA">
        <w:rPr>
          <w:rFonts w:ascii="Times New Roman" w:eastAsia="Calibri" w:hAnsi="Times New Roman" w:cs="Times New Roman"/>
          <w:sz w:val="24"/>
          <w:szCs w:val="24"/>
        </w:rPr>
        <w:t xml:space="preserve">. This dynamic definition illustrates the intricate relationship among ethical norms, human dignity, and legal limits, thereby spawning continuous debate regarding the place of euthanasia in contemporary society. Euthanasia is a multifaceted problem that crosses various fields of study. </w:t>
      </w:r>
    </w:p>
    <w:p w14:paraId="53FC4313" w14:textId="23729BCE" w:rsidR="007C2C03" w:rsidRPr="001256EA" w:rsidRDefault="00293B92" w:rsidP="007C2C03">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To better understand how euthanasia is examined within the academic </w:t>
      </w:r>
      <w:r w:rsidR="00735C8F" w:rsidRPr="001256EA">
        <w:rPr>
          <w:rFonts w:ascii="Times New Roman" w:eastAsia="Calibri" w:hAnsi="Times New Roman" w:cs="Times New Roman"/>
          <w:sz w:val="24"/>
          <w:szCs w:val="24"/>
        </w:rPr>
        <w:t>community, was</w:t>
      </w:r>
      <w:r w:rsidRPr="001256EA">
        <w:rPr>
          <w:rFonts w:ascii="Times New Roman" w:eastAsia="Calibri" w:hAnsi="Times New Roman" w:cs="Times New Roman"/>
          <w:sz w:val="24"/>
          <w:szCs w:val="24"/>
        </w:rPr>
        <w:t xml:space="preserve"> analyzed the disciplinary distribution of publications </w:t>
      </w:r>
      <w:r w:rsidR="005F3C95" w:rsidRPr="001256EA">
        <w:rPr>
          <w:rFonts w:ascii="Times New Roman" w:eastAsia="Calibri" w:hAnsi="Times New Roman" w:cs="Times New Roman"/>
          <w:sz w:val="24"/>
          <w:szCs w:val="24"/>
        </w:rPr>
        <w:t>was analyzed</w:t>
      </w:r>
      <w:r w:rsidRPr="001256EA">
        <w:rPr>
          <w:rFonts w:ascii="Times New Roman" w:eastAsia="Calibri" w:hAnsi="Times New Roman" w:cs="Times New Roman"/>
          <w:sz w:val="24"/>
          <w:szCs w:val="24"/>
        </w:rPr>
        <w:t xml:space="preserve"> in the Web of Science </w:t>
      </w:r>
      <w:r w:rsidRPr="001256EA">
        <w:rPr>
          <w:rFonts w:ascii="Times New Roman" w:eastAsia="Calibri" w:hAnsi="Times New Roman" w:cs="Times New Roman"/>
          <w:sz w:val="24"/>
          <w:szCs w:val="24"/>
        </w:rPr>
        <w:lastRenderedPageBreak/>
        <w:t xml:space="preserve">database from 1986 to 2025. Figure </w:t>
      </w:r>
      <w:r w:rsidR="003E432B" w:rsidRPr="001256EA">
        <w:rPr>
          <w:rFonts w:ascii="Times New Roman" w:eastAsia="Calibri" w:hAnsi="Times New Roman" w:cs="Times New Roman"/>
          <w:sz w:val="24"/>
          <w:szCs w:val="24"/>
        </w:rPr>
        <w:t>3</w:t>
      </w:r>
      <w:r w:rsidRPr="001256EA">
        <w:rPr>
          <w:rFonts w:ascii="Times New Roman" w:eastAsia="Calibri" w:hAnsi="Times New Roman" w:cs="Times New Roman"/>
          <w:sz w:val="24"/>
          <w:szCs w:val="24"/>
        </w:rPr>
        <w:t xml:space="preserve"> show</w:t>
      </w:r>
      <w:r w:rsidR="00CD214F" w:rsidRPr="001256EA">
        <w:rPr>
          <w:rFonts w:ascii="Times New Roman" w:eastAsia="Calibri" w:hAnsi="Times New Roman" w:cs="Times New Roman"/>
          <w:sz w:val="24"/>
          <w:szCs w:val="24"/>
        </w:rPr>
        <w:t>s</w:t>
      </w:r>
      <w:r w:rsidRPr="001256EA">
        <w:rPr>
          <w:rFonts w:ascii="Times New Roman" w:eastAsia="Calibri" w:hAnsi="Times New Roman" w:cs="Times New Roman"/>
          <w:sz w:val="24"/>
          <w:szCs w:val="24"/>
        </w:rPr>
        <w:t xml:space="preserve"> that health and medical sciences dominate euthanasia research with 4259 publications, showing the central role of clinical, ethical and healthcare perspectives. Social sciences with 1668 publications and biological, agricultural and environmental sciences with 1510 publications also contribute significantly, reflecting societal and biological dimensions. Humanities and arts with 1321 publications indicate an important focus on ethical, philosophical and cultural issues. Physical and mathematical sciences with 461 publications and geography and earth sciences with 36 publications contribute in a limited way, reflecting more specialized perspectives. Overall, the distribution confirms that euthanasia studies are mainly oriented toward health while including multidisciplinary aspects.</w:t>
      </w:r>
    </w:p>
    <w:p w14:paraId="5C3A205C" w14:textId="00A30F23" w:rsidR="00293B92" w:rsidRPr="001256EA" w:rsidRDefault="007C2C03" w:rsidP="00722DEC">
      <w:pPr>
        <w:spacing w:after="0" w:line="240" w:lineRule="auto"/>
        <w:jc w:val="both"/>
        <w:rPr>
          <w:rFonts w:ascii="Times New Roman" w:hAnsi="Times New Roman" w:cs="Times New Roman"/>
          <w:sz w:val="24"/>
          <w:szCs w:val="24"/>
        </w:rPr>
      </w:pPr>
      <w:r w:rsidRPr="001256EA">
        <w:rPr>
          <w:rFonts w:ascii="Times New Roman" w:eastAsia="Calibri" w:hAnsi="Times New Roman" w:cs="Times New Roman"/>
          <w:b/>
          <w:bCs/>
          <w:noProof/>
          <w:sz w:val="24"/>
          <w:szCs w:val="24"/>
        </w:rPr>
        <w:drawing>
          <wp:anchor distT="0" distB="0" distL="114300" distR="114300" simplePos="0" relativeHeight="251663360" behindDoc="0" locked="0" layoutInCell="1" allowOverlap="1" wp14:anchorId="1DCAF0B1" wp14:editId="1B71A561">
            <wp:simplePos x="0" y="0"/>
            <wp:positionH relativeFrom="margin">
              <wp:align>right</wp:align>
            </wp:positionH>
            <wp:positionV relativeFrom="paragraph">
              <wp:posOffset>471805</wp:posOffset>
            </wp:positionV>
            <wp:extent cx="5709920" cy="1672590"/>
            <wp:effectExtent l="0" t="0" r="508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9920" cy="1672590"/>
                    </a:xfrm>
                    <a:prstGeom prst="rect">
                      <a:avLst/>
                    </a:prstGeom>
                  </pic:spPr>
                </pic:pic>
              </a:graphicData>
            </a:graphic>
            <wp14:sizeRelH relativeFrom="margin">
              <wp14:pctWidth>0</wp14:pctWidth>
            </wp14:sizeRelH>
            <wp14:sizeRelV relativeFrom="margin">
              <wp14:pctHeight>0</wp14:pctHeight>
            </wp14:sizeRelV>
          </wp:anchor>
        </w:drawing>
      </w:r>
      <w:r w:rsidR="00293B92" w:rsidRPr="001256EA">
        <w:rPr>
          <w:rFonts w:ascii="Times New Roman" w:eastAsia="Calibri" w:hAnsi="Times New Roman" w:cs="Times New Roman"/>
          <w:b/>
          <w:bCs/>
          <w:sz w:val="24"/>
          <w:szCs w:val="24"/>
        </w:rPr>
        <w:t xml:space="preserve">Figure </w:t>
      </w:r>
      <w:r w:rsidR="0096630B" w:rsidRPr="001256EA">
        <w:rPr>
          <w:rFonts w:ascii="Times New Roman" w:eastAsia="Calibri" w:hAnsi="Times New Roman" w:cs="Times New Roman"/>
          <w:b/>
          <w:bCs/>
          <w:sz w:val="24"/>
          <w:szCs w:val="24"/>
        </w:rPr>
        <w:t>3</w:t>
      </w:r>
      <w:r w:rsidR="00293B92" w:rsidRPr="001256EA">
        <w:rPr>
          <w:rFonts w:ascii="Times New Roman" w:eastAsia="Calibri" w:hAnsi="Times New Roman" w:cs="Times New Roman"/>
          <w:b/>
          <w:bCs/>
          <w:sz w:val="24"/>
          <w:szCs w:val="24"/>
        </w:rPr>
        <w:t>.</w:t>
      </w:r>
      <w:r w:rsidR="00293B92" w:rsidRPr="001256EA">
        <w:rPr>
          <w:rFonts w:ascii="Times New Roman" w:eastAsia="Calibri" w:hAnsi="Times New Roman" w:cs="Times New Roman"/>
          <w:sz w:val="24"/>
          <w:szCs w:val="24"/>
        </w:rPr>
        <w:t xml:space="preserve"> Distribution of publications in euthanasia studies by field of science between 1986 and 2025 (</w:t>
      </w:r>
      <w:r w:rsidR="004C49BA" w:rsidRPr="001256EA">
        <w:rPr>
          <w:rFonts w:ascii="Times New Roman" w:eastAsia="Calibri" w:hAnsi="Times New Roman" w:cs="Times New Roman"/>
          <w:sz w:val="24"/>
          <w:szCs w:val="24"/>
        </w:rPr>
        <w:t>compiled</w:t>
      </w:r>
      <w:r w:rsidR="009E2585" w:rsidRPr="001256EA">
        <w:rPr>
          <w:rFonts w:ascii="Times New Roman" w:eastAsia="Calibri" w:hAnsi="Times New Roman" w:cs="Times New Roman"/>
          <w:sz w:val="24"/>
          <w:szCs w:val="24"/>
        </w:rPr>
        <w:t xml:space="preserve"> by the author</w:t>
      </w:r>
      <w:r w:rsidR="004C49BA" w:rsidRPr="001256EA">
        <w:rPr>
          <w:rFonts w:ascii="Times New Roman" w:eastAsia="Calibri" w:hAnsi="Times New Roman" w:cs="Times New Roman"/>
          <w:sz w:val="24"/>
          <w:szCs w:val="24"/>
        </w:rPr>
        <w:t xml:space="preserve"> b</w:t>
      </w:r>
      <w:r w:rsidR="00E3641A" w:rsidRPr="001256EA">
        <w:rPr>
          <w:rFonts w:ascii="Times New Roman" w:hAnsi="Times New Roman" w:cs="Times New Roman"/>
          <w:sz w:val="24"/>
          <w:szCs w:val="24"/>
        </w:rPr>
        <w:t xml:space="preserve">ased on </w:t>
      </w:r>
      <w:proofErr w:type="gramStart"/>
      <w:r w:rsidR="004C49BA" w:rsidRPr="001256EA">
        <w:rPr>
          <w:rFonts w:ascii="Times New Roman" w:hAnsi="Times New Roman" w:cs="Times New Roman"/>
          <w:sz w:val="24"/>
          <w:szCs w:val="24"/>
        </w:rPr>
        <w:t>the</w:t>
      </w:r>
      <w:r w:rsidR="00E3641A" w:rsidRPr="001256EA">
        <w:rPr>
          <w:rFonts w:ascii="Times New Roman" w:hAnsi="Times New Roman" w:cs="Times New Roman"/>
          <w:sz w:val="24"/>
          <w:szCs w:val="24"/>
        </w:rPr>
        <w:t xml:space="preserve"> research</w:t>
      </w:r>
      <w:r w:rsidR="004C49BA" w:rsidRPr="001256EA">
        <w:rPr>
          <w:rFonts w:ascii="Times New Roman" w:hAnsi="Times New Roman" w:cs="Times New Roman"/>
          <w:sz w:val="24"/>
          <w:szCs w:val="24"/>
        </w:rPr>
        <w:t>’s</w:t>
      </w:r>
      <w:proofErr w:type="gramEnd"/>
      <w:r w:rsidR="00E3641A" w:rsidRPr="001256EA">
        <w:rPr>
          <w:rFonts w:ascii="Times New Roman" w:hAnsi="Times New Roman" w:cs="Times New Roman"/>
          <w:sz w:val="24"/>
          <w:szCs w:val="24"/>
        </w:rPr>
        <w:t xml:space="preserve"> results</w:t>
      </w:r>
      <w:r w:rsidR="004C49BA" w:rsidRPr="001256EA">
        <w:rPr>
          <w:rFonts w:ascii="Times New Roman" w:hAnsi="Times New Roman" w:cs="Times New Roman"/>
          <w:sz w:val="24"/>
          <w:szCs w:val="24"/>
        </w:rPr>
        <w:t>)</w:t>
      </w:r>
      <w:r w:rsidR="00E3641A" w:rsidRPr="001256EA">
        <w:rPr>
          <w:rFonts w:ascii="Times New Roman" w:hAnsi="Times New Roman" w:cs="Times New Roman"/>
          <w:sz w:val="24"/>
          <w:szCs w:val="24"/>
        </w:rPr>
        <w:t>.</w:t>
      </w:r>
    </w:p>
    <w:p w14:paraId="28EEA217" w14:textId="5DF0F991" w:rsidR="001810BF" w:rsidRPr="001256EA" w:rsidRDefault="001810BF" w:rsidP="009E2585">
      <w:pPr>
        <w:spacing w:after="0" w:line="240" w:lineRule="auto"/>
        <w:ind w:firstLine="851"/>
        <w:jc w:val="center"/>
        <w:rPr>
          <w:rFonts w:ascii="Times New Roman" w:eastAsia="Calibri" w:hAnsi="Times New Roman" w:cs="Times New Roman"/>
        </w:rPr>
      </w:pPr>
    </w:p>
    <w:p w14:paraId="3CF85BB0" w14:textId="7AB3C4F8"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w:t>
      </w:r>
      <w:r w:rsidR="00FA063A" w:rsidRPr="001256EA">
        <w:rPr>
          <w:rFonts w:ascii="Times New Roman" w:eastAsia="Calibri" w:hAnsi="Times New Roman" w:cs="Times New Roman"/>
          <w:sz w:val="24"/>
          <w:szCs w:val="24"/>
        </w:rPr>
        <w:t>appendix 1</w:t>
      </w:r>
      <w:r w:rsidRPr="001256EA">
        <w:rPr>
          <w:rFonts w:ascii="Times New Roman" w:eastAsia="Calibri" w:hAnsi="Times New Roman" w:cs="Times New Roman"/>
          <w:sz w:val="24"/>
          <w:szCs w:val="24"/>
        </w:rPr>
        <w:t xml:space="preserve"> shows that euthanasia research spans a wide range of subject areas, confirming its multidisciplinary nature. Health and medical sciences dominate with topics such as clinical medicine, nursing and medical ethics. Social sciences contribute with studies on law, social issues and biomedical social sciences. Humanities and arts are represented by fields such as ethics, religion, philosophy and history, reflecting strong attention to ethical and cultural aspects. Biological, agricultural and environmental sciences, psychology and behavioral sciences, and physical and mathematical sciences also appear, showing the involvement of complementary perspectives beyond health</w:t>
      </w:r>
      <w:r w:rsidRPr="001256EA">
        <w:rPr>
          <w:rFonts w:ascii="Times New Roman" w:eastAsia="Calibri" w:hAnsi="Times New Roman" w:cs="Times New Roman"/>
          <w:sz w:val="24"/>
          <w:szCs w:val="24"/>
        </w:rPr>
        <w:noBreakHyphen/>
        <w:t>related research. Overall, the distribution highlights that euthanasia studies are primarily health oriented but also engage social, ethical, cultural and scientific dimensions.</w:t>
      </w:r>
    </w:p>
    <w:p w14:paraId="2D53BE5D" w14:textId="77777777" w:rsidR="00E76105" w:rsidRPr="001256EA" w:rsidRDefault="00E76105" w:rsidP="00F7029D">
      <w:pPr>
        <w:spacing w:after="0" w:line="360" w:lineRule="auto"/>
        <w:ind w:firstLine="851"/>
        <w:jc w:val="both"/>
        <w:rPr>
          <w:rFonts w:ascii="Times New Roman" w:eastAsia="Calibri" w:hAnsi="Times New Roman" w:cs="Times New Roman"/>
          <w:b/>
          <w:bCs/>
          <w:sz w:val="24"/>
          <w:szCs w:val="24"/>
        </w:rPr>
      </w:pPr>
    </w:p>
    <w:p w14:paraId="1726DC8B" w14:textId="77777777" w:rsidR="00E76105" w:rsidRPr="001256EA" w:rsidRDefault="00E76105" w:rsidP="00F7029D">
      <w:pPr>
        <w:spacing w:after="0" w:line="360" w:lineRule="auto"/>
        <w:ind w:firstLine="851"/>
        <w:jc w:val="both"/>
        <w:rPr>
          <w:rFonts w:ascii="Times New Roman" w:eastAsia="Calibri" w:hAnsi="Times New Roman" w:cs="Times New Roman"/>
          <w:b/>
          <w:bCs/>
          <w:sz w:val="24"/>
          <w:szCs w:val="24"/>
        </w:rPr>
      </w:pPr>
    </w:p>
    <w:p w14:paraId="5D26C566" w14:textId="01D3F8EF" w:rsidR="00722DEC" w:rsidRPr="001256EA" w:rsidRDefault="007C2C03" w:rsidP="00722DEC">
      <w:pPr>
        <w:spacing w:after="0" w:line="240" w:lineRule="auto"/>
        <w:jc w:val="both"/>
        <w:rPr>
          <w:rFonts w:ascii="Times New Roman" w:hAnsi="Times New Roman" w:cs="Times New Roman"/>
          <w:sz w:val="24"/>
          <w:szCs w:val="24"/>
        </w:rPr>
      </w:pPr>
      <w:r w:rsidRPr="001256EA">
        <w:rPr>
          <w:rFonts w:ascii="Times New Roman" w:eastAsia="Calibri" w:hAnsi="Times New Roman" w:cs="Times New Roman"/>
          <w:b/>
          <w:bCs/>
          <w:noProof/>
        </w:rPr>
        <w:lastRenderedPageBreak/>
        <w:drawing>
          <wp:anchor distT="0" distB="0" distL="114300" distR="114300" simplePos="0" relativeHeight="251668480" behindDoc="0" locked="0" layoutInCell="1" allowOverlap="1" wp14:anchorId="00142CF4" wp14:editId="3C01A37E">
            <wp:simplePos x="0" y="0"/>
            <wp:positionH relativeFrom="margin">
              <wp:align>right</wp:align>
            </wp:positionH>
            <wp:positionV relativeFrom="paragraph">
              <wp:posOffset>377190</wp:posOffset>
            </wp:positionV>
            <wp:extent cx="5760720" cy="401447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14470"/>
                    </a:xfrm>
                    <a:prstGeom prst="rect">
                      <a:avLst/>
                    </a:prstGeom>
                  </pic:spPr>
                </pic:pic>
              </a:graphicData>
            </a:graphic>
          </wp:anchor>
        </w:drawing>
      </w:r>
      <w:r w:rsidR="00722DEC" w:rsidRPr="001256EA">
        <w:rPr>
          <w:rFonts w:ascii="Times New Roman" w:eastAsia="Calibri" w:hAnsi="Times New Roman" w:cs="Times New Roman"/>
          <w:b/>
          <w:bCs/>
          <w:sz w:val="24"/>
          <w:szCs w:val="24"/>
        </w:rPr>
        <w:t>Figure 4.</w:t>
      </w:r>
      <w:r w:rsidR="00722DEC" w:rsidRPr="001256EA">
        <w:rPr>
          <w:rFonts w:ascii="Times New Roman" w:eastAsia="Calibri" w:hAnsi="Times New Roman" w:cs="Times New Roman"/>
          <w:sz w:val="24"/>
          <w:szCs w:val="24"/>
        </w:rPr>
        <w:t xml:space="preserve"> Top 30 subject areas related to euthanasia studies between 1986 and (compiled by the author b</w:t>
      </w:r>
      <w:r w:rsidR="00722DEC" w:rsidRPr="001256EA">
        <w:rPr>
          <w:rFonts w:ascii="Times New Roman" w:hAnsi="Times New Roman" w:cs="Times New Roman"/>
          <w:sz w:val="24"/>
          <w:szCs w:val="24"/>
        </w:rPr>
        <w:t>ased on the research’s results)</w:t>
      </w:r>
    </w:p>
    <w:p w14:paraId="18DC4573" w14:textId="77777777" w:rsidR="003849BB" w:rsidRPr="001256EA" w:rsidRDefault="003849BB" w:rsidP="003849BB">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Figure 4 shows that euthanasia studies are dominated by Medicine General Internal with 1,236 publications and Veterinary Sciences with 917 publications. Social sciences and ethics have strong representation, including Social Sciences Biomedical with 607 publications, Ethics with 596 publications, and Medical Ethics with 422 publications. Law appears with 337 publications, showing the importance of legal frameworks and debates in euthanasia research. Other areas such as Health Care Sciences Services with 415 publications, Social Issues with 348 publications, and Psychiatry with 308 publications confirm a multidisciplinary approach that extends beyond clinical practice to ethical, social and legal perspectives. Overall, the top 30 subject areas reveal that euthanasia research spans clinical, social, ethical and legal dimensions, reflecting a broad scientific and societal engagement with the topic.</w:t>
      </w:r>
    </w:p>
    <w:p w14:paraId="33F353A2" w14:textId="77777777" w:rsidR="003849BB" w:rsidRPr="001256EA" w:rsidRDefault="003849BB" w:rsidP="00722DEC">
      <w:pPr>
        <w:spacing w:after="0" w:line="240" w:lineRule="auto"/>
        <w:jc w:val="both"/>
        <w:rPr>
          <w:rFonts w:ascii="Times New Roman" w:eastAsia="Calibri" w:hAnsi="Times New Roman" w:cs="Times New Roman"/>
          <w:sz w:val="24"/>
          <w:szCs w:val="24"/>
        </w:rPr>
      </w:pPr>
    </w:p>
    <w:p w14:paraId="22A8B43D" w14:textId="77777777" w:rsidR="004C49BA" w:rsidRPr="001256EA" w:rsidRDefault="004C49BA" w:rsidP="009E2585">
      <w:pPr>
        <w:spacing w:after="0" w:line="240" w:lineRule="auto"/>
        <w:ind w:firstLine="851"/>
        <w:jc w:val="center"/>
        <w:rPr>
          <w:rFonts w:ascii="Times New Roman" w:eastAsia="Calibri" w:hAnsi="Times New Roman" w:cs="Times New Roman"/>
          <w:b/>
          <w:bCs/>
          <w:noProof/>
        </w:rPr>
      </w:pPr>
    </w:p>
    <w:p w14:paraId="0CC56FB1" w14:textId="169A5448" w:rsidR="00293B92" w:rsidRPr="00A615D8" w:rsidRDefault="00B76E90" w:rsidP="00722DEC">
      <w:pPr>
        <w:pStyle w:val="Heading2"/>
        <w:numPr>
          <w:ilvl w:val="1"/>
          <w:numId w:val="26"/>
        </w:numPr>
        <w:spacing w:before="0" w:line="360" w:lineRule="auto"/>
        <w:ind w:left="0" w:firstLine="851"/>
        <w:jc w:val="center"/>
        <w:rPr>
          <w:rFonts w:ascii="Times New Roman" w:eastAsia="Calibri" w:hAnsi="Times New Roman" w:cs="Times New Roman"/>
          <w:b/>
          <w:bCs/>
          <w:strike/>
          <w:color w:val="auto"/>
          <w:sz w:val="24"/>
          <w:szCs w:val="24"/>
        </w:rPr>
      </w:pPr>
      <w:r w:rsidRPr="00A615D8">
        <w:rPr>
          <w:rFonts w:ascii="Times New Roman" w:eastAsia="Calibri" w:hAnsi="Times New Roman" w:cs="Times New Roman"/>
          <w:b/>
          <w:bCs/>
          <w:color w:val="auto"/>
          <w:sz w:val="24"/>
          <w:szCs w:val="24"/>
        </w:rPr>
        <w:t>The concept of euthanasia, the right to die and the balance of patient autonomy in the context of human rights</w:t>
      </w:r>
    </w:p>
    <w:p w14:paraId="37D391ED" w14:textId="77777777" w:rsidR="007C2C03" w:rsidRPr="001256EA" w:rsidRDefault="007C2C03" w:rsidP="007C2C03"/>
    <w:p w14:paraId="0D5AA189"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international legal framework on euthanasia is evolving within a complex landscape, balancing the right to die with patient autonomy. Euthanasia, defined as the intentional act of ending a life to relieve unbearable pain and suffering, has been debated for </w:t>
      </w:r>
      <w:r w:rsidRPr="001256EA">
        <w:rPr>
          <w:rFonts w:ascii="Times New Roman" w:eastAsia="Calibri" w:hAnsi="Times New Roman" w:cs="Times New Roman"/>
          <w:sz w:val="24"/>
          <w:szCs w:val="24"/>
        </w:rPr>
        <w:lastRenderedPageBreak/>
        <w:t>centuries and involves legal, ethical, social, and religious considerations. While domestic law does not explicitly regulate euthanasia in many jurisdictions, it provides a foundation for examining the legal principles and guidelines that govern this complex practice</w:t>
      </w:r>
      <w:r w:rsidRPr="001256EA">
        <w:rPr>
          <w:rFonts w:ascii="Times New Roman" w:eastAsia="Calibri" w:hAnsi="Times New Roman" w:cs="Times New Roman"/>
          <w:sz w:val="24"/>
          <w:szCs w:val="24"/>
          <w:vertAlign w:val="superscript"/>
        </w:rPr>
        <w:footnoteReference w:id="105"/>
      </w:r>
      <w:r w:rsidRPr="001256EA">
        <w:rPr>
          <w:rFonts w:ascii="Times New Roman" w:eastAsia="Calibri" w:hAnsi="Times New Roman" w:cs="Times New Roman"/>
          <w:sz w:val="24"/>
          <w:szCs w:val="24"/>
        </w:rPr>
        <w:t xml:space="preserve">. The right to die, also referred to as the right to a dignified death, has gained prominence in international human rights discourse, though it remains a multifaceted and contested concept. The UDHR, adopted by the United Nations General Assembly in 1948, serves as the cornerstone of international human rights law. Article 3 of the UDHR states that </w:t>
      </w:r>
      <w:r w:rsidRPr="001256EA">
        <w:rPr>
          <w:rFonts w:ascii="Times New Roman" w:eastAsia="Calibri" w:hAnsi="Times New Roman" w:cs="Times New Roman"/>
          <w:i/>
          <w:iCs/>
          <w:sz w:val="24"/>
          <w:szCs w:val="24"/>
        </w:rPr>
        <w:t>"Everyone has the right to life, liberty, and security of person"</w:t>
      </w:r>
      <w:r w:rsidRPr="001256EA">
        <w:rPr>
          <w:rFonts w:ascii="Times New Roman" w:eastAsia="Calibri" w:hAnsi="Times New Roman" w:cs="Times New Roman"/>
          <w:i/>
          <w:iCs/>
          <w:sz w:val="24"/>
          <w:szCs w:val="24"/>
          <w:vertAlign w:val="superscript"/>
        </w:rPr>
        <w:footnoteReference w:id="106"/>
      </w:r>
      <w:r w:rsidRPr="001256EA">
        <w:rPr>
          <w:rFonts w:ascii="Times New Roman" w:eastAsia="Calibri" w:hAnsi="Times New Roman" w:cs="Times New Roman"/>
          <w:sz w:val="24"/>
          <w:szCs w:val="24"/>
        </w:rPr>
        <w:t>. Proponents of the right to die argue that this right includes the freedom to decide the timing and manner of one's death, particularly in cases of terminal illness or debilitating conditions that result in unbearable suffering. They assert that individuals should have the ability to make end-of-life decisions in a way that preserves their dignity and autonomy.</w:t>
      </w:r>
    </w:p>
    <w:p w14:paraId="68F3BC24" w14:textId="0055628E"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The concept of the right to die has gained recognition in various international human rights instruments over the years. The ICCPR, adopted in 1966, prohibits arbitrary deprivation of life and guarantees the right to liberty and security of person</w:t>
      </w:r>
      <w:r w:rsidRPr="001256EA">
        <w:rPr>
          <w:rFonts w:ascii="Times New Roman" w:eastAsia="Calibri" w:hAnsi="Times New Roman" w:cs="Times New Roman"/>
          <w:sz w:val="24"/>
          <w:szCs w:val="24"/>
          <w:vertAlign w:val="superscript"/>
        </w:rPr>
        <w:footnoteReference w:id="107"/>
      </w:r>
      <w:r w:rsidRPr="001256EA">
        <w:rPr>
          <w:rFonts w:ascii="Times New Roman" w:eastAsia="Calibri" w:hAnsi="Times New Roman" w:cs="Times New Roman"/>
          <w:sz w:val="24"/>
          <w:szCs w:val="24"/>
        </w:rPr>
        <w:t>. Although the ICCPR does not explicitly address euthanasia, its provisions have been interpreted to support the right to refuse prolonged medical treatment, which could be seen as a form of passive euthanasia</w:t>
      </w:r>
      <w:r w:rsidR="00AC1534">
        <w:rPr>
          <w:rStyle w:val="FootnoteReference"/>
          <w:rFonts w:ascii="Times New Roman" w:eastAsia="Calibri" w:hAnsi="Times New Roman" w:cs="Times New Roman"/>
          <w:sz w:val="24"/>
          <w:szCs w:val="24"/>
        </w:rPr>
        <w:footnoteReference w:id="108"/>
      </w:r>
      <w:r w:rsidRPr="001256EA">
        <w:rPr>
          <w:rFonts w:ascii="Times New Roman" w:eastAsia="Calibri" w:hAnsi="Times New Roman" w:cs="Times New Roman"/>
          <w:sz w:val="24"/>
          <w:szCs w:val="24"/>
        </w:rPr>
        <w:t>.</w:t>
      </w:r>
    </w:p>
    <w:p w14:paraId="698593D5" w14:textId="074E93CF" w:rsidR="00293B92" w:rsidRPr="001256EA" w:rsidRDefault="00293B92" w:rsidP="00F7029D">
      <w:pPr>
        <w:spacing w:after="0" w:line="360" w:lineRule="auto"/>
        <w:ind w:firstLine="851"/>
        <w:jc w:val="both"/>
        <w:rPr>
          <w:rFonts w:ascii="Times New Roman" w:eastAsia="Calibri" w:hAnsi="Times New Roman" w:cs="Times New Roman"/>
          <w:sz w:val="24"/>
          <w:szCs w:val="24"/>
        </w:rPr>
      </w:pPr>
      <w:bookmarkStart w:id="10" w:name="_Hlk207568351"/>
      <w:r w:rsidRPr="001256EA">
        <w:rPr>
          <w:rFonts w:ascii="Times New Roman" w:eastAsia="Calibri" w:hAnsi="Times New Roman" w:cs="Times New Roman"/>
          <w:sz w:val="24"/>
          <w:szCs w:val="24"/>
        </w:rPr>
        <w:t>The Convention on the Rights of Persons with Disabilities (CRPD)</w:t>
      </w:r>
      <w:bookmarkEnd w:id="10"/>
      <w:r w:rsidRPr="001256EA">
        <w:rPr>
          <w:rFonts w:ascii="Times New Roman" w:eastAsia="Calibri" w:hAnsi="Times New Roman" w:cs="Times New Roman"/>
          <w:sz w:val="24"/>
          <w:szCs w:val="24"/>
        </w:rPr>
        <w:t xml:space="preserve">, adopted in 2006, further emphasizes the autonomy and self-determination of </w:t>
      </w:r>
      <w:r w:rsidR="00ED3976" w:rsidRPr="001256EA">
        <w:rPr>
          <w:rFonts w:ascii="Times New Roman" w:eastAsia="Calibri" w:hAnsi="Times New Roman" w:cs="Times New Roman"/>
          <w:sz w:val="24"/>
          <w:szCs w:val="24"/>
        </w:rPr>
        <w:t>people</w:t>
      </w:r>
      <w:r w:rsidRPr="001256EA">
        <w:rPr>
          <w:rFonts w:ascii="Times New Roman" w:eastAsia="Calibri" w:hAnsi="Times New Roman" w:cs="Times New Roman"/>
          <w:sz w:val="24"/>
          <w:szCs w:val="24"/>
        </w:rPr>
        <w:t xml:space="preserve"> with disabilities, including their right to make decisions regarding their own healthcare</w:t>
      </w:r>
      <w:r w:rsidRPr="001256EA">
        <w:rPr>
          <w:rFonts w:ascii="Times New Roman" w:eastAsia="Calibri" w:hAnsi="Times New Roman" w:cs="Times New Roman"/>
          <w:sz w:val="24"/>
          <w:szCs w:val="24"/>
          <w:vertAlign w:val="superscript"/>
        </w:rPr>
        <w:footnoteReference w:id="109"/>
      </w:r>
      <w:r w:rsidRPr="001256EA">
        <w:rPr>
          <w:rFonts w:ascii="Times New Roman" w:eastAsia="Calibri" w:hAnsi="Times New Roman" w:cs="Times New Roman"/>
          <w:sz w:val="24"/>
          <w:szCs w:val="24"/>
        </w:rPr>
        <w:t xml:space="preserve">. Article 12 of the CRPD states that </w:t>
      </w:r>
      <w:r w:rsidRPr="001256EA">
        <w:rPr>
          <w:rFonts w:ascii="Times New Roman" w:eastAsia="Calibri" w:hAnsi="Times New Roman" w:cs="Times New Roman"/>
          <w:i/>
          <w:iCs/>
          <w:sz w:val="24"/>
          <w:szCs w:val="24"/>
        </w:rPr>
        <w:t>"Persons with disabilities have the right to recognition everywhere as persons before the law"</w:t>
      </w:r>
      <w:r w:rsidRPr="001256EA">
        <w:rPr>
          <w:rFonts w:ascii="Times New Roman" w:eastAsia="Calibri" w:hAnsi="Times New Roman" w:cs="Times New Roman"/>
          <w:i/>
          <w:iCs/>
          <w:sz w:val="24"/>
          <w:szCs w:val="24"/>
          <w:vertAlign w:val="superscript"/>
        </w:rPr>
        <w:footnoteReference w:id="110"/>
      </w:r>
      <w:r w:rsidRPr="001256EA">
        <w:rPr>
          <w:rFonts w:ascii="Times New Roman" w:eastAsia="Calibri" w:hAnsi="Times New Roman" w:cs="Times New Roman"/>
          <w:sz w:val="24"/>
          <w:szCs w:val="24"/>
        </w:rPr>
        <w:t>. The right to legal capacity has been construed to give a person with a disability the right to involvement in end-of-life decisions, including the consideration of euthanasia where applicable.</w:t>
      </w:r>
    </w:p>
    <w:p w14:paraId="44853BA7" w14:textId="53D6BD63"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lastRenderedPageBreak/>
        <w:t xml:space="preserve">The basic tenet of patient autonomy, the right of people to make informed choices about their own health care, is rooted in both medical ethics and international law. Patient autonomy is defined by the </w:t>
      </w:r>
      <w:r w:rsidR="001D1B0C" w:rsidRPr="001256EA">
        <w:rPr>
          <w:rFonts w:ascii="Times New Roman" w:eastAsia="Calibri" w:hAnsi="Times New Roman" w:cs="Times New Roman"/>
          <w:sz w:val="24"/>
          <w:szCs w:val="24"/>
        </w:rPr>
        <w:t>WHO</w:t>
      </w:r>
      <w:r w:rsidRPr="001256EA">
        <w:rPr>
          <w:rFonts w:ascii="Times New Roman" w:eastAsia="Calibri" w:hAnsi="Times New Roman" w:cs="Times New Roman"/>
          <w:sz w:val="24"/>
          <w:szCs w:val="24"/>
        </w:rPr>
        <w:t xml:space="preserve"> as: </w:t>
      </w:r>
      <w:r w:rsidRPr="001256EA">
        <w:rPr>
          <w:rFonts w:ascii="Times New Roman" w:eastAsia="Calibri" w:hAnsi="Times New Roman" w:cs="Times New Roman"/>
          <w:i/>
          <w:iCs/>
          <w:sz w:val="24"/>
          <w:szCs w:val="24"/>
        </w:rPr>
        <w:t>"the right of the patient to be fully informed about their health status, to participate in decisions regarding their care, to give or withhold consent to treatment, and to refuse treatment”</w:t>
      </w:r>
      <w:r w:rsidRPr="001256EA">
        <w:rPr>
          <w:rFonts w:ascii="Times New Roman" w:eastAsia="Calibri" w:hAnsi="Times New Roman" w:cs="Times New Roman"/>
          <w:i/>
          <w:iCs/>
          <w:sz w:val="24"/>
          <w:szCs w:val="24"/>
          <w:vertAlign w:val="superscript"/>
        </w:rPr>
        <w:footnoteReference w:id="111"/>
      </w:r>
      <w:r w:rsidRPr="001256EA">
        <w:rPr>
          <w:rFonts w:ascii="Times New Roman" w:eastAsia="Calibri" w:hAnsi="Times New Roman" w:cs="Times New Roman"/>
          <w:sz w:val="24"/>
          <w:szCs w:val="24"/>
        </w:rPr>
        <w:t>.</w:t>
      </w:r>
    </w:p>
    <w:p w14:paraId="464E5760"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This is founded on the cornerstone of the autonomy of a patient for adequate and understandable information regarding his condition, alternative modes of treatment, and possible risks and benefits that shall be given by healthcare providers before seeking his consent. It is also firmly recognized in several international instruments on human rights, such as </w:t>
      </w:r>
      <w:r w:rsidRPr="001256EA">
        <w:rPr>
          <w:rFonts w:ascii="Times New Roman" w:hAnsi="Times New Roman" w:cs="Times New Roman"/>
          <w:sz w:val="24"/>
          <w:szCs w:val="24"/>
        </w:rPr>
        <w:t>UDHR</w:t>
      </w:r>
      <w:r w:rsidRPr="001256EA">
        <w:rPr>
          <w:rFonts w:ascii="Times New Roman" w:hAnsi="Times New Roman" w:cs="Times New Roman"/>
          <w:sz w:val="24"/>
          <w:szCs w:val="24"/>
          <w:vertAlign w:val="superscript"/>
        </w:rPr>
        <w:footnoteReference w:id="112"/>
      </w:r>
      <w:r w:rsidRPr="001256EA">
        <w:rPr>
          <w:rFonts w:ascii="Times New Roman" w:eastAsia="Calibri" w:hAnsi="Times New Roman" w:cs="Times New Roman"/>
          <w:sz w:val="24"/>
          <w:szCs w:val="24"/>
        </w:rPr>
        <w:t xml:space="preserve">, </w:t>
      </w:r>
      <w:r w:rsidRPr="001256EA">
        <w:rPr>
          <w:rFonts w:ascii="Times New Roman" w:hAnsi="Times New Roman" w:cs="Times New Roman"/>
          <w:sz w:val="24"/>
          <w:szCs w:val="24"/>
        </w:rPr>
        <w:t>ICCPR</w:t>
      </w:r>
      <w:r w:rsidRPr="001256EA">
        <w:rPr>
          <w:rFonts w:ascii="Times New Roman" w:hAnsi="Times New Roman" w:cs="Times New Roman"/>
          <w:sz w:val="24"/>
          <w:szCs w:val="24"/>
          <w:vertAlign w:val="superscript"/>
        </w:rPr>
        <w:footnoteReference w:id="113"/>
      </w:r>
      <w:r w:rsidRPr="001256EA">
        <w:rPr>
          <w:rFonts w:ascii="Times New Roman" w:eastAsia="Calibri" w:hAnsi="Times New Roman" w:cs="Times New Roman"/>
          <w:sz w:val="24"/>
          <w:szCs w:val="24"/>
        </w:rPr>
        <w:t>, and the Convention on the Rights of the Child (CRC)</w:t>
      </w:r>
      <w:r w:rsidRPr="001256EA">
        <w:rPr>
          <w:rFonts w:ascii="Times New Roman" w:eastAsia="Calibri" w:hAnsi="Times New Roman" w:cs="Times New Roman"/>
          <w:sz w:val="24"/>
          <w:szCs w:val="24"/>
          <w:vertAlign w:val="superscript"/>
        </w:rPr>
        <w:footnoteReference w:id="114"/>
      </w:r>
      <w:r w:rsidRPr="001256EA">
        <w:rPr>
          <w:rFonts w:ascii="Times New Roman" w:eastAsia="Calibri" w:hAnsi="Times New Roman" w:cs="Times New Roman"/>
          <w:sz w:val="24"/>
          <w:szCs w:val="24"/>
        </w:rPr>
        <w:t>.</w:t>
      </w:r>
    </w:p>
    <w:p w14:paraId="467AD252" w14:textId="0CFFD251"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In the context of euthanasia, patient autonomy is important in giving a person freedom to make uninfluenced decisions regarding care at the end of life and the possibility of opting for euthanasia if it is considered the best way out. This autonomy </w:t>
      </w:r>
      <w:r w:rsidR="005F3C95" w:rsidRPr="001256EA">
        <w:rPr>
          <w:rFonts w:ascii="Times New Roman" w:eastAsia="Calibri" w:hAnsi="Times New Roman" w:cs="Times New Roman"/>
          <w:sz w:val="24"/>
          <w:szCs w:val="24"/>
        </w:rPr>
        <w:t>must</w:t>
      </w:r>
      <w:r w:rsidRPr="001256EA">
        <w:rPr>
          <w:rFonts w:ascii="Times New Roman" w:eastAsia="Calibri" w:hAnsi="Times New Roman" w:cs="Times New Roman"/>
          <w:sz w:val="24"/>
          <w:szCs w:val="24"/>
        </w:rPr>
        <w:t xml:space="preserve"> be counterpoised with protection against coercion or any other form of pressure on vulnerable individuals. Euthanasia is a long-drawn and complex debate: legal and ethical discussions abound, most centrally in international human rights law</w:t>
      </w:r>
      <w:r w:rsidRPr="001256EA">
        <w:rPr>
          <w:rFonts w:ascii="Times New Roman" w:eastAsia="Calibri" w:hAnsi="Times New Roman" w:cs="Times New Roman"/>
          <w:sz w:val="24"/>
          <w:szCs w:val="24"/>
          <w:vertAlign w:val="superscript"/>
        </w:rPr>
        <w:footnoteReference w:id="115"/>
      </w:r>
      <w:r w:rsidRPr="001256EA">
        <w:rPr>
          <w:rFonts w:ascii="Times New Roman" w:eastAsia="Calibri" w:hAnsi="Times New Roman" w:cs="Times New Roman"/>
          <w:sz w:val="24"/>
          <w:szCs w:val="24"/>
        </w:rPr>
        <w:t>. The development of higher biomedical technologies and increasing significance attributed to patient autonomy have singled out the practice of euthanasia and assisted dying</w:t>
      </w:r>
      <w:r w:rsidRPr="001256EA">
        <w:rPr>
          <w:rFonts w:ascii="Times New Roman" w:eastAsia="Calibri" w:hAnsi="Times New Roman" w:cs="Times New Roman"/>
          <w:sz w:val="24"/>
          <w:szCs w:val="24"/>
          <w:vertAlign w:val="superscript"/>
        </w:rPr>
        <w:footnoteReference w:id="116"/>
      </w:r>
      <w:r w:rsidRPr="001256EA">
        <w:rPr>
          <w:rFonts w:ascii="Times New Roman" w:eastAsia="Calibri" w:hAnsi="Times New Roman" w:cs="Times New Roman"/>
          <w:sz w:val="24"/>
          <w:szCs w:val="24"/>
        </w:rPr>
        <w:t>.</w:t>
      </w:r>
    </w:p>
    <w:p w14:paraId="70E36276"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Of course, the foundations of end-of-life decision-making rest on fundamental principles of bioethics, comprising respect for autonomy, nonmaleficence, beneficence, and justice. The right of self-determination and the desire to alleviate suffering must be weighed against the professional and ethical obligations of the clinician</w:t>
      </w:r>
      <w:r w:rsidRPr="001256EA">
        <w:rPr>
          <w:rFonts w:ascii="Times New Roman" w:eastAsia="Calibri" w:hAnsi="Times New Roman" w:cs="Times New Roman"/>
          <w:sz w:val="24"/>
          <w:szCs w:val="24"/>
          <w:vertAlign w:val="superscript"/>
        </w:rPr>
        <w:footnoteReference w:id="117"/>
      </w:r>
      <w:r w:rsidRPr="001256EA">
        <w:rPr>
          <w:rFonts w:ascii="Times New Roman" w:eastAsia="Calibri" w:hAnsi="Times New Roman" w:cs="Times New Roman"/>
          <w:sz w:val="24"/>
          <w:szCs w:val="24"/>
        </w:rPr>
        <w:t>. This has, therefore, somewhat created a patchwork of different approaches and guidelines within the various jurisdictions.</w:t>
      </w:r>
    </w:p>
    <w:p w14:paraId="5E453E6E" w14:textId="48FFFC60"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lastRenderedPageBreak/>
        <w:t>In some countries, for instance the Netherlands, euthanasia is legally accepted under certain conditions and with an emphasis on procedures that soften moral objections</w:t>
      </w:r>
      <w:r w:rsidRPr="001256EA">
        <w:rPr>
          <w:rFonts w:ascii="Times New Roman" w:eastAsia="Calibri" w:hAnsi="Times New Roman" w:cs="Times New Roman"/>
          <w:sz w:val="24"/>
          <w:szCs w:val="24"/>
          <w:vertAlign w:val="superscript"/>
        </w:rPr>
        <w:footnoteReference w:id="118"/>
      </w:r>
      <w:r w:rsidRPr="001256EA">
        <w:rPr>
          <w:rFonts w:ascii="Times New Roman" w:eastAsia="Calibri" w:hAnsi="Times New Roman" w:cs="Times New Roman"/>
          <w:sz w:val="24"/>
          <w:szCs w:val="24"/>
        </w:rPr>
        <w:t xml:space="preserve">. An international debate, however, is still called for regarding essential ethical considerations in euthanasia and other end-of-life decisions that would be important for the advancement of medical practice and further understanding of the matter at hand. It also extends beyond the right to die, which involves patient autonomy in those cases of terminal illness </w:t>
      </w:r>
      <w:r w:rsidR="005F3C95" w:rsidRPr="001256EA">
        <w:rPr>
          <w:rFonts w:ascii="Times New Roman" w:eastAsia="Calibri" w:hAnsi="Times New Roman" w:cs="Times New Roman"/>
          <w:sz w:val="24"/>
          <w:szCs w:val="24"/>
        </w:rPr>
        <w:t>or those</w:t>
      </w:r>
      <w:r w:rsidRPr="001256EA">
        <w:rPr>
          <w:rFonts w:ascii="Times New Roman" w:eastAsia="Calibri" w:hAnsi="Times New Roman" w:cs="Times New Roman"/>
          <w:sz w:val="24"/>
          <w:szCs w:val="24"/>
        </w:rPr>
        <w:t xml:space="preserve"> who are in bad psychological condition</w:t>
      </w:r>
      <w:r w:rsidRPr="001256EA">
        <w:rPr>
          <w:rFonts w:ascii="Times New Roman" w:eastAsia="Calibri" w:hAnsi="Times New Roman" w:cs="Times New Roman"/>
          <w:sz w:val="24"/>
          <w:szCs w:val="24"/>
          <w:vertAlign w:val="superscript"/>
        </w:rPr>
        <w:footnoteReference w:id="119"/>
      </w:r>
      <w:r w:rsidRPr="001256EA">
        <w:rPr>
          <w:rFonts w:ascii="Times New Roman" w:eastAsia="Calibri" w:hAnsi="Times New Roman" w:cs="Times New Roman"/>
          <w:sz w:val="24"/>
          <w:szCs w:val="24"/>
        </w:rPr>
        <w:t xml:space="preserve">. These legal and ethical considerations must be weighed against the right to die and autonomy, with due caution. While some of the strong arguments in </w:t>
      </w:r>
      <w:r w:rsidR="005F3C95" w:rsidRPr="001256EA">
        <w:rPr>
          <w:rFonts w:ascii="Times New Roman" w:eastAsia="Calibri" w:hAnsi="Times New Roman" w:cs="Times New Roman"/>
          <w:sz w:val="24"/>
          <w:szCs w:val="24"/>
        </w:rPr>
        <w:t>favor</w:t>
      </w:r>
      <w:r w:rsidRPr="001256EA">
        <w:rPr>
          <w:rFonts w:ascii="Times New Roman" w:eastAsia="Calibri" w:hAnsi="Times New Roman" w:cs="Times New Roman"/>
          <w:sz w:val="24"/>
          <w:szCs w:val="24"/>
        </w:rPr>
        <w:t xml:space="preserve"> of euthanasia are the right to die and patient autonomy, international law and ethical considerations also highlight the same issues concerning the sanctity of life and the prevention of abuse, as well as protection for vulnerable people. The prohibition of arbitrary deprivation of life under the ICCPR places great importance on human life and on the care needed to avoid abuses of this request for euthanasia</w:t>
      </w:r>
      <w:r w:rsidRPr="001256EA">
        <w:rPr>
          <w:rFonts w:ascii="Times New Roman" w:eastAsia="Calibri" w:hAnsi="Times New Roman" w:cs="Times New Roman"/>
          <w:sz w:val="24"/>
          <w:szCs w:val="24"/>
          <w:vertAlign w:val="superscript"/>
        </w:rPr>
        <w:footnoteReference w:id="120"/>
      </w:r>
      <w:r w:rsidRPr="001256EA">
        <w:rPr>
          <w:rFonts w:ascii="Times New Roman" w:eastAsia="Calibri" w:hAnsi="Times New Roman" w:cs="Times New Roman"/>
          <w:sz w:val="24"/>
          <w:szCs w:val="24"/>
        </w:rPr>
        <w:t>.</w:t>
      </w:r>
    </w:p>
    <w:p w14:paraId="2178DBA7" w14:textId="10DDE82A"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These concerns about abuse and coercion underscore the need for robust legal frameworks and clear ethical guidelines governing euthanasia practices. This includes establishing clear eligibility criteria, mandatory psychiatric evaluations, independent reviews of euthanasia requests, and transparent procedures for informed consent. Moreover, international law acknowledges the specific needs and vulnerabilities of certain groups, such as children, </w:t>
      </w:r>
      <w:r w:rsidR="003849BB" w:rsidRPr="001256EA">
        <w:rPr>
          <w:rFonts w:ascii="Times New Roman" w:eastAsia="Calibri" w:hAnsi="Times New Roman" w:cs="Times New Roman"/>
          <w:sz w:val="24"/>
          <w:szCs w:val="24"/>
        </w:rPr>
        <w:t>people</w:t>
      </w:r>
      <w:r w:rsidRPr="001256EA">
        <w:rPr>
          <w:rFonts w:ascii="Times New Roman" w:eastAsia="Calibri" w:hAnsi="Times New Roman" w:cs="Times New Roman"/>
          <w:sz w:val="24"/>
          <w:szCs w:val="24"/>
        </w:rPr>
        <w:t xml:space="preserve"> with disabilities, and the elderly. In these cases, additional safeguards are necessary to ensure that their decision-making capacity and autonomy are fully respected. </w:t>
      </w:r>
    </w:p>
    <w:p w14:paraId="348F5967" w14:textId="50FDE62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In this regard, international law sets out legal principles and guidelines concerning euthanasia, which requires a delicate balance between the right to die, patient self-determination, the sanctity of life, and the prevention of abuse. </w:t>
      </w:r>
      <w:r w:rsidR="005F3C95" w:rsidRPr="001256EA">
        <w:rPr>
          <w:rFonts w:ascii="Times New Roman" w:eastAsia="Calibri" w:hAnsi="Times New Roman" w:cs="Times New Roman"/>
          <w:sz w:val="24"/>
          <w:szCs w:val="24"/>
        </w:rPr>
        <w:t>Even though</w:t>
      </w:r>
      <w:r w:rsidRPr="001256EA">
        <w:rPr>
          <w:rFonts w:ascii="Times New Roman" w:eastAsia="Calibri" w:hAnsi="Times New Roman" w:cs="Times New Roman"/>
          <w:sz w:val="24"/>
          <w:szCs w:val="24"/>
        </w:rPr>
        <w:t xml:space="preserve"> there is complete silence </w:t>
      </w:r>
      <w:r w:rsidR="004C49BA" w:rsidRPr="001256EA">
        <w:rPr>
          <w:rFonts w:ascii="Times New Roman" w:eastAsia="Calibri" w:hAnsi="Times New Roman" w:cs="Times New Roman"/>
          <w:sz w:val="24"/>
          <w:szCs w:val="24"/>
        </w:rPr>
        <w:t>about euthanasia</w:t>
      </w:r>
      <w:r w:rsidRPr="001256EA">
        <w:rPr>
          <w:rFonts w:ascii="Times New Roman" w:eastAsia="Calibri" w:hAnsi="Times New Roman" w:cs="Times New Roman"/>
          <w:sz w:val="24"/>
          <w:szCs w:val="24"/>
        </w:rPr>
        <w:t xml:space="preserve"> in terms of international legislation, the present framework may be adopted to assist national legislation and ensure practices that not only uphold the protection of fundamental rights of the person but are also in line with modern ethical and social challenges. Figures </w:t>
      </w:r>
      <w:r w:rsidR="003849BB" w:rsidRPr="001256EA">
        <w:rPr>
          <w:rFonts w:ascii="Times New Roman" w:eastAsia="Calibri" w:hAnsi="Times New Roman" w:cs="Times New Roman"/>
          <w:sz w:val="24"/>
          <w:szCs w:val="24"/>
        </w:rPr>
        <w:t>3</w:t>
      </w:r>
      <w:r w:rsidRPr="001256EA">
        <w:rPr>
          <w:rFonts w:ascii="Times New Roman" w:eastAsia="Calibri" w:hAnsi="Times New Roman" w:cs="Times New Roman"/>
          <w:sz w:val="24"/>
          <w:szCs w:val="24"/>
        </w:rPr>
        <w:t xml:space="preserve"> and </w:t>
      </w:r>
      <w:r w:rsidR="003849BB" w:rsidRPr="001256EA">
        <w:rPr>
          <w:rFonts w:ascii="Times New Roman" w:eastAsia="Calibri" w:hAnsi="Times New Roman" w:cs="Times New Roman"/>
          <w:sz w:val="24"/>
          <w:szCs w:val="24"/>
        </w:rPr>
        <w:t>4</w:t>
      </w:r>
      <w:r w:rsidRPr="001256EA">
        <w:rPr>
          <w:rFonts w:ascii="Times New Roman" w:eastAsia="Calibri" w:hAnsi="Times New Roman" w:cs="Times New Roman"/>
          <w:sz w:val="24"/>
          <w:szCs w:val="24"/>
        </w:rPr>
        <w:t xml:space="preserve"> illustrate the diversity of academic disciplines engaged in euthanasia research, demonstrating that interest in this issue extends far beyond medical and legal fields to include social sciences, nursing, ethics, and more. Figure </w:t>
      </w:r>
      <w:r w:rsidR="003849BB" w:rsidRPr="001256EA">
        <w:rPr>
          <w:rFonts w:ascii="Times New Roman" w:eastAsia="Calibri" w:hAnsi="Times New Roman" w:cs="Times New Roman"/>
          <w:sz w:val="24"/>
          <w:szCs w:val="24"/>
        </w:rPr>
        <w:t>4</w:t>
      </w:r>
      <w:r w:rsidRPr="001256EA">
        <w:rPr>
          <w:rFonts w:ascii="Times New Roman" w:eastAsia="Calibri" w:hAnsi="Times New Roman" w:cs="Times New Roman"/>
          <w:sz w:val="24"/>
          <w:szCs w:val="24"/>
        </w:rPr>
        <w:t xml:space="preserve">, based on Scopus data, shows that the most </w:t>
      </w:r>
      <w:r w:rsidRPr="001256EA">
        <w:rPr>
          <w:rFonts w:ascii="Times New Roman" w:eastAsia="Calibri" w:hAnsi="Times New Roman" w:cs="Times New Roman"/>
          <w:sz w:val="24"/>
          <w:szCs w:val="24"/>
        </w:rPr>
        <w:lastRenderedPageBreak/>
        <w:t xml:space="preserve">active disciplines are medicine, social sciences, and nursing, while Figure </w:t>
      </w:r>
      <w:r w:rsidR="003849BB" w:rsidRPr="001256EA">
        <w:rPr>
          <w:rFonts w:ascii="Times New Roman" w:eastAsia="Calibri" w:hAnsi="Times New Roman" w:cs="Times New Roman"/>
          <w:sz w:val="24"/>
          <w:szCs w:val="24"/>
        </w:rPr>
        <w:t>3</w:t>
      </w:r>
      <w:r w:rsidRPr="001256EA">
        <w:rPr>
          <w:rFonts w:ascii="Times New Roman" w:eastAsia="Calibri" w:hAnsi="Times New Roman" w:cs="Times New Roman"/>
          <w:sz w:val="24"/>
          <w:szCs w:val="24"/>
        </w:rPr>
        <w:t xml:space="preserve">, based on Web of Science data, identifies ethics, biomedical social sciences, and veterinary sciences. It is noticed through these analyses that there is an interdisciplinary approach to dealing with complex challenges associated with euthanasia. By enshrining the right to die, balancing patient autonomy with the other overriding ethical principles of beneficence, non-maleficence and justice, we will move closer to legislation that meets both the needs and rights of patients, while protecting vulnerable people from further abuse. The debate on euthanasia at international level should also mature through a mixture of multidisciplinary contributions. </w:t>
      </w:r>
    </w:p>
    <w:p w14:paraId="7A65A60C" w14:textId="5B5A1F2C" w:rsidR="00293B92"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This process must ensure that end-of-life practices respect ethical values and human rights by providing appropriate and compassionate care to terminally ill patients. The complex issues involved in euthanasia will require input from experts in fields such as medicine, law, ethics, sociology and theology. Such will enable us to build strong frameworks in which respect for the individual's autonomy is ensured, but society is still protected from the possible </w:t>
      </w:r>
      <w:r w:rsidR="004C49BA" w:rsidRPr="001256EA">
        <w:rPr>
          <w:rFonts w:ascii="Times New Roman" w:eastAsia="Calibri" w:hAnsi="Times New Roman" w:cs="Times New Roman"/>
          <w:sz w:val="24"/>
          <w:szCs w:val="24"/>
        </w:rPr>
        <w:t>abuse</w:t>
      </w:r>
      <w:r w:rsidRPr="001256EA">
        <w:rPr>
          <w:rFonts w:ascii="Times New Roman" w:eastAsia="Calibri" w:hAnsi="Times New Roman" w:cs="Times New Roman"/>
          <w:sz w:val="24"/>
          <w:szCs w:val="24"/>
        </w:rPr>
        <w:t xml:space="preserve"> that may come with such freedom. In this way, one will be able to build up solid frameworks that assure respect for the autonomy of individuals while protecting society from possible </w:t>
      </w:r>
      <w:r w:rsidR="004C49BA" w:rsidRPr="001256EA">
        <w:rPr>
          <w:rFonts w:ascii="Times New Roman" w:eastAsia="Calibri" w:hAnsi="Times New Roman" w:cs="Times New Roman"/>
          <w:sz w:val="24"/>
          <w:szCs w:val="24"/>
        </w:rPr>
        <w:t>abuse</w:t>
      </w:r>
      <w:r w:rsidRPr="001256EA">
        <w:rPr>
          <w:rFonts w:ascii="Times New Roman" w:eastAsia="Calibri" w:hAnsi="Times New Roman" w:cs="Times New Roman"/>
          <w:sz w:val="24"/>
          <w:szCs w:val="24"/>
        </w:rPr>
        <w:t xml:space="preserve">. It is further necessary to fine-tune such debates </w:t>
      </w:r>
      <w:r w:rsidR="004C49BA" w:rsidRPr="001256EA">
        <w:rPr>
          <w:rFonts w:ascii="Times New Roman" w:eastAsia="Calibri" w:hAnsi="Times New Roman" w:cs="Times New Roman"/>
          <w:sz w:val="24"/>
          <w:szCs w:val="24"/>
        </w:rPr>
        <w:t>regarding</w:t>
      </w:r>
      <w:r w:rsidRPr="001256EA">
        <w:rPr>
          <w:rFonts w:ascii="Times New Roman" w:eastAsia="Calibri" w:hAnsi="Times New Roman" w:cs="Times New Roman"/>
          <w:sz w:val="24"/>
          <w:szCs w:val="24"/>
        </w:rPr>
        <w:t xml:space="preserve"> the evolving values of society and new medical technologies, whereby the legal and ethical framework </w:t>
      </w:r>
      <w:r w:rsidR="005F3C95" w:rsidRPr="001256EA">
        <w:rPr>
          <w:rFonts w:ascii="Times New Roman" w:eastAsia="Calibri" w:hAnsi="Times New Roman" w:cs="Times New Roman"/>
          <w:sz w:val="24"/>
          <w:szCs w:val="24"/>
        </w:rPr>
        <w:t>in</w:t>
      </w:r>
      <w:r w:rsidRPr="001256EA">
        <w:rPr>
          <w:rFonts w:ascii="Times New Roman" w:eastAsia="Calibri" w:hAnsi="Times New Roman" w:cs="Times New Roman"/>
          <w:sz w:val="24"/>
          <w:szCs w:val="24"/>
        </w:rPr>
        <w:t xml:space="preserve"> the face of the challenges posed by today's world, it remains relevant and effective. We must be advocates of solutions that are respectful of the dignity and rights of every person at the end of life. Where ethical principles do not overshadow human compassion, and where dynamic dialogue is inclusive, we should work towards a balanced, humane approach to euthanasia.</w:t>
      </w:r>
    </w:p>
    <w:p w14:paraId="1159B5F1" w14:textId="3D9DD1CB" w:rsidR="00FE384A" w:rsidRPr="00A615D8" w:rsidRDefault="00B76E90" w:rsidP="00FE384A">
      <w:pPr>
        <w:spacing w:after="0" w:line="360" w:lineRule="auto"/>
        <w:ind w:firstLine="851"/>
        <w:jc w:val="both"/>
        <w:rPr>
          <w:rFonts w:ascii="Times New Roman" w:eastAsia="Calibri" w:hAnsi="Times New Roman" w:cs="Times New Roman"/>
          <w:sz w:val="24"/>
          <w:szCs w:val="24"/>
        </w:rPr>
      </w:pPr>
      <w:r w:rsidRPr="00A615D8">
        <w:rPr>
          <w:rFonts w:ascii="Times New Roman" w:eastAsia="Calibri" w:hAnsi="Times New Roman" w:cs="Times New Roman"/>
          <w:sz w:val="24"/>
          <w:szCs w:val="24"/>
        </w:rPr>
        <w:t>The concept of euthanasia, the right to die and the balance of patient autonomy under the</w:t>
      </w:r>
      <w:r w:rsidR="00600701" w:rsidRPr="00A615D8">
        <w:rPr>
          <w:rFonts w:ascii="Times New Roman" w:eastAsia="Calibri" w:hAnsi="Times New Roman" w:cs="Times New Roman"/>
          <w:sz w:val="24"/>
          <w:szCs w:val="24"/>
        </w:rPr>
        <w:t xml:space="preserve"> Convention</w:t>
      </w:r>
      <w:r w:rsidRPr="00A615D8">
        <w:rPr>
          <w:rFonts w:ascii="Times New Roman" w:eastAsia="Calibri" w:hAnsi="Times New Roman" w:cs="Times New Roman"/>
          <w:sz w:val="24"/>
          <w:szCs w:val="24"/>
        </w:rPr>
        <w:t xml:space="preserve"> is one of the most complex issues in modern law and bioethics, requiring a consistent assessment of the interaction between the principles of human rights protection and medical practice. Although the Convention</w:t>
      </w:r>
      <w:r w:rsidR="00FE384A" w:rsidRPr="00A615D8">
        <w:rPr>
          <w:rStyle w:val="FootnoteReference"/>
          <w:rFonts w:ascii="Times New Roman" w:eastAsia="Calibri" w:hAnsi="Times New Roman" w:cs="Times New Roman"/>
          <w:sz w:val="24"/>
          <w:szCs w:val="24"/>
        </w:rPr>
        <w:footnoteReference w:id="121"/>
      </w:r>
      <w:r w:rsidRPr="00A615D8">
        <w:rPr>
          <w:rFonts w:ascii="Times New Roman" w:eastAsia="Calibri" w:hAnsi="Times New Roman" w:cs="Times New Roman"/>
          <w:sz w:val="24"/>
          <w:szCs w:val="24"/>
        </w:rPr>
        <w:t xml:space="preserve"> does not directly regulate euthanasia, its provisions, particularly the right to life, the right to respect for private life and the prohibition of torture and inhuman or degrading treatment, form the basis for the legal assessment of this phenomenon.</w:t>
      </w:r>
      <w:r w:rsidR="00FE384A" w:rsidRPr="00A615D8">
        <w:t xml:space="preserve"> </w:t>
      </w:r>
      <w:r w:rsidR="00FE384A" w:rsidRPr="00A615D8">
        <w:rPr>
          <w:rFonts w:ascii="Times New Roman" w:eastAsia="Calibri" w:hAnsi="Times New Roman" w:cs="Times New Roman"/>
          <w:sz w:val="24"/>
          <w:szCs w:val="24"/>
        </w:rPr>
        <w:t xml:space="preserve">The right to life enshrined in Article 2 of the Convention is considered one of the essential and fundamental human rights. The case </w:t>
      </w:r>
      <w:r w:rsidR="004347EE" w:rsidRPr="00A615D8">
        <w:rPr>
          <w:rFonts w:ascii="Times New Roman" w:eastAsia="Calibri" w:hAnsi="Times New Roman" w:cs="Times New Roman"/>
          <w:sz w:val="24"/>
          <w:szCs w:val="24"/>
        </w:rPr>
        <w:t>law</w:t>
      </w:r>
      <w:r w:rsidR="00FE384A" w:rsidRPr="00A615D8">
        <w:rPr>
          <w:rFonts w:ascii="Times New Roman" w:eastAsia="Calibri" w:hAnsi="Times New Roman" w:cs="Times New Roman"/>
          <w:sz w:val="24"/>
          <w:szCs w:val="24"/>
        </w:rPr>
        <w:t xml:space="preserve"> emphasizes that States have both a negative obligation to refrain from arbitrary deprivation of life and a positive obligation to take measures to protect life. In this context, the right to die is not recognized as an independent right arising from Article 2 of the Convention. However, the case law of the ECtHR recognizes </w:t>
      </w:r>
      <w:r w:rsidR="00FE384A" w:rsidRPr="00A615D8">
        <w:rPr>
          <w:rFonts w:ascii="Times New Roman" w:eastAsia="Calibri" w:hAnsi="Times New Roman" w:cs="Times New Roman"/>
          <w:sz w:val="24"/>
          <w:szCs w:val="24"/>
        </w:rPr>
        <w:lastRenderedPageBreak/>
        <w:t>that decisions relating to the end of life may fall within the scope of other provisions of the Convention</w:t>
      </w:r>
      <w:r w:rsidR="00FE384A" w:rsidRPr="00A615D8">
        <w:rPr>
          <w:rStyle w:val="FootnoteReference"/>
          <w:rFonts w:ascii="Times New Roman" w:eastAsia="Calibri" w:hAnsi="Times New Roman" w:cs="Times New Roman"/>
          <w:sz w:val="24"/>
          <w:szCs w:val="24"/>
        </w:rPr>
        <w:footnoteReference w:id="122"/>
      </w:r>
      <w:r w:rsidR="00FE384A" w:rsidRPr="00A615D8">
        <w:rPr>
          <w:rFonts w:ascii="Times New Roman" w:eastAsia="Calibri" w:hAnsi="Times New Roman" w:cs="Times New Roman"/>
          <w:sz w:val="24"/>
          <w:szCs w:val="24"/>
        </w:rPr>
        <w:t>.</w:t>
      </w:r>
    </w:p>
    <w:p w14:paraId="1A24543D" w14:textId="737739C5" w:rsidR="00B76E90" w:rsidRDefault="00FE384A" w:rsidP="00FE384A">
      <w:pPr>
        <w:spacing w:after="0" w:line="360" w:lineRule="auto"/>
        <w:ind w:firstLine="851"/>
        <w:jc w:val="both"/>
        <w:rPr>
          <w:rFonts w:ascii="Times New Roman" w:eastAsia="Calibri" w:hAnsi="Times New Roman" w:cs="Times New Roman"/>
          <w:sz w:val="24"/>
          <w:szCs w:val="24"/>
        </w:rPr>
      </w:pPr>
      <w:r w:rsidRPr="00A615D8">
        <w:rPr>
          <w:rFonts w:ascii="Times New Roman" w:eastAsia="Calibri" w:hAnsi="Times New Roman" w:cs="Times New Roman"/>
          <w:sz w:val="24"/>
          <w:szCs w:val="24"/>
        </w:rPr>
        <w:t>Article 8 of the Convention, which guarantees the right to respect for private and family life, is essential in assessing patient autonomy. The ECtHR has held that the right of an individual to decide on his or her own body and medical treatment, including the right to refuse life-sustaining measures, falls within the sphere of private life. This allows us to speak of a certain aspect of the “right to die”, understood as an expression of the individual’s autonomy and dignity. However, this right is not absolute - states may restrict it to protect the rights of others, the interests of society, or to prevent abuse</w:t>
      </w:r>
      <w:r w:rsidRPr="00A615D8">
        <w:rPr>
          <w:rStyle w:val="FootnoteReference"/>
          <w:rFonts w:ascii="Times New Roman" w:eastAsia="Calibri" w:hAnsi="Times New Roman" w:cs="Times New Roman"/>
          <w:sz w:val="24"/>
          <w:szCs w:val="24"/>
        </w:rPr>
        <w:footnoteReference w:id="123"/>
      </w:r>
      <w:r w:rsidRPr="00A615D8">
        <w:rPr>
          <w:rFonts w:ascii="Times New Roman" w:eastAsia="Calibri" w:hAnsi="Times New Roman" w:cs="Times New Roman"/>
          <w:sz w:val="24"/>
          <w:szCs w:val="24"/>
        </w:rPr>
        <w:t>.</w:t>
      </w:r>
    </w:p>
    <w:p w14:paraId="20B6139F" w14:textId="69769436" w:rsidR="004D74B7" w:rsidRDefault="004D74B7" w:rsidP="004D74B7">
      <w:pPr>
        <w:spacing w:after="0" w:line="360" w:lineRule="auto"/>
        <w:ind w:firstLine="851"/>
        <w:jc w:val="both"/>
        <w:rPr>
          <w:rFonts w:ascii="Times New Roman" w:eastAsia="Calibri" w:hAnsi="Times New Roman" w:cs="Times New Roman"/>
          <w:sz w:val="24"/>
          <w:szCs w:val="24"/>
        </w:rPr>
      </w:pPr>
      <w:r w:rsidRPr="00A615D8">
        <w:rPr>
          <w:rFonts w:ascii="Times New Roman" w:eastAsia="Calibri" w:hAnsi="Times New Roman" w:cs="Times New Roman"/>
          <w:sz w:val="24"/>
          <w:szCs w:val="24"/>
        </w:rPr>
        <w:t xml:space="preserve">Another important aspect is Article 3 of the Convention, which prohibits torture and inhuman or degrading treatment. Although this article does not directly create a right to euthanasia, in certain cases the question may arise whether the failure of the State to ensure adequate palliative care or pain control is not inconsistent with this provision. Thus, the State’s obligation to ensure a dignified end of life can also be assessed through the prism of this article. The principle of patient autonomy, as one of the fundamental elements of bioethics, acquires special significance in the context of the Convention. Autonomy means the right of an individual to make informed decisions regarding their health care, including refusing treatment. However, in the case of euthanasia, this autonomy is confronted with the need to protect vulnerable individuals from possible pressure or indirect coercion. Therefore, when regulating issues related to the end of life, States must ensure clear procedural safeguards, such as independent assessment of decisions, assessment of psychological state and verification of voluntary and informed consent. The case law of the ECtHR shows that states are left with a certain margin of appreciation in resolving issues of euthanasia and assisted suicide. This results in different national regulatory systems – from strict prohibition to limited permission under certain conditions. However, this discretion is not unlimited: states must ensure that their legal regulation complies with the principles of the Convention, in particular the requirements of human dignity, autonomy and protection of life. In summary, it can be stated that although the </w:t>
      </w:r>
      <w:r w:rsidR="00600701" w:rsidRPr="00A615D8">
        <w:rPr>
          <w:rFonts w:ascii="Times New Roman" w:eastAsia="Calibri" w:hAnsi="Times New Roman" w:cs="Times New Roman"/>
          <w:sz w:val="24"/>
          <w:szCs w:val="24"/>
        </w:rPr>
        <w:t>Convention</w:t>
      </w:r>
      <w:r w:rsidRPr="00A615D8">
        <w:rPr>
          <w:rFonts w:ascii="Times New Roman" w:eastAsia="Calibri" w:hAnsi="Times New Roman" w:cs="Times New Roman"/>
          <w:sz w:val="24"/>
          <w:szCs w:val="24"/>
        </w:rPr>
        <w:t xml:space="preserve"> does not directly establish the right to euthanasia or the right to die, the interpretation of its provisions allows the identification of certain legal principles related to these issues. The fundamental problem remains the search for a balance between the patient’s </w:t>
      </w:r>
      <w:r w:rsidRPr="00A615D8">
        <w:rPr>
          <w:rFonts w:ascii="Times New Roman" w:eastAsia="Calibri" w:hAnsi="Times New Roman" w:cs="Times New Roman"/>
          <w:sz w:val="24"/>
          <w:szCs w:val="24"/>
        </w:rPr>
        <w:lastRenderedPageBreak/>
        <w:t xml:space="preserve">autonomy and the state’s duty to protect life. This balance must be based not only on </w:t>
      </w:r>
      <w:proofErr w:type="gramStart"/>
      <w:r w:rsidRPr="00A615D8">
        <w:rPr>
          <w:rFonts w:ascii="Times New Roman" w:eastAsia="Calibri" w:hAnsi="Times New Roman" w:cs="Times New Roman"/>
          <w:sz w:val="24"/>
          <w:szCs w:val="24"/>
        </w:rPr>
        <w:t>legal,</w:t>
      </w:r>
      <w:proofErr w:type="gramEnd"/>
      <w:r w:rsidRPr="00A615D8">
        <w:rPr>
          <w:rFonts w:ascii="Times New Roman" w:eastAsia="Calibri" w:hAnsi="Times New Roman" w:cs="Times New Roman"/>
          <w:sz w:val="24"/>
          <w:szCs w:val="24"/>
        </w:rPr>
        <w:t xml:space="preserve"> but also on ethical criteria, to ensure both the dignity of the individual and the protection of the interests of society. The concept of euthanasia, the right to die and the balance of patient autonomy under the </w:t>
      </w:r>
      <w:r w:rsidR="00600701" w:rsidRPr="00A615D8">
        <w:rPr>
          <w:rFonts w:ascii="Times New Roman" w:eastAsia="Calibri" w:hAnsi="Times New Roman" w:cs="Times New Roman"/>
          <w:sz w:val="24"/>
          <w:szCs w:val="24"/>
        </w:rPr>
        <w:t>Convention</w:t>
      </w:r>
      <w:r w:rsidRPr="00A615D8">
        <w:rPr>
          <w:rFonts w:ascii="Times New Roman" w:eastAsia="Calibri" w:hAnsi="Times New Roman" w:cs="Times New Roman"/>
          <w:sz w:val="24"/>
          <w:szCs w:val="24"/>
        </w:rPr>
        <w:t xml:space="preserve"> are particularly relevant when assessing the Lithuanian legal system and its application practice. Lithuania, as a member of the Council of Europe and having ratified the Convention, is committed to ensuring the protection of the rights enshrined therein, but national legal regulation on the issue of euthanasia remains restrictive.</w:t>
      </w:r>
      <w:r w:rsidRPr="00A615D8">
        <w:t xml:space="preserve"> </w:t>
      </w:r>
      <w:r w:rsidRPr="00A615D8">
        <w:rPr>
          <w:rFonts w:ascii="Times New Roman" w:eastAsia="Calibri" w:hAnsi="Times New Roman" w:cs="Times New Roman"/>
          <w:sz w:val="24"/>
          <w:szCs w:val="24"/>
        </w:rPr>
        <w:t>As already mentioned in the previous chapters of this dissertation, euthanasia and assisted suicide are prohibited in Lithuanian law. The Criminal Code provides for liability for the taking of life, regardless of the motives, as well as for inducing or assisting suicide. Such a position reflects the priority protection of Article 2 of the Convention – the right to life – in national law. The Constitutional Court of Lithuania has repeatedly emphasized that human life is the highest value, and the state has a duty to protect it</w:t>
      </w:r>
      <w:r w:rsidRPr="00A615D8">
        <w:rPr>
          <w:rStyle w:val="FootnoteReference"/>
          <w:rFonts w:ascii="Times New Roman" w:eastAsia="Calibri" w:hAnsi="Times New Roman" w:cs="Times New Roman"/>
          <w:sz w:val="24"/>
          <w:szCs w:val="24"/>
        </w:rPr>
        <w:footnoteReference w:id="124"/>
      </w:r>
      <w:r w:rsidRPr="00A615D8">
        <w:rPr>
          <w:rFonts w:ascii="Times New Roman" w:eastAsia="Calibri" w:hAnsi="Times New Roman" w:cs="Times New Roman"/>
          <w:sz w:val="24"/>
          <w:szCs w:val="24"/>
        </w:rPr>
        <w:t>. For this reason, the right to die is not recognized as an independent subjective right in Lithuanian law.</w:t>
      </w:r>
      <w:r w:rsidRPr="00A615D8">
        <w:t xml:space="preserve"> </w:t>
      </w:r>
      <w:r w:rsidRPr="00A615D8">
        <w:rPr>
          <w:rFonts w:ascii="Times New Roman" w:eastAsia="Calibri" w:hAnsi="Times New Roman" w:cs="Times New Roman"/>
          <w:sz w:val="24"/>
          <w:szCs w:val="24"/>
        </w:rPr>
        <w:t>The legal model in Lithuania reflects a clear priority for the protection of life, but at the same time recognizes the importance of patient autonomy in treatment decisions. However, this autonomy is limited in cases where active termination of life is involved. Therefore, the Lithuanian situation illustrates the tension that exists in the context of the Convention between the autonomy of the individual and the state's duty to protect life. In the future, the search for this balance may stimulate broader discussions on the development of patient rights, especially by strengthening legal mechanisms that allow for a clearer expression of a person's will in end-of-life situations.</w:t>
      </w:r>
    </w:p>
    <w:p w14:paraId="1F4D8D7A" w14:textId="50CB136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Euthanasia poses a dilemma with legal and social implications in the context of human rights. The </w:t>
      </w:r>
      <w:r w:rsidR="0002739E" w:rsidRPr="00A615D8">
        <w:rPr>
          <w:rFonts w:ascii="Times New Roman" w:eastAsia="Calibri" w:hAnsi="Times New Roman" w:cs="Times New Roman"/>
          <w:sz w:val="24"/>
          <w:szCs w:val="24"/>
        </w:rPr>
        <w:t>ECtHR</w:t>
      </w:r>
      <w:r w:rsidR="0002739E" w:rsidRPr="0002739E">
        <w:rPr>
          <w:rFonts w:ascii="Times New Roman" w:eastAsia="Calibri" w:hAnsi="Times New Roman" w:cs="Times New Roman"/>
          <w:sz w:val="24"/>
          <w:szCs w:val="24"/>
        </w:rPr>
        <w:t xml:space="preserve"> </w:t>
      </w:r>
      <w:r w:rsidRPr="001256EA">
        <w:rPr>
          <w:rFonts w:ascii="Times New Roman" w:eastAsia="Calibri" w:hAnsi="Times New Roman" w:cs="Times New Roman"/>
          <w:sz w:val="24"/>
          <w:szCs w:val="24"/>
        </w:rPr>
        <w:t xml:space="preserve">makes decisions about universal legal documents, such as the </w:t>
      </w:r>
      <w:r w:rsidR="00600701" w:rsidRPr="00A615D8">
        <w:rPr>
          <w:rFonts w:ascii="Times New Roman" w:eastAsia="Calibri" w:hAnsi="Times New Roman" w:cs="Times New Roman"/>
          <w:sz w:val="24"/>
          <w:szCs w:val="24"/>
        </w:rPr>
        <w:t>Convention</w:t>
      </w:r>
      <w:r w:rsidRPr="001256EA">
        <w:rPr>
          <w:rFonts w:ascii="Times New Roman" w:eastAsia="Calibri" w:hAnsi="Times New Roman" w:cs="Times New Roman"/>
          <w:sz w:val="24"/>
          <w:szCs w:val="24"/>
        </w:rPr>
        <w:t xml:space="preserve"> on euthanasia, hence affecting the legality of the issue both at the international level and in member states</w:t>
      </w:r>
      <w:r w:rsidRPr="001256EA">
        <w:rPr>
          <w:rFonts w:ascii="Times New Roman" w:eastAsia="Calibri" w:hAnsi="Times New Roman" w:cs="Times New Roman"/>
          <w:sz w:val="24"/>
          <w:szCs w:val="24"/>
          <w:vertAlign w:val="superscript"/>
        </w:rPr>
        <w:footnoteReference w:id="125"/>
      </w:r>
      <w:r w:rsidRPr="001256EA">
        <w:rPr>
          <w:rFonts w:ascii="Times New Roman" w:eastAsia="Calibri" w:hAnsi="Times New Roman" w:cs="Times New Roman"/>
          <w:sz w:val="24"/>
          <w:szCs w:val="24"/>
        </w:rPr>
        <w:t xml:space="preserve">. The right to assisted suicide and passive euthanasia is considered part of the right to </w:t>
      </w:r>
      <w:r w:rsidR="001A5697" w:rsidRPr="001256EA">
        <w:rPr>
          <w:rFonts w:ascii="Times New Roman" w:eastAsia="Calibri" w:hAnsi="Times New Roman" w:cs="Times New Roman"/>
          <w:sz w:val="24"/>
          <w:szCs w:val="24"/>
        </w:rPr>
        <w:t>respect</w:t>
      </w:r>
      <w:r w:rsidRPr="001256EA">
        <w:rPr>
          <w:rFonts w:ascii="Times New Roman" w:eastAsia="Calibri" w:hAnsi="Times New Roman" w:cs="Times New Roman"/>
          <w:sz w:val="24"/>
          <w:szCs w:val="24"/>
        </w:rPr>
        <w:t xml:space="preserve"> private life under Article 8 of the Convention, which necessitates a broad public debate before potential legalization</w:t>
      </w:r>
      <w:r w:rsidRPr="001256EA">
        <w:rPr>
          <w:rFonts w:ascii="Times New Roman" w:eastAsia="Calibri" w:hAnsi="Times New Roman" w:cs="Times New Roman"/>
          <w:sz w:val="24"/>
          <w:szCs w:val="24"/>
          <w:vertAlign w:val="superscript"/>
        </w:rPr>
        <w:footnoteReference w:id="126"/>
      </w:r>
      <w:r w:rsidRPr="001256EA">
        <w:rPr>
          <w:rFonts w:ascii="Times New Roman" w:eastAsia="Calibri" w:hAnsi="Times New Roman" w:cs="Times New Roman"/>
          <w:sz w:val="24"/>
          <w:szCs w:val="24"/>
        </w:rPr>
        <w:t xml:space="preserve">. Moreover, shifting social attitudes toward human rights and medical law underline the need to create a systematized legal framework for euthanasia to </w:t>
      </w:r>
      <w:r w:rsidRPr="001256EA">
        <w:rPr>
          <w:rFonts w:ascii="Times New Roman" w:eastAsia="Calibri" w:hAnsi="Times New Roman" w:cs="Times New Roman"/>
          <w:sz w:val="24"/>
          <w:szCs w:val="24"/>
        </w:rPr>
        <w:lastRenderedPageBreak/>
        <w:t xml:space="preserve">set it up in the law of medicine, whose </w:t>
      </w:r>
      <w:r w:rsidR="004C49BA" w:rsidRPr="001256EA">
        <w:rPr>
          <w:rFonts w:ascii="Times New Roman" w:eastAsia="Calibri" w:hAnsi="Times New Roman" w:cs="Times New Roman"/>
          <w:sz w:val="24"/>
          <w:szCs w:val="24"/>
        </w:rPr>
        <w:t>result</w:t>
      </w:r>
      <w:r w:rsidRPr="001256EA">
        <w:rPr>
          <w:rFonts w:ascii="Times New Roman" w:eastAsia="Calibri" w:hAnsi="Times New Roman" w:cs="Times New Roman"/>
          <w:sz w:val="24"/>
          <w:szCs w:val="24"/>
        </w:rPr>
        <w:t xml:space="preserve"> is to minimize the suffering of patients with the rigorous establishment of a framework, norms, and procedures</w:t>
      </w:r>
      <w:r w:rsidRPr="001256EA">
        <w:rPr>
          <w:rFonts w:ascii="Times New Roman" w:eastAsia="Calibri" w:hAnsi="Times New Roman" w:cs="Times New Roman"/>
          <w:sz w:val="24"/>
          <w:szCs w:val="24"/>
          <w:vertAlign w:val="superscript"/>
        </w:rPr>
        <w:footnoteReference w:id="127"/>
      </w:r>
      <w:r w:rsidRPr="001256EA">
        <w:rPr>
          <w:rFonts w:ascii="Times New Roman" w:eastAsia="Calibri" w:hAnsi="Times New Roman" w:cs="Times New Roman"/>
          <w:sz w:val="24"/>
          <w:szCs w:val="24"/>
        </w:rPr>
        <w:t xml:space="preserve">. </w:t>
      </w:r>
    </w:p>
    <w:p w14:paraId="7D3937B7"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What emerges from these debates is a delicate balance between autonomy, end-of-life care and ethics under the umbrella of euthanasia.</w:t>
      </w:r>
    </w:p>
    <w:p w14:paraId="171B62BE" w14:textId="3B4B2A6C"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Euthanasia also </w:t>
      </w:r>
      <w:r w:rsidR="005F3C95" w:rsidRPr="001256EA">
        <w:rPr>
          <w:rFonts w:ascii="Times New Roman" w:eastAsia="Calibri" w:hAnsi="Times New Roman" w:cs="Times New Roman"/>
          <w:sz w:val="24"/>
          <w:szCs w:val="24"/>
        </w:rPr>
        <w:t>enters</w:t>
      </w:r>
      <w:r w:rsidRPr="001256EA">
        <w:rPr>
          <w:rFonts w:ascii="Times New Roman" w:eastAsia="Calibri" w:hAnsi="Times New Roman" w:cs="Times New Roman"/>
          <w:sz w:val="24"/>
          <w:szCs w:val="24"/>
        </w:rPr>
        <w:t xml:space="preserve"> the ethical debate in relation to human dignity and the right to self-determination as a human right. Advocates argue that the right to control one's own body and life is a fundamental human right, especially in cases of immense pain from an untreatable illness. This right of self-determination is well established in numerous international instruments on human rights, most importantly by the </w:t>
      </w:r>
      <w:r w:rsidRPr="001256EA">
        <w:rPr>
          <w:rFonts w:ascii="Times New Roman" w:hAnsi="Times New Roman" w:cs="Times New Roman"/>
          <w:sz w:val="24"/>
          <w:szCs w:val="24"/>
        </w:rPr>
        <w:t>UDHR</w:t>
      </w:r>
      <w:r w:rsidRPr="001256EA">
        <w:rPr>
          <w:rFonts w:ascii="Times New Roman" w:hAnsi="Times New Roman" w:cs="Times New Roman"/>
          <w:sz w:val="24"/>
          <w:szCs w:val="24"/>
          <w:vertAlign w:val="superscript"/>
        </w:rPr>
        <w:footnoteReference w:id="128"/>
      </w:r>
      <w:r w:rsidRPr="001256EA">
        <w:rPr>
          <w:rFonts w:ascii="Times New Roman" w:eastAsia="Calibri" w:hAnsi="Times New Roman" w:cs="Times New Roman"/>
          <w:sz w:val="24"/>
          <w:szCs w:val="24"/>
        </w:rPr>
        <w:t xml:space="preserve"> and by the </w:t>
      </w:r>
      <w:r w:rsidRPr="001256EA">
        <w:rPr>
          <w:rFonts w:ascii="Times New Roman" w:hAnsi="Times New Roman" w:cs="Times New Roman"/>
          <w:sz w:val="24"/>
          <w:szCs w:val="24"/>
        </w:rPr>
        <w:t>ICCPR</w:t>
      </w:r>
      <w:r w:rsidRPr="001256EA">
        <w:rPr>
          <w:rFonts w:ascii="Times New Roman" w:hAnsi="Times New Roman" w:cs="Times New Roman"/>
          <w:sz w:val="24"/>
          <w:szCs w:val="24"/>
          <w:vertAlign w:val="superscript"/>
        </w:rPr>
        <w:footnoteReference w:id="129"/>
      </w:r>
      <w:r w:rsidRPr="001256EA">
        <w:rPr>
          <w:rFonts w:ascii="Times New Roman" w:eastAsia="Calibri" w:hAnsi="Times New Roman" w:cs="Times New Roman"/>
          <w:sz w:val="24"/>
          <w:szCs w:val="24"/>
        </w:rPr>
        <w:t>. From these, one could deduce that the right to life encompasses the right to determine how and when one dies, specifically in cases of unbearable pain</w:t>
      </w:r>
      <w:r w:rsidRPr="001256EA">
        <w:rPr>
          <w:rFonts w:ascii="Times New Roman" w:eastAsia="Calibri" w:hAnsi="Times New Roman" w:cs="Times New Roman"/>
          <w:sz w:val="24"/>
          <w:szCs w:val="24"/>
          <w:vertAlign w:val="superscript"/>
        </w:rPr>
        <w:footnoteReference w:id="130"/>
      </w:r>
      <w:r w:rsidRPr="001256EA">
        <w:rPr>
          <w:rFonts w:ascii="Times New Roman" w:eastAsia="Calibri" w:hAnsi="Times New Roman" w:cs="Times New Roman"/>
          <w:sz w:val="24"/>
          <w:szCs w:val="24"/>
        </w:rPr>
        <w:t>.</w:t>
      </w:r>
    </w:p>
    <w:p w14:paraId="10A7BEDC"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However, the critics contend that the most vulnerable can be abused and exploited. In their opinion, if euthanasia is legalized it will open a slippery slope where people can be forced or mentally influenced to take away their own lives. They also pointed out the inviolability of human life, referring to Article 6 of the </w:t>
      </w:r>
      <w:r w:rsidRPr="001256EA">
        <w:rPr>
          <w:rFonts w:ascii="Times New Roman" w:hAnsi="Times New Roman" w:cs="Times New Roman"/>
          <w:sz w:val="24"/>
          <w:szCs w:val="24"/>
        </w:rPr>
        <w:t>ICCPR</w:t>
      </w:r>
      <w:r w:rsidRPr="001256EA">
        <w:rPr>
          <w:rFonts w:ascii="Times New Roman" w:hAnsi="Times New Roman" w:cs="Times New Roman"/>
          <w:sz w:val="24"/>
          <w:szCs w:val="24"/>
          <w:vertAlign w:val="superscript"/>
        </w:rPr>
        <w:footnoteReference w:id="131"/>
      </w:r>
      <w:r w:rsidRPr="001256EA">
        <w:rPr>
          <w:rFonts w:ascii="Times New Roman" w:eastAsia="Calibri" w:hAnsi="Times New Roman" w:cs="Times New Roman"/>
          <w:sz w:val="24"/>
          <w:szCs w:val="24"/>
        </w:rPr>
        <w:t xml:space="preserve">, which provides that </w:t>
      </w:r>
      <w:r w:rsidRPr="001256EA">
        <w:rPr>
          <w:rFonts w:ascii="Times New Roman" w:eastAsia="Calibri" w:hAnsi="Times New Roman" w:cs="Times New Roman"/>
          <w:i/>
          <w:iCs/>
          <w:sz w:val="24"/>
          <w:szCs w:val="24"/>
        </w:rPr>
        <w:t>"no one shall be arbitrarily deprived of his life"</w:t>
      </w:r>
      <w:r w:rsidRPr="001256EA">
        <w:rPr>
          <w:rFonts w:ascii="Times New Roman" w:eastAsia="Calibri" w:hAnsi="Times New Roman" w:cs="Times New Roman"/>
          <w:i/>
          <w:iCs/>
          <w:sz w:val="24"/>
          <w:szCs w:val="24"/>
          <w:vertAlign w:val="superscript"/>
        </w:rPr>
        <w:footnoteReference w:id="132"/>
      </w:r>
      <w:r w:rsidRPr="001256EA">
        <w:rPr>
          <w:rFonts w:ascii="Times New Roman" w:eastAsia="Calibri" w:hAnsi="Times New Roman" w:cs="Times New Roman"/>
          <w:sz w:val="24"/>
          <w:szCs w:val="24"/>
        </w:rPr>
        <w:t>. For them, euthanasia, even if agreed to in advance, is irreconcilable with the basic right to life. Legal views on euthanasia are highly dissimilar from one country to another. In the Netherlands, the law allows euthanasia and assisted suicide under stringent conditions. The Dutch legal framework emphasizes unbearable suffering without hope of recovery as the main criterion for permitting euthanasia</w:t>
      </w:r>
      <w:r w:rsidRPr="001256EA">
        <w:rPr>
          <w:rFonts w:ascii="Times New Roman" w:eastAsia="Calibri" w:hAnsi="Times New Roman" w:cs="Times New Roman"/>
          <w:sz w:val="24"/>
          <w:szCs w:val="24"/>
          <w:vertAlign w:val="superscript"/>
        </w:rPr>
        <w:footnoteReference w:id="133"/>
      </w:r>
      <w:r w:rsidRPr="001256EA">
        <w:rPr>
          <w:rFonts w:ascii="Times New Roman" w:eastAsia="Calibri" w:hAnsi="Times New Roman" w:cs="Times New Roman"/>
          <w:sz w:val="24"/>
          <w:szCs w:val="24"/>
        </w:rPr>
        <w:t xml:space="preserve">. Similarly, Belgium has enacted specific laws that allow euthanasia under defined circumstances, requiring stringent checks to </w:t>
      </w:r>
      <w:r w:rsidRPr="001256EA">
        <w:rPr>
          <w:rFonts w:ascii="Times New Roman" w:eastAsia="Calibri" w:hAnsi="Times New Roman" w:cs="Times New Roman"/>
          <w:sz w:val="24"/>
          <w:szCs w:val="24"/>
        </w:rPr>
        <w:lastRenderedPageBreak/>
        <w:t>ensure that patients' requests are voluntary and well-considered</w:t>
      </w:r>
      <w:r w:rsidRPr="001256EA">
        <w:rPr>
          <w:rFonts w:ascii="Times New Roman" w:eastAsia="Calibri" w:hAnsi="Times New Roman" w:cs="Times New Roman"/>
          <w:sz w:val="24"/>
          <w:szCs w:val="24"/>
          <w:vertAlign w:val="superscript"/>
        </w:rPr>
        <w:footnoteReference w:id="134"/>
      </w:r>
      <w:r w:rsidRPr="001256EA">
        <w:rPr>
          <w:rFonts w:ascii="Times New Roman" w:eastAsia="Calibri" w:hAnsi="Times New Roman" w:cs="Times New Roman"/>
          <w:sz w:val="24"/>
          <w:szCs w:val="24"/>
        </w:rPr>
        <w:t>. In Switzerland, while euthanasia per se is not legal, assisted suicide is permitted, provided it is not conducted for selfish motives and the person assisting is not a medical professional</w:t>
      </w:r>
      <w:r w:rsidRPr="001256EA">
        <w:rPr>
          <w:rFonts w:ascii="Times New Roman" w:eastAsia="Calibri" w:hAnsi="Times New Roman" w:cs="Times New Roman"/>
          <w:sz w:val="24"/>
          <w:szCs w:val="24"/>
          <w:vertAlign w:val="superscript"/>
        </w:rPr>
        <w:footnoteReference w:id="135"/>
      </w:r>
      <w:r w:rsidRPr="001256EA">
        <w:rPr>
          <w:rFonts w:ascii="Times New Roman" w:eastAsia="Calibri" w:hAnsi="Times New Roman" w:cs="Times New Roman"/>
          <w:sz w:val="24"/>
          <w:szCs w:val="24"/>
        </w:rPr>
        <w:t>.</w:t>
      </w:r>
    </w:p>
    <w:p w14:paraId="0E51BB5E"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In the United States, the legal landscape is highly fragmented. States such as Oregon, Washington, and California have enacted laws that permit physician-assisted suicide under certain conditions, usually requiring confirmation of a terminal illness and a prognosis of six months or less to live</w:t>
      </w:r>
      <w:r w:rsidRPr="001256EA">
        <w:rPr>
          <w:rFonts w:ascii="Times New Roman" w:eastAsia="Calibri" w:hAnsi="Times New Roman" w:cs="Times New Roman"/>
          <w:sz w:val="24"/>
          <w:szCs w:val="24"/>
          <w:vertAlign w:val="superscript"/>
        </w:rPr>
        <w:footnoteReference w:id="136"/>
      </w:r>
      <w:r w:rsidRPr="001256EA">
        <w:rPr>
          <w:rFonts w:ascii="Times New Roman" w:eastAsia="Calibri" w:hAnsi="Times New Roman" w:cs="Times New Roman"/>
          <w:sz w:val="24"/>
          <w:szCs w:val="24"/>
        </w:rPr>
        <w:t>. However, this issue remains highly controversial, with significant variation in legal status and public opinion across different states.</w:t>
      </w:r>
    </w:p>
    <w:p w14:paraId="708DB686" w14:textId="77777777"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Briefly in the 1990s, the Australian jurisdiction of the Northern Territory legalized euthanasia until the federal government overturned the legislation. More recently, jurisdictions such as Victoria and Western Australia have moved forward with legislation permitting euthanasia and assisted suicide under very strict regulatory frameworks. This reflects ongoing debates about the ethical and social implications of these practices</w:t>
      </w:r>
      <w:r w:rsidRPr="001256EA">
        <w:rPr>
          <w:rFonts w:ascii="Times New Roman" w:eastAsia="Calibri" w:hAnsi="Times New Roman" w:cs="Times New Roman"/>
          <w:sz w:val="24"/>
          <w:szCs w:val="24"/>
          <w:vertAlign w:val="superscript"/>
        </w:rPr>
        <w:footnoteReference w:id="137"/>
      </w:r>
      <w:r w:rsidRPr="001256EA">
        <w:rPr>
          <w:rFonts w:ascii="Times New Roman" w:eastAsia="Calibri" w:hAnsi="Times New Roman" w:cs="Times New Roman"/>
          <w:sz w:val="24"/>
          <w:szCs w:val="24"/>
        </w:rPr>
        <w:t>.</w:t>
      </w:r>
    </w:p>
    <w:p w14:paraId="07A0276C" w14:textId="3D408FEB" w:rsidR="00293B92" w:rsidRPr="001256EA"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implications of euthanasia for society </w:t>
      </w:r>
      <w:r w:rsidR="004C49BA" w:rsidRPr="001256EA">
        <w:rPr>
          <w:rFonts w:ascii="Times New Roman" w:eastAsia="Calibri" w:hAnsi="Times New Roman" w:cs="Times New Roman"/>
          <w:sz w:val="24"/>
          <w:szCs w:val="24"/>
        </w:rPr>
        <w:t>are</w:t>
      </w:r>
      <w:r w:rsidRPr="001256EA">
        <w:rPr>
          <w:rFonts w:ascii="Times New Roman" w:eastAsia="Calibri" w:hAnsi="Times New Roman" w:cs="Times New Roman"/>
          <w:sz w:val="24"/>
          <w:szCs w:val="24"/>
        </w:rPr>
        <w:t xml:space="preserve"> no less complex. Depending on cultural, religious and ethical norms, it has different levels of acceptance. For instance, countries that have a strong streak of individualism in matters of rights and autonomy might be more facile towards euthanasia. Countries with a high orientation of religion will tend to turn their backs on it. Perceptions relating to dignity, autonomy, and compassion play an important role in shaping the way people look at and regulate euthanasia. Very often, the results of public opinion polls and sociological surveys provide evidence that attitudes toward euthanasia are </w:t>
      </w:r>
      <w:r w:rsidR="00ED3976" w:rsidRPr="001256EA">
        <w:rPr>
          <w:rFonts w:ascii="Times New Roman" w:eastAsia="Calibri" w:hAnsi="Times New Roman" w:cs="Times New Roman"/>
          <w:sz w:val="24"/>
          <w:szCs w:val="24"/>
        </w:rPr>
        <w:t>divided into</w:t>
      </w:r>
      <w:r w:rsidR="004C49BA" w:rsidRPr="001256EA">
        <w:rPr>
          <w:rFonts w:ascii="Times New Roman" w:eastAsia="Calibri" w:hAnsi="Times New Roman" w:cs="Times New Roman"/>
          <w:sz w:val="24"/>
          <w:szCs w:val="24"/>
        </w:rPr>
        <w:t xml:space="preserve"> proof</w:t>
      </w:r>
      <w:r w:rsidRPr="001256EA">
        <w:rPr>
          <w:rFonts w:ascii="Times New Roman" w:eastAsia="Calibri" w:hAnsi="Times New Roman" w:cs="Times New Roman"/>
          <w:sz w:val="24"/>
          <w:szCs w:val="24"/>
        </w:rPr>
        <w:t xml:space="preserve"> that the issue is extremely personal and controversial</w:t>
      </w:r>
      <w:r w:rsidRPr="001256EA">
        <w:rPr>
          <w:rFonts w:ascii="Times New Roman" w:eastAsia="Calibri" w:hAnsi="Times New Roman" w:cs="Times New Roman"/>
          <w:sz w:val="24"/>
          <w:szCs w:val="24"/>
          <w:vertAlign w:val="superscript"/>
        </w:rPr>
        <w:footnoteReference w:id="138"/>
      </w:r>
      <w:r w:rsidRPr="001256EA">
        <w:rPr>
          <w:rFonts w:ascii="Times New Roman" w:eastAsia="Calibri" w:hAnsi="Times New Roman" w:cs="Times New Roman"/>
          <w:sz w:val="24"/>
          <w:szCs w:val="24"/>
        </w:rPr>
        <w:t>.</w:t>
      </w:r>
    </w:p>
    <w:p w14:paraId="26150DB6" w14:textId="79EC0E7F" w:rsidR="00293B92" w:rsidRDefault="00293B92" w:rsidP="00F7029D">
      <w:pPr>
        <w:spacing w:after="0" w:line="360" w:lineRule="auto"/>
        <w:ind w:firstLine="851"/>
        <w:jc w:val="both"/>
        <w:rPr>
          <w:rFonts w:ascii="Times New Roman" w:eastAsia="Calibri" w:hAnsi="Times New Roman" w:cs="Times New Roman"/>
          <w:sz w:val="24"/>
          <w:szCs w:val="24"/>
        </w:rPr>
      </w:pPr>
      <w:r w:rsidRPr="001256EA">
        <w:rPr>
          <w:rFonts w:ascii="Times New Roman" w:eastAsia="Calibri" w:hAnsi="Times New Roman" w:cs="Times New Roman"/>
          <w:sz w:val="24"/>
          <w:szCs w:val="24"/>
        </w:rPr>
        <w:t xml:space="preserve">The legal and social dimensions of euthanasia in the framework of human rights underline the complexity involved and show that delicate balances </w:t>
      </w:r>
      <w:r w:rsidR="004C49BA" w:rsidRPr="001256EA">
        <w:rPr>
          <w:rFonts w:ascii="Times New Roman" w:eastAsia="Calibri" w:hAnsi="Times New Roman" w:cs="Times New Roman"/>
          <w:sz w:val="24"/>
          <w:szCs w:val="24"/>
        </w:rPr>
        <w:t>must</w:t>
      </w:r>
      <w:r w:rsidRPr="001256EA">
        <w:rPr>
          <w:rFonts w:ascii="Times New Roman" w:eastAsia="Calibri" w:hAnsi="Times New Roman" w:cs="Times New Roman"/>
          <w:sz w:val="24"/>
          <w:szCs w:val="24"/>
        </w:rPr>
        <w:t xml:space="preserve"> be maintained among individual autonomy, alleviation of suffering, and prevention of abuse. For this reason, the </w:t>
      </w:r>
      <w:r w:rsidRPr="001256EA">
        <w:rPr>
          <w:rFonts w:ascii="Times New Roman" w:eastAsia="Calibri" w:hAnsi="Times New Roman" w:cs="Times New Roman"/>
          <w:sz w:val="24"/>
          <w:szCs w:val="24"/>
        </w:rPr>
        <w:lastRenderedPageBreak/>
        <w:t xml:space="preserve">process of setting up robust legal and ethical frameworks shall remain indispensable to ensure practices in euthanasia respect the core human right while remaining responsive to ethical and social concerns. It requires sensitivity and comprehensive approaches toward the ethical, legal, and social dimensions that euthanasia presents, </w:t>
      </w:r>
      <w:r w:rsidR="00F7029D" w:rsidRPr="001256EA">
        <w:rPr>
          <w:rFonts w:ascii="Times New Roman" w:eastAsia="Calibri" w:hAnsi="Times New Roman" w:cs="Times New Roman"/>
          <w:sz w:val="24"/>
          <w:szCs w:val="24"/>
        </w:rPr>
        <w:t>to</w:t>
      </w:r>
      <w:r w:rsidRPr="001256EA">
        <w:rPr>
          <w:rFonts w:ascii="Times New Roman" w:eastAsia="Calibri" w:hAnsi="Times New Roman" w:cs="Times New Roman"/>
          <w:sz w:val="24"/>
          <w:szCs w:val="24"/>
        </w:rPr>
        <w:t xml:space="preserve"> formulate whatever policy is sensitive, just, and a reflection of the values of society.</w:t>
      </w:r>
    </w:p>
    <w:p w14:paraId="28800E07" w14:textId="2B310CF7" w:rsidR="00E3313C" w:rsidRPr="001256EA" w:rsidRDefault="00E3313C" w:rsidP="00F7029D">
      <w:pPr>
        <w:spacing w:after="0" w:line="360" w:lineRule="auto"/>
        <w:ind w:firstLine="851"/>
        <w:jc w:val="both"/>
        <w:rPr>
          <w:rFonts w:ascii="Times New Roman" w:eastAsia="Calibri" w:hAnsi="Times New Roman" w:cs="Times New Roman"/>
          <w:sz w:val="24"/>
          <w:szCs w:val="24"/>
        </w:rPr>
      </w:pPr>
      <w:r w:rsidRPr="00A615D8">
        <w:rPr>
          <w:rFonts w:ascii="Times New Roman" w:eastAsia="Calibri" w:hAnsi="Times New Roman" w:cs="Times New Roman"/>
          <w:sz w:val="24"/>
          <w:szCs w:val="24"/>
        </w:rPr>
        <w:t>In summary, although international instruments do not directly establish the right to euthanasia, they recognize important principles such as the right to life, human dignity and personal autonomy, which form the basis for discussions on end-of-life decisions. Patient autonomy, as the right to make informed decisions about treatment, is considered essential, but it is not absolute and must be balanced with the protection of vulnerable persons and the prevention of abuse. In the context of the Convention, it is emphasized that the right to die is not independently recognized, but certain aspects of it are derived from the right to private life. States are left with discretion to regulate euthanasia issues, but they must ensure a balance between personal autonomy and the protection of life. The Lithuanian legal system reflects a strict priority for the protection of life - euthanasia and assisted suicide are prohibited, although the patient's right to refuse treatment is recognized. This indicates a constant tension between individual autonomy and the state's duty to protect life, which remains a fundamental legal and ethical challenge in this area.</w:t>
      </w:r>
    </w:p>
    <w:p w14:paraId="6F912853" w14:textId="77777777" w:rsidR="00F7029D" w:rsidRPr="001256EA" w:rsidRDefault="00F7029D" w:rsidP="00F7029D">
      <w:pPr>
        <w:spacing w:after="0" w:line="360" w:lineRule="auto"/>
        <w:ind w:firstLine="851"/>
        <w:jc w:val="both"/>
        <w:rPr>
          <w:rFonts w:ascii="Times New Roman" w:eastAsia="Calibri" w:hAnsi="Times New Roman" w:cs="Times New Roman"/>
          <w:sz w:val="24"/>
          <w:szCs w:val="24"/>
        </w:rPr>
      </w:pPr>
    </w:p>
    <w:p w14:paraId="10BBD0CB" w14:textId="21DE5F05" w:rsidR="00293B92" w:rsidRPr="001256EA" w:rsidRDefault="00293B92" w:rsidP="007C2C03">
      <w:pPr>
        <w:pStyle w:val="Heading2"/>
        <w:numPr>
          <w:ilvl w:val="1"/>
          <w:numId w:val="26"/>
        </w:numPr>
        <w:jc w:val="center"/>
        <w:rPr>
          <w:rFonts w:ascii="Times New Roman" w:eastAsia="Calibri" w:hAnsi="Times New Roman" w:cs="Times New Roman"/>
          <w:b/>
          <w:bCs/>
          <w:color w:val="auto"/>
          <w:sz w:val="24"/>
          <w:szCs w:val="24"/>
        </w:rPr>
      </w:pPr>
      <w:bookmarkStart w:id="11" w:name="_Toc216374387"/>
      <w:r w:rsidRPr="001256EA">
        <w:rPr>
          <w:rFonts w:ascii="Times New Roman" w:eastAsia="Calibri" w:hAnsi="Times New Roman" w:cs="Times New Roman"/>
          <w:b/>
          <w:bCs/>
          <w:color w:val="auto"/>
          <w:sz w:val="24"/>
          <w:szCs w:val="24"/>
        </w:rPr>
        <w:t>An overview of the links between right to life and the right to die in legal studies using computational thematic review</w:t>
      </w:r>
      <w:bookmarkEnd w:id="11"/>
    </w:p>
    <w:p w14:paraId="734BCB76" w14:textId="77777777" w:rsidR="00F7029D" w:rsidRPr="001256EA" w:rsidRDefault="00F7029D" w:rsidP="00F7029D"/>
    <w:p w14:paraId="51C8BA48" w14:textId="36777622" w:rsidR="00293B92" w:rsidRPr="0083625F" w:rsidRDefault="0083625F" w:rsidP="0083625F">
      <w:pPr>
        <w:tabs>
          <w:tab w:val="left" w:pos="940"/>
        </w:tabs>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t>Euthanasia</w:t>
      </w:r>
      <w:r w:rsidR="00293B92" w:rsidRPr="00A615D8">
        <w:rPr>
          <w:rFonts w:ascii="Times New Roman" w:hAnsi="Times New Roman" w:cs="Times New Roman"/>
          <w:sz w:val="24"/>
          <w:szCs w:val="24"/>
        </w:rPr>
        <w:t xml:space="preserve"> raises fundamental questions about the regulation of life-ending decisions, the scope of personal autonomy, and the role of law in safeguarding both dignity and life. Legal frameworks governing euthanasia reflect deep-rooted societal values and are shaped by intersecting moral, religious, and constitutional tensions. </w:t>
      </w:r>
      <w:r w:rsidRPr="00A615D8">
        <w:rPr>
          <w:rFonts w:ascii="Times New Roman" w:hAnsi="Times New Roman" w:cs="Times New Roman"/>
          <w:sz w:val="24"/>
          <w:szCs w:val="24"/>
        </w:rPr>
        <w:t>This institute</w:t>
      </w:r>
      <w:r w:rsidR="00293B92" w:rsidRPr="001256EA">
        <w:rPr>
          <w:rFonts w:ascii="Times New Roman" w:hAnsi="Times New Roman" w:cs="Times New Roman"/>
          <w:sz w:val="24"/>
          <w:szCs w:val="24"/>
        </w:rPr>
        <w:t xml:space="preserve"> occupies a contested space within contemporary legal systems</w:t>
      </w:r>
      <w:r w:rsidR="00293B92" w:rsidRPr="001256EA">
        <w:rPr>
          <w:rFonts w:ascii="Times New Roman" w:hAnsi="Times New Roman" w:cs="Times New Roman"/>
          <w:sz w:val="24"/>
          <w:szCs w:val="24"/>
          <w:vertAlign w:val="superscript"/>
        </w:rPr>
        <w:footnoteReference w:id="139"/>
      </w:r>
      <w:r w:rsidR="00293B92" w:rsidRPr="001256EA">
        <w:rPr>
          <w:rFonts w:ascii="Times New Roman" w:hAnsi="Times New Roman" w:cs="Times New Roman"/>
          <w:sz w:val="24"/>
          <w:szCs w:val="24"/>
        </w:rPr>
        <w:t xml:space="preserve">. Across Europe and beyond, legal codifications of assisted dying illustrate contrasting positions on autonomy, responsibility, and vulnerability. </w:t>
      </w:r>
      <w:r w:rsidR="00BE3ED3" w:rsidRPr="00A615D8">
        <w:rPr>
          <w:rFonts w:ascii="Times New Roman" w:hAnsi="Times New Roman" w:cs="Times New Roman"/>
          <w:sz w:val="24"/>
          <w:szCs w:val="24"/>
        </w:rPr>
        <w:t>While some jurisdictions have developed regulatory models emphasizing procedural safeguards and accountability, others adopt more restrictive approaches grounded in the protection of life.</w:t>
      </w:r>
      <w:r w:rsidR="00BE3ED3">
        <w:rPr>
          <w:rFonts w:ascii="Times New Roman" w:hAnsi="Times New Roman" w:cs="Times New Roman"/>
          <w:sz w:val="24"/>
          <w:szCs w:val="24"/>
        </w:rPr>
        <w:t xml:space="preserve"> </w:t>
      </w:r>
      <w:r w:rsidR="00293B92" w:rsidRPr="001256EA">
        <w:rPr>
          <w:rFonts w:ascii="Times New Roman" w:hAnsi="Times New Roman" w:cs="Times New Roman"/>
          <w:sz w:val="24"/>
          <w:szCs w:val="24"/>
        </w:rPr>
        <w:lastRenderedPageBreak/>
        <w:t>The legal controversies surrounding euthanasia are anchored in the interpretation of fundamental rights</w:t>
      </w:r>
      <w:r w:rsidR="00293B92" w:rsidRPr="001256EA">
        <w:rPr>
          <w:rFonts w:ascii="Times New Roman" w:hAnsi="Times New Roman" w:cs="Times New Roman"/>
          <w:sz w:val="24"/>
          <w:szCs w:val="24"/>
          <w:vertAlign w:val="superscript"/>
        </w:rPr>
        <w:footnoteReference w:id="140"/>
      </w:r>
      <w:r w:rsidR="00293B92" w:rsidRPr="001256EA">
        <w:rPr>
          <w:rFonts w:ascii="Times New Roman" w:hAnsi="Times New Roman" w:cs="Times New Roman"/>
          <w:sz w:val="24"/>
          <w:szCs w:val="24"/>
        </w:rPr>
        <w:t>, notably the right to life and the right to self-determination</w:t>
      </w:r>
      <w:r w:rsidR="00293B92" w:rsidRPr="001256EA">
        <w:rPr>
          <w:rFonts w:ascii="Times New Roman" w:hAnsi="Times New Roman" w:cs="Times New Roman"/>
          <w:sz w:val="24"/>
          <w:szCs w:val="24"/>
          <w:vertAlign w:val="superscript"/>
        </w:rPr>
        <w:footnoteReference w:id="141"/>
      </w:r>
      <w:r w:rsidR="00293B92" w:rsidRPr="001256EA">
        <w:rPr>
          <w:rFonts w:ascii="Times New Roman" w:hAnsi="Times New Roman" w:cs="Times New Roman"/>
          <w:sz w:val="24"/>
          <w:szCs w:val="24"/>
        </w:rPr>
        <w:t>. These debates traverse several legal domains, including human rights law, constitutional law, and medical jurisprudence</w:t>
      </w:r>
      <w:r w:rsidR="00293B92" w:rsidRPr="001256EA">
        <w:rPr>
          <w:rFonts w:ascii="Times New Roman" w:hAnsi="Times New Roman" w:cs="Times New Roman"/>
          <w:sz w:val="24"/>
          <w:szCs w:val="24"/>
          <w:vertAlign w:val="superscript"/>
        </w:rPr>
        <w:footnoteReference w:id="142"/>
      </w:r>
      <w:r w:rsidR="00293B92" w:rsidRPr="001256EA">
        <w:rPr>
          <w:rFonts w:ascii="Times New Roman" w:hAnsi="Times New Roman" w:cs="Times New Roman"/>
          <w:sz w:val="24"/>
          <w:szCs w:val="24"/>
        </w:rPr>
        <w:t xml:space="preserve">. Proponents of legalization invoke instruments such as the </w:t>
      </w:r>
      <w:r w:rsidR="001A2C9B" w:rsidRPr="001256EA">
        <w:rPr>
          <w:rFonts w:ascii="Times New Roman" w:hAnsi="Times New Roman" w:cs="Times New Roman"/>
          <w:sz w:val="24"/>
          <w:szCs w:val="24"/>
        </w:rPr>
        <w:t>ICCPR</w:t>
      </w:r>
      <w:r w:rsidR="00293B92" w:rsidRPr="001256EA">
        <w:rPr>
          <w:rFonts w:ascii="Times New Roman" w:hAnsi="Times New Roman" w:cs="Times New Roman"/>
          <w:sz w:val="24"/>
          <w:szCs w:val="24"/>
          <w:vertAlign w:val="superscript"/>
        </w:rPr>
        <w:footnoteReference w:id="143"/>
      </w:r>
      <w:r w:rsidR="00293B92" w:rsidRPr="001256EA">
        <w:rPr>
          <w:rFonts w:ascii="Times New Roman" w:hAnsi="Times New Roman" w:cs="Times New Roman"/>
          <w:sz w:val="24"/>
          <w:szCs w:val="24"/>
        </w:rPr>
        <w:t xml:space="preserve"> to argue for individual autonomy in choosing the conditions of death when suffering becomes unbearable</w:t>
      </w:r>
      <w:r w:rsidR="00293B92" w:rsidRPr="001256EA">
        <w:rPr>
          <w:rFonts w:ascii="Times New Roman" w:hAnsi="Times New Roman" w:cs="Times New Roman"/>
          <w:sz w:val="24"/>
          <w:szCs w:val="24"/>
          <w:vertAlign w:val="superscript"/>
        </w:rPr>
        <w:footnoteReference w:id="144"/>
      </w:r>
      <w:r w:rsidR="00293B92" w:rsidRPr="001256EA">
        <w:rPr>
          <w:rFonts w:ascii="Times New Roman" w:hAnsi="Times New Roman" w:cs="Times New Roman"/>
          <w:sz w:val="24"/>
          <w:szCs w:val="24"/>
        </w:rPr>
        <w:t>.</w:t>
      </w:r>
    </w:p>
    <w:p w14:paraId="79E57755" w14:textId="1FFBD7FC" w:rsidR="00293B92" w:rsidRPr="00314BDD" w:rsidRDefault="00293B92" w:rsidP="008B2004">
      <w:pPr>
        <w:tabs>
          <w:tab w:val="left" w:pos="940"/>
        </w:tabs>
        <w:spacing w:after="0" w:line="360" w:lineRule="auto"/>
        <w:ind w:firstLine="851"/>
        <w:jc w:val="both"/>
        <w:rPr>
          <w:rFonts w:ascii="Times New Roman" w:hAnsi="Times New Roman" w:cs="Times New Roman"/>
          <w:strike/>
          <w:sz w:val="24"/>
          <w:szCs w:val="24"/>
        </w:rPr>
      </w:pPr>
      <w:r w:rsidRPr="001256EA">
        <w:rPr>
          <w:rFonts w:ascii="Times New Roman" w:hAnsi="Times New Roman" w:cs="Times New Roman"/>
          <w:sz w:val="24"/>
          <w:szCs w:val="24"/>
        </w:rPr>
        <w:t xml:space="preserve">The legal discourse on euthanasia thus requires an approach that moves beyond polarized debates between prohibition and permissiveness. It demands </w:t>
      </w:r>
      <w:r w:rsidR="0075135C" w:rsidRPr="001256EA">
        <w:rPr>
          <w:rFonts w:ascii="Times New Roman" w:hAnsi="Times New Roman" w:cs="Times New Roman"/>
          <w:sz w:val="24"/>
          <w:szCs w:val="24"/>
        </w:rPr>
        <w:t>critical</w:t>
      </w:r>
      <w:r w:rsidRPr="001256EA">
        <w:rPr>
          <w:rFonts w:ascii="Times New Roman" w:hAnsi="Times New Roman" w:cs="Times New Roman"/>
          <w:sz w:val="24"/>
          <w:szCs w:val="24"/>
        </w:rPr>
        <w:t xml:space="preserve"> engagement with how law interacts with ethical imperatives, clinical realities, and individual rights in end-of-life care. </w:t>
      </w:r>
    </w:p>
    <w:p w14:paraId="2D00D94F" w14:textId="62499324" w:rsidR="0083625F" w:rsidRPr="0083625F" w:rsidRDefault="0083625F" w:rsidP="0083625F">
      <w:pPr>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t>Computer-aided thematic analysis is particularly suited to the study of the euthanasia institute due to the normative and discursive complexity of this phenomenon. Euthanasia encompasses multi-layered legal, ethical, and medical categories that are articulated in different jurisdictions with different concepts and argumentative structures</w:t>
      </w:r>
      <w:r w:rsidRPr="00A615D8">
        <w:rPr>
          <w:rStyle w:val="FootnoteReference"/>
          <w:rFonts w:ascii="Times New Roman" w:hAnsi="Times New Roman" w:cs="Times New Roman"/>
          <w:sz w:val="24"/>
          <w:szCs w:val="24"/>
        </w:rPr>
        <w:footnoteReference w:id="145"/>
      </w:r>
      <w:r w:rsidRPr="00A615D8">
        <w:rPr>
          <w:rFonts w:ascii="Times New Roman" w:hAnsi="Times New Roman" w:cs="Times New Roman"/>
          <w:sz w:val="24"/>
          <w:szCs w:val="24"/>
        </w:rPr>
        <w:t>. Such a methodology allows for the systematic identification of recurring semantic patterns in large-scale texts, avoiding selective or intuitive interpretation of sources. In addition, computer access provides the opportunity to reveal latent normative tensions between principles (e.g., autonomy and protection of life), which often remain fragmentary in traditional doctrinal analysis</w:t>
      </w:r>
      <w:r w:rsidRPr="00A615D8">
        <w:rPr>
          <w:rStyle w:val="FootnoteReference"/>
          <w:rFonts w:ascii="Times New Roman" w:hAnsi="Times New Roman" w:cs="Times New Roman"/>
          <w:sz w:val="24"/>
          <w:szCs w:val="24"/>
        </w:rPr>
        <w:footnoteReference w:id="146"/>
      </w:r>
      <w:r w:rsidRPr="00A615D8">
        <w:rPr>
          <w:rFonts w:ascii="Times New Roman" w:hAnsi="Times New Roman" w:cs="Times New Roman"/>
          <w:sz w:val="24"/>
          <w:szCs w:val="24"/>
        </w:rPr>
        <w:t xml:space="preserve">. Automated theme extraction allows not only to classify types of arguments, but also to assess their prevalence and interplay in different legal contexts. Critically, the choice of this method </w:t>
      </w:r>
      <w:r w:rsidRPr="00A615D8">
        <w:rPr>
          <w:rFonts w:ascii="Times New Roman" w:hAnsi="Times New Roman" w:cs="Times New Roman"/>
          <w:sz w:val="24"/>
          <w:szCs w:val="24"/>
        </w:rPr>
        <w:lastRenderedPageBreak/>
        <w:t>is also justified by the need to ensure analytical transparency and replicability in a sensitive area where interpretive bias can have significant normative consequences</w:t>
      </w:r>
      <w:r w:rsidRPr="00A615D8">
        <w:rPr>
          <w:rStyle w:val="FootnoteReference"/>
          <w:rFonts w:ascii="Times New Roman" w:hAnsi="Times New Roman" w:cs="Times New Roman"/>
          <w:sz w:val="24"/>
          <w:szCs w:val="24"/>
        </w:rPr>
        <w:footnoteReference w:id="147"/>
      </w:r>
      <w:r w:rsidRPr="00A615D8">
        <w:rPr>
          <w:rFonts w:ascii="Times New Roman" w:hAnsi="Times New Roman" w:cs="Times New Roman"/>
          <w:sz w:val="24"/>
          <w:szCs w:val="24"/>
        </w:rPr>
        <w:t>. Therefore, computer-based thematic analysis acts as an epistemological control tool, allowing conclusions to be based on an empirically structured, rather than purely theoretical, basis.</w:t>
      </w:r>
    </w:p>
    <w:p w14:paraId="0750E239" w14:textId="77777777" w:rsidR="003A21FD" w:rsidRPr="001256EA" w:rsidRDefault="003A21FD" w:rsidP="008B2004">
      <w:pPr>
        <w:spacing w:after="0" w:line="360" w:lineRule="auto"/>
        <w:ind w:firstLine="851"/>
        <w:jc w:val="both"/>
        <w:rPr>
          <w:rFonts w:ascii="Times New Roman" w:hAnsi="Times New Roman" w:cs="Times New Roman"/>
          <w:sz w:val="24"/>
          <w:szCs w:val="24"/>
        </w:rPr>
      </w:pPr>
    </w:p>
    <w:p w14:paraId="68AB317E" w14:textId="259F36A2" w:rsidR="00293B92" w:rsidRDefault="000F6281" w:rsidP="007C2C03">
      <w:pPr>
        <w:pStyle w:val="Heading3"/>
        <w:numPr>
          <w:ilvl w:val="2"/>
          <w:numId w:val="26"/>
        </w:numPr>
        <w:spacing w:before="0" w:line="360" w:lineRule="auto"/>
        <w:ind w:left="0" w:firstLine="851"/>
        <w:jc w:val="center"/>
        <w:rPr>
          <w:rFonts w:ascii="Times New Roman" w:hAnsi="Times New Roman" w:cs="Times New Roman"/>
          <w:color w:val="auto"/>
          <w:lang w:bidi="en-US"/>
        </w:rPr>
      </w:pPr>
      <w:bookmarkStart w:id="12" w:name="_Hlk217761796"/>
      <w:r w:rsidRPr="001256EA">
        <w:rPr>
          <w:rFonts w:ascii="Times New Roman" w:hAnsi="Times New Roman" w:cs="Times New Roman"/>
          <w:color w:val="auto"/>
          <w:lang w:bidi="en-US"/>
        </w:rPr>
        <w:t xml:space="preserve">Semantic topic modeling framework based on abstracts: Justification and operationalization with </w:t>
      </w:r>
      <w:proofErr w:type="spellStart"/>
      <w:r w:rsidRPr="001256EA">
        <w:rPr>
          <w:rFonts w:ascii="Times New Roman" w:hAnsi="Times New Roman" w:cs="Times New Roman"/>
          <w:color w:val="auto"/>
          <w:lang w:bidi="en-US"/>
        </w:rPr>
        <w:t>BERTopic</w:t>
      </w:r>
      <w:bookmarkEnd w:id="12"/>
      <w:proofErr w:type="spellEnd"/>
    </w:p>
    <w:p w14:paraId="4054DA3D" w14:textId="77777777" w:rsidR="00A615D8" w:rsidRPr="00A615D8" w:rsidRDefault="00A615D8" w:rsidP="00A615D8">
      <w:pPr>
        <w:rPr>
          <w:lang w:bidi="en-US"/>
        </w:rPr>
      </w:pPr>
    </w:p>
    <w:p w14:paraId="0A96AA09" w14:textId="187E0963" w:rsidR="00293B92" w:rsidRPr="001256EA" w:rsidRDefault="00293B92" w:rsidP="008B2004">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 xml:space="preserve">This section introduces the topic modeling method used to analyze legal abstracts on euthanasia. It explains the relevance of semantic modeling in legal research and justifies the choice of </w:t>
      </w:r>
      <w:proofErr w:type="spellStart"/>
      <w:r w:rsidRPr="001256EA">
        <w:rPr>
          <w:rFonts w:ascii="Times New Roman" w:hAnsi="Times New Roman" w:cs="Times New Roman"/>
          <w:sz w:val="24"/>
          <w:szCs w:val="24"/>
          <w:lang w:bidi="en-US"/>
        </w:rPr>
        <w:t>BERTopic</w:t>
      </w:r>
      <w:proofErr w:type="spellEnd"/>
      <w:r w:rsidRPr="001256EA">
        <w:rPr>
          <w:rFonts w:ascii="Times New Roman" w:hAnsi="Times New Roman" w:cs="Times New Roman"/>
          <w:sz w:val="24"/>
          <w:szCs w:val="24"/>
          <w:lang w:bidi="en-US"/>
        </w:rPr>
        <w:t xml:space="preserve"> over other techniques. The workflow of the algorithm is briefly described to clarify how the main legal themes were identified.</w:t>
      </w:r>
      <w:r w:rsidR="00AD2B9C" w:rsidRPr="001256EA">
        <w:rPr>
          <w:rFonts w:ascii="Times New Roman" w:hAnsi="Times New Roman" w:cs="Times New Roman"/>
          <w:sz w:val="24"/>
          <w:szCs w:val="24"/>
          <w:lang w:bidi="en-US"/>
        </w:rPr>
        <w:t xml:space="preserve"> </w:t>
      </w:r>
    </w:p>
    <w:p w14:paraId="65B13461" w14:textId="077BE5AB" w:rsidR="00293B92" w:rsidRPr="001256EA" w:rsidRDefault="00293B92" w:rsidP="008B2004">
      <w:pPr>
        <w:spacing w:after="0" w:line="360" w:lineRule="auto"/>
        <w:ind w:firstLine="709"/>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Topic modeling is an unsupervised machine learning technique used in natural language processing to automatically identify hidden thematic structures within a collection of textual documents</w:t>
      </w:r>
      <w:r w:rsidRPr="001256EA">
        <w:rPr>
          <w:rFonts w:ascii="Times New Roman" w:hAnsi="Times New Roman" w:cs="Times New Roman"/>
          <w:sz w:val="24"/>
          <w:szCs w:val="24"/>
          <w:vertAlign w:val="superscript"/>
          <w:lang w:bidi="en-US"/>
        </w:rPr>
        <w:footnoteReference w:id="148"/>
      </w:r>
      <w:r w:rsidRPr="001256EA">
        <w:rPr>
          <w:rFonts w:ascii="Times New Roman" w:hAnsi="Times New Roman" w:cs="Times New Roman"/>
          <w:sz w:val="24"/>
          <w:szCs w:val="24"/>
          <w:lang w:bidi="en-US"/>
        </w:rPr>
        <w:t>. It serves as a valuable tool for analyzing large corpora, allowing researchers to detect patterns and organize content without requiring manual labeling</w:t>
      </w:r>
      <w:r w:rsidRPr="001256EA">
        <w:rPr>
          <w:rFonts w:ascii="Times New Roman" w:hAnsi="Times New Roman" w:cs="Times New Roman"/>
          <w:sz w:val="24"/>
          <w:szCs w:val="24"/>
          <w:vertAlign w:val="superscript"/>
          <w:lang w:bidi="en-US"/>
        </w:rPr>
        <w:footnoteReference w:id="149"/>
      </w:r>
      <w:r w:rsidRPr="001256EA">
        <w:rPr>
          <w:rFonts w:ascii="Times New Roman" w:hAnsi="Times New Roman" w:cs="Times New Roman"/>
          <w:sz w:val="24"/>
          <w:szCs w:val="24"/>
          <w:lang w:bidi="en-US"/>
        </w:rPr>
        <w:t xml:space="preserve">. In the context of scientific research, topic modeling is particularly relevant when applied to abstracts, as these texts provide concise yet rich summaries of a study’s objectives, methods, and findings. Analyzing abstracts through topic modeling enables a clearer understanding of thematic </w:t>
      </w:r>
      <w:r w:rsidR="004C49BA" w:rsidRPr="001256EA">
        <w:rPr>
          <w:rFonts w:ascii="Times New Roman" w:hAnsi="Times New Roman" w:cs="Times New Roman"/>
          <w:sz w:val="24"/>
          <w:szCs w:val="24"/>
          <w:lang w:bidi="en-US"/>
        </w:rPr>
        <w:t>trends and</w:t>
      </w:r>
      <w:r w:rsidRPr="001256EA">
        <w:rPr>
          <w:rFonts w:ascii="Times New Roman" w:hAnsi="Times New Roman" w:cs="Times New Roman"/>
          <w:sz w:val="24"/>
          <w:szCs w:val="24"/>
          <w:lang w:bidi="en-US"/>
        </w:rPr>
        <w:t xml:space="preserve"> facilitates the classification of research domains</w:t>
      </w:r>
      <w:r w:rsidRPr="001256EA">
        <w:rPr>
          <w:rFonts w:ascii="Times New Roman" w:hAnsi="Times New Roman" w:cs="Times New Roman"/>
          <w:sz w:val="24"/>
          <w:szCs w:val="24"/>
          <w:vertAlign w:val="superscript"/>
          <w:lang w:bidi="en-US"/>
        </w:rPr>
        <w:footnoteReference w:id="150"/>
      </w:r>
      <w:r w:rsidRPr="001256EA">
        <w:rPr>
          <w:rFonts w:ascii="Times New Roman" w:hAnsi="Times New Roman" w:cs="Times New Roman"/>
          <w:sz w:val="24"/>
          <w:szCs w:val="24"/>
          <w:lang w:bidi="en-US"/>
        </w:rPr>
        <w:t>.</w:t>
      </w:r>
    </w:p>
    <w:p w14:paraId="5A334919" w14:textId="5B609743" w:rsidR="00293B92" w:rsidRPr="001256EA" w:rsidRDefault="00293B92" w:rsidP="008B2004">
      <w:pPr>
        <w:spacing w:after="0" w:line="360" w:lineRule="auto"/>
        <w:ind w:firstLine="709"/>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There are three primary families of topic modeling methods: matrix-based approaches, probability-based models, and embedding-based techniques</w:t>
      </w:r>
      <w:r w:rsidRPr="001256EA">
        <w:rPr>
          <w:rFonts w:ascii="Times New Roman" w:hAnsi="Times New Roman" w:cs="Times New Roman"/>
          <w:sz w:val="24"/>
          <w:szCs w:val="24"/>
          <w:vertAlign w:val="superscript"/>
          <w:lang w:bidi="en-US"/>
        </w:rPr>
        <w:footnoteReference w:id="151"/>
      </w:r>
      <w:r w:rsidRPr="001256EA">
        <w:rPr>
          <w:rFonts w:ascii="Times New Roman" w:hAnsi="Times New Roman" w:cs="Times New Roman"/>
          <w:sz w:val="24"/>
          <w:szCs w:val="24"/>
          <w:lang w:bidi="en-US"/>
        </w:rPr>
        <w:t xml:space="preserve">. Each of these </w:t>
      </w:r>
      <w:r w:rsidR="004C49BA" w:rsidRPr="001256EA">
        <w:rPr>
          <w:rFonts w:ascii="Times New Roman" w:hAnsi="Times New Roman" w:cs="Times New Roman"/>
          <w:sz w:val="24"/>
          <w:szCs w:val="24"/>
          <w:lang w:bidi="en-US"/>
        </w:rPr>
        <w:t>respond</w:t>
      </w:r>
      <w:r w:rsidRPr="001256EA">
        <w:rPr>
          <w:rFonts w:ascii="Times New Roman" w:hAnsi="Times New Roman" w:cs="Times New Roman"/>
          <w:sz w:val="24"/>
          <w:szCs w:val="24"/>
          <w:lang w:bidi="en-US"/>
        </w:rPr>
        <w:t xml:space="preserve"> differently to the nature and complexity of the data being analyzed.</w:t>
      </w:r>
    </w:p>
    <w:p w14:paraId="7C883871" w14:textId="77777777" w:rsidR="00293B92" w:rsidRPr="001256EA" w:rsidRDefault="00293B92" w:rsidP="008B2004">
      <w:pPr>
        <w:spacing w:after="0" w:line="360" w:lineRule="auto"/>
        <w:ind w:firstLine="709"/>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 xml:space="preserve">Matrix-based methods rely on the decomposition of term-document matrices to extract latent structures from textual data. Among them, </w:t>
      </w:r>
      <w:bookmarkStart w:id="13" w:name="_Hlk207568538"/>
      <w:r w:rsidRPr="001256EA">
        <w:rPr>
          <w:rFonts w:ascii="Times New Roman" w:hAnsi="Times New Roman" w:cs="Times New Roman"/>
          <w:sz w:val="24"/>
          <w:szCs w:val="24"/>
          <w:lang w:bidi="en-US"/>
        </w:rPr>
        <w:t xml:space="preserve">Latent Semantic Analysis (LSA) </w:t>
      </w:r>
      <w:bookmarkEnd w:id="13"/>
      <w:r w:rsidRPr="001256EA">
        <w:rPr>
          <w:rFonts w:ascii="Times New Roman" w:hAnsi="Times New Roman" w:cs="Times New Roman"/>
          <w:sz w:val="24"/>
          <w:szCs w:val="24"/>
          <w:lang w:bidi="en-US"/>
        </w:rPr>
        <w:t xml:space="preserve">and </w:t>
      </w:r>
      <w:bookmarkStart w:id="14" w:name="_Hlk207568550"/>
      <w:r w:rsidRPr="001256EA">
        <w:rPr>
          <w:rFonts w:ascii="Times New Roman" w:hAnsi="Times New Roman" w:cs="Times New Roman"/>
          <w:sz w:val="24"/>
          <w:szCs w:val="24"/>
          <w:lang w:bidi="en-US"/>
        </w:rPr>
        <w:t>Non-</w:t>
      </w:r>
      <w:r w:rsidRPr="001256EA">
        <w:rPr>
          <w:rFonts w:ascii="Times New Roman" w:hAnsi="Times New Roman" w:cs="Times New Roman"/>
          <w:sz w:val="24"/>
          <w:szCs w:val="24"/>
          <w:lang w:bidi="en-US"/>
        </w:rPr>
        <w:lastRenderedPageBreak/>
        <w:t xml:space="preserve">negative Matrix Factorization (NMF) </w:t>
      </w:r>
      <w:bookmarkEnd w:id="14"/>
      <w:r w:rsidRPr="001256EA">
        <w:rPr>
          <w:rFonts w:ascii="Times New Roman" w:hAnsi="Times New Roman" w:cs="Times New Roman"/>
          <w:sz w:val="24"/>
          <w:szCs w:val="24"/>
          <w:lang w:bidi="en-US"/>
        </w:rPr>
        <w:t>are widely used. LSA applies Singular Value Decomposition to reduce dimensionality and uncover patterns of term usage across documents. It is particularly useful for revealing global semantic relationships but suffers from sensitivity to noise and lacks probabilistic interpretation</w:t>
      </w:r>
      <w:r w:rsidRPr="001256EA">
        <w:rPr>
          <w:rFonts w:ascii="Times New Roman" w:hAnsi="Times New Roman" w:cs="Times New Roman"/>
          <w:sz w:val="24"/>
          <w:szCs w:val="24"/>
          <w:vertAlign w:val="superscript"/>
          <w:lang w:bidi="en-US"/>
        </w:rPr>
        <w:footnoteReference w:id="152"/>
      </w:r>
      <w:r w:rsidRPr="001256EA">
        <w:rPr>
          <w:rFonts w:ascii="Times New Roman" w:hAnsi="Times New Roman" w:cs="Times New Roman"/>
          <w:sz w:val="24"/>
          <w:szCs w:val="24"/>
          <w:lang w:bidi="en-US"/>
        </w:rPr>
        <w:t>. NMF, on the other hand, constrains the factorized matrices to contain only non-negative values, which often leads to more interpretable topics. However, its effectiveness is reduced in corpora with limited term overlap or high synonymy</w:t>
      </w:r>
      <w:r w:rsidRPr="001256EA">
        <w:rPr>
          <w:rFonts w:ascii="Times New Roman" w:hAnsi="Times New Roman" w:cs="Times New Roman"/>
          <w:sz w:val="24"/>
          <w:szCs w:val="24"/>
          <w:vertAlign w:val="superscript"/>
          <w:lang w:bidi="en-US"/>
        </w:rPr>
        <w:footnoteReference w:id="153"/>
      </w:r>
      <w:r w:rsidRPr="001256EA">
        <w:rPr>
          <w:rFonts w:ascii="Times New Roman" w:hAnsi="Times New Roman" w:cs="Times New Roman"/>
          <w:sz w:val="24"/>
          <w:szCs w:val="24"/>
          <w:lang w:bidi="en-US"/>
        </w:rPr>
        <w:t>. Both methods perform well when combined with term weighting schemes like TF-IDF, which helps emphasize informative terms. Yet, they are generally less suitable for unstructured or semantically dense texts, where co-occurrence patterns are less clear, leading to ambiguous or overlapping topic clusters</w:t>
      </w:r>
      <w:r w:rsidRPr="001256EA">
        <w:rPr>
          <w:rFonts w:ascii="Times New Roman" w:hAnsi="Times New Roman" w:cs="Times New Roman"/>
          <w:sz w:val="24"/>
          <w:szCs w:val="24"/>
          <w:vertAlign w:val="superscript"/>
          <w:lang w:bidi="en-US"/>
        </w:rPr>
        <w:footnoteReference w:id="154"/>
      </w:r>
      <w:r w:rsidRPr="001256EA">
        <w:rPr>
          <w:rFonts w:ascii="Times New Roman" w:hAnsi="Times New Roman" w:cs="Times New Roman"/>
          <w:sz w:val="24"/>
          <w:szCs w:val="24"/>
          <w:lang w:bidi="en-US"/>
        </w:rPr>
        <w:t>.</w:t>
      </w:r>
    </w:p>
    <w:p w14:paraId="10EA4AA1" w14:textId="0E0C44B5" w:rsidR="00293B92" w:rsidRPr="001256EA" w:rsidRDefault="00293B92" w:rsidP="008B2004">
      <w:pPr>
        <w:spacing w:after="0" w:line="360" w:lineRule="auto"/>
        <w:ind w:firstLine="709"/>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 xml:space="preserve">Probability-based models, most notably </w:t>
      </w:r>
      <w:bookmarkStart w:id="15" w:name="_Hlk207568571"/>
      <w:r w:rsidRPr="001256EA">
        <w:rPr>
          <w:rFonts w:ascii="Times New Roman" w:hAnsi="Times New Roman" w:cs="Times New Roman"/>
          <w:sz w:val="24"/>
          <w:szCs w:val="24"/>
          <w:lang w:bidi="en-US"/>
        </w:rPr>
        <w:t>Latent Dirichlet Allocation (LDA)</w:t>
      </w:r>
      <w:bookmarkEnd w:id="15"/>
      <w:r w:rsidRPr="001256EA">
        <w:rPr>
          <w:rFonts w:ascii="Times New Roman" w:hAnsi="Times New Roman" w:cs="Times New Roman"/>
          <w:sz w:val="24"/>
          <w:szCs w:val="24"/>
          <w:lang w:bidi="en-US"/>
        </w:rPr>
        <w:t xml:space="preserve">, frame topic modeling as a generative process in which documents are represented as mixtures of latent topics, each defined by a distribution over words. LDA has become </w:t>
      </w:r>
      <w:r w:rsidR="003849BB" w:rsidRPr="001256EA">
        <w:rPr>
          <w:rFonts w:ascii="Times New Roman" w:hAnsi="Times New Roman" w:cs="Times New Roman"/>
          <w:sz w:val="24"/>
          <w:szCs w:val="24"/>
          <w:lang w:bidi="en-US"/>
        </w:rPr>
        <w:t>standard</w:t>
      </w:r>
      <w:r w:rsidRPr="001256EA">
        <w:rPr>
          <w:rFonts w:ascii="Times New Roman" w:hAnsi="Times New Roman" w:cs="Times New Roman"/>
          <w:sz w:val="24"/>
          <w:szCs w:val="24"/>
          <w:lang w:bidi="en-US"/>
        </w:rPr>
        <w:t xml:space="preserve"> in topic modeling due to its solid theoretical foundations and adaptability to various domains. Nonetheless, its performance declines on short texts, where sparse word co-occurrence hinders the discovery of coherent topics</w:t>
      </w:r>
      <w:r w:rsidRPr="001256EA">
        <w:rPr>
          <w:rFonts w:ascii="Times New Roman" w:hAnsi="Times New Roman" w:cs="Times New Roman"/>
          <w:sz w:val="24"/>
          <w:szCs w:val="24"/>
          <w:vertAlign w:val="superscript"/>
          <w:lang w:bidi="en-US"/>
        </w:rPr>
        <w:footnoteReference w:id="155"/>
      </w:r>
      <w:r w:rsidRPr="001256EA">
        <w:rPr>
          <w:rFonts w:ascii="Times New Roman" w:hAnsi="Times New Roman" w:cs="Times New Roman"/>
          <w:sz w:val="24"/>
          <w:szCs w:val="24"/>
          <w:lang w:bidi="en-US"/>
        </w:rPr>
        <w:t xml:space="preserve">. Other variants such as </w:t>
      </w:r>
      <w:bookmarkStart w:id="16" w:name="_Hlk207568582"/>
      <w:r w:rsidRPr="001256EA">
        <w:rPr>
          <w:rFonts w:ascii="Times New Roman" w:hAnsi="Times New Roman" w:cs="Times New Roman"/>
          <w:sz w:val="24"/>
          <w:szCs w:val="24"/>
          <w:lang w:bidi="en-US"/>
        </w:rPr>
        <w:t xml:space="preserve">Hierarchical Dirichlet Process (HDP) </w:t>
      </w:r>
      <w:bookmarkEnd w:id="16"/>
      <w:r w:rsidRPr="001256EA">
        <w:rPr>
          <w:rFonts w:ascii="Times New Roman" w:hAnsi="Times New Roman" w:cs="Times New Roman"/>
          <w:sz w:val="24"/>
          <w:szCs w:val="24"/>
          <w:lang w:bidi="en-US"/>
        </w:rPr>
        <w:t>aim to alleviate the limitation of fixed topic numbers by allowing the model to infer the optimal number of topics automatically. Despite this, HDP often suffers from scalability issues and increased computational cost</w:t>
      </w:r>
      <w:r w:rsidRPr="001256EA">
        <w:rPr>
          <w:rFonts w:ascii="Times New Roman" w:hAnsi="Times New Roman" w:cs="Times New Roman"/>
          <w:sz w:val="24"/>
          <w:szCs w:val="24"/>
          <w:vertAlign w:val="superscript"/>
          <w:lang w:bidi="en-US"/>
        </w:rPr>
        <w:footnoteReference w:id="156"/>
      </w:r>
      <w:r w:rsidRPr="001256EA">
        <w:rPr>
          <w:rFonts w:ascii="Times New Roman" w:hAnsi="Times New Roman" w:cs="Times New Roman"/>
          <w:sz w:val="24"/>
          <w:szCs w:val="24"/>
          <w:lang w:bidi="en-US"/>
        </w:rPr>
        <w:t xml:space="preserve">. Additionally, </w:t>
      </w:r>
      <w:bookmarkStart w:id="17" w:name="_Hlk207568592"/>
      <w:r w:rsidRPr="001256EA">
        <w:rPr>
          <w:rFonts w:ascii="Times New Roman" w:hAnsi="Times New Roman" w:cs="Times New Roman"/>
          <w:sz w:val="24"/>
          <w:szCs w:val="24"/>
          <w:lang w:bidi="en-US"/>
        </w:rPr>
        <w:t xml:space="preserve">Correlated Topic Models (CTM) </w:t>
      </w:r>
      <w:bookmarkEnd w:id="17"/>
      <w:r w:rsidRPr="001256EA">
        <w:rPr>
          <w:rFonts w:ascii="Times New Roman" w:hAnsi="Times New Roman" w:cs="Times New Roman"/>
          <w:sz w:val="24"/>
          <w:szCs w:val="24"/>
          <w:lang w:bidi="en-US"/>
        </w:rPr>
        <w:t>were proposed to account for topic correlations, addressing one of LDA’s limitations. Yet, CTM increases model complexity and interpretability challenges without always yielding significantly better results on noisy or short-text datasets</w:t>
      </w:r>
      <w:r w:rsidRPr="001256EA">
        <w:rPr>
          <w:rFonts w:ascii="Times New Roman" w:hAnsi="Times New Roman" w:cs="Times New Roman"/>
          <w:sz w:val="24"/>
          <w:szCs w:val="24"/>
          <w:vertAlign w:val="superscript"/>
          <w:lang w:bidi="en-US"/>
        </w:rPr>
        <w:footnoteReference w:id="157"/>
      </w:r>
      <w:r w:rsidRPr="001256EA">
        <w:rPr>
          <w:rFonts w:ascii="Times New Roman" w:hAnsi="Times New Roman" w:cs="Times New Roman"/>
          <w:sz w:val="24"/>
          <w:szCs w:val="24"/>
          <w:lang w:bidi="en-US"/>
        </w:rPr>
        <w:t>.</w:t>
      </w:r>
    </w:p>
    <w:p w14:paraId="073DB478" w14:textId="10460A2C" w:rsidR="00293B92" w:rsidRPr="001256EA" w:rsidRDefault="00293B92" w:rsidP="008B2004">
      <w:pPr>
        <w:spacing w:after="0" w:line="360" w:lineRule="auto"/>
        <w:ind w:firstLine="709"/>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 xml:space="preserve">For this study, </w:t>
      </w:r>
      <w:bookmarkStart w:id="18" w:name="_Hlk207568691"/>
      <w:r w:rsidR="002F1CA5" w:rsidRPr="001256EA">
        <w:rPr>
          <w:rFonts w:ascii="Times New Roman" w:hAnsi="Times New Roman" w:cs="Times New Roman"/>
          <w:sz w:val="24"/>
          <w:szCs w:val="24"/>
          <w:lang w:bidi="en-US"/>
        </w:rPr>
        <w:t>Bidirectional Encoder Representations from Transformers for Topic Modeling (</w:t>
      </w:r>
      <w:proofErr w:type="spellStart"/>
      <w:r w:rsidR="002F1CA5" w:rsidRPr="001256EA">
        <w:rPr>
          <w:rFonts w:ascii="Times New Roman" w:hAnsi="Times New Roman" w:cs="Times New Roman"/>
          <w:sz w:val="24"/>
          <w:szCs w:val="24"/>
          <w:lang w:bidi="en-US"/>
        </w:rPr>
        <w:t>BERTopic</w:t>
      </w:r>
      <w:proofErr w:type="spellEnd"/>
      <w:r w:rsidR="002F1CA5" w:rsidRPr="001256EA">
        <w:rPr>
          <w:rFonts w:ascii="Times New Roman" w:hAnsi="Times New Roman" w:cs="Times New Roman"/>
          <w:sz w:val="24"/>
          <w:szCs w:val="24"/>
          <w:lang w:bidi="en-US"/>
        </w:rPr>
        <w:t>)</w:t>
      </w:r>
      <w:bookmarkEnd w:id="18"/>
      <w:r w:rsidRPr="001256EA">
        <w:rPr>
          <w:rFonts w:ascii="Times New Roman" w:hAnsi="Times New Roman" w:cs="Times New Roman"/>
          <w:sz w:val="24"/>
          <w:szCs w:val="24"/>
          <w:lang w:bidi="en-US"/>
        </w:rPr>
        <w:t xml:space="preserve"> was chosen as the most appropriate technique for abstract-based </w:t>
      </w:r>
      <w:r w:rsidRPr="001256EA">
        <w:rPr>
          <w:rFonts w:ascii="Times New Roman" w:hAnsi="Times New Roman" w:cs="Times New Roman"/>
          <w:sz w:val="24"/>
          <w:szCs w:val="24"/>
          <w:lang w:bidi="en-US"/>
        </w:rPr>
        <w:lastRenderedPageBreak/>
        <w:t>semantic text mining</w:t>
      </w:r>
      <w:r w:rsidRPr="001256EA">
        <w:rPr>
          <w:rFonts w:ascii="Times New Roman" w:hAnsi="Times New Roman" w:cs="Times New Roman"/>
          <w:sz w:val="24"/>
          <w:szCs w:val="24"/>
          <w:vertAlign w:val="superscript"/>
          <w:lang w:bidi="en-US"/>
        </w:rPr>
        <w:footnoteReference w:id="158"/>
      </w:r>
      <w:r w:rsidRPr="001256EA">
        <w:rPr>
          <w:rFonts w:ascii="Times New Roman" w:hAnsi="Times New Roman" w:cs="Times New Roman"/>
          <w:sz w:val="24"/>
          <w:szCs w:val="24"/>
          <w:lang w:bidi="en-US"/>
        </w:rPr>
        <w:t>. Its ability to extract contextually rich and thematically coherent topics from short texts aligns well with the goals of this research</w:t>
      </w:r>
      <w:r w:rsidRPr="001256EA">
        <w:rPr>
          <w:rFonts w:ascii="Times New Roman" w:hAnsi="Times New Roman" w:cs="Times New Roman"/>
          <w:sz w:val="24"/>
          <w:szCs w:val="24"/>
          <w:vertAlign w:val="superscript"/>
          <w:lang w:bidi="en-US"/>
        </w:rPr>
        <w:footnoteReference w:id="159"/>
      </w:r>
      <w:r w:rsidRPr="001256EA">
        <w:rPr>
          <w:rFonts w:ascii="Times New Roman" w:hAnsi="Times New Roman" w:cs="Times New Roman"/>
          <w:sz w:val="24"/>
          <w:szCs w:val="24"/>
          <w:lang w:bidi="en-US"/>
        </w:rPr>
        <w:t xml:space="preserve">. The sequential process followed by the algorithm is summarized in </w:t>
      </w:r>
      <w:r w:rsidR="004C49BA" w:rsidRPr="001256EA">
        <w:rPr>
          <w:rFonts w:ascii="Times New Roman" w:hAnsi="Times New Roman" w:cs="Times New Roman"/>
          <w:sz w:val="24"/>
          <w:szCs w:val="24"/>
          <w:lang w:bidi="en-US"/>
        </w:rPr>
        <w:t>Table</w:t>
      </w:r>
      <w:r w:rsidRPr="001256EA">
        <w:rPr>
          <w:rFonts w:ascii="Times New Roman" w:hAnsi="Times New Roman" w:cs="Times New Roman"/>
          <w:b/>
          <w:bCs/>
          <w:sz w:val="24"/>
          <w:szCs w:val="24"/>
          <w:lang w:bidi="en-US"/>
        </w:rPr>
        <w:t xml:space="preserve"> </w:t>
      </w:r>
      <w:r w:rsidRPr="001256EA">
        <w:rPr>
          <w:rFonts w:ascii="Times New Roman" w:hAnsi="Times New Roman" w:cs="Times New Roman"/>
          <w:sz w:val="24"/>
          <w:szCs w:val="24"/>
          <w:lang w:bidi="en-US"/>
        </w:rPr>
        <w:t>1 below, illustrating how each step contributes to the discovery and interpretation of latent themes within abstracts.</w:t>
      </w:r>
    </w:p>
    <w:p w14:paraId="654118FD" w14:textId="6F488813" w:rsidR="00293B92" w:rsidRPr="001256EA" w:rsidRDefault="00293B92" w:rsidP="003849BB">
      <w:pPr>
        <w:spacing w:line="360" w:lineRule="auto"/>
        <w:jc w:val="both"/>
        <w:rPr>
          <w:rFonts w:ascii="Times New Roman" w:hAnsi="Times New Roman" w:cs="Times New Roman"/>
          <w:b/>
          <w:bCs/>
          <w:sz w:val="24"/>
          <w:szCs w:val="24"/>
          <w:lang w:bidi="en-US"/>
        </w:rPr>
      </w:pPr>
      <w:r w:rsidRPr="001256EA">
        <w:rPr>
          <w:rFonts w:ascii="Times New Roman" w:hAnsi="Times New Roman" w:cs="Times New Roman"/>
          <w:b/>
          <w:bCs/>
          <w:sz w:val="24"/>
          <w:szCs w:val="24"/>
          <w:lang w:bidi="en-US"/>
        </w:rPr>
        <w:t>Table 1.</w:t>
      </w:r>
      <w:r w:rsidRPr="001256EA">
        <w:rPr>
          <w:rFonts w:ascii="Times New Roman" w:hAnsi="Times New Roman" w:cs="Times New Roman"/>
          <w:sz w:val="24"/>
          <w:szCs w:val="24"/>
          <w:lang w:bidi="en-US"/>
        </w:rPr>
        <w:t xml:space="preserve"> Operational workflow of </w:t>
      </w:r>
      <w:proofErr w:type="spellStart"/>
      <w:r w:rsidRPr="001256EA">
        <w:rPr>
          <w:rFonts w:ascii="Times New Roman" w:hAnsi="Times New Roman" w:cs="Times New Roman"/>
          <w:sz w:val="24"/>
          <w:szCs w:val="24"/>
          <w:lang w:bidi="en-US"/>
        </w:rPr>
        <w:t>BERTopic</w:t>
      </w:r>
      <w:proofErr w:type="spellEnd"/>
      <w:r w:rsidR="009E2585" w:rsidRPr="001256EA">
        <w:rPr>
          <w:rFonts w:ascii="Times New Roman" w:hAnsi="Times New Roman" w:cs="Times New Roman"/>
          <w:sz w:val="24"/>
          <w:szCs w:val="24"/>
          <w:lang w:bidi="en-US"/>
        </w:rPr>
        <w:t xml:space="preserve"> </w:t>
      </w:r>
      <w:r w:rsidR="00F15514" w:rsidRPr="001256EA">
        <w:rPr>
          <w:rFonts w:ascii="Times New Roman" w:eastAsia="Calibri" w:hAnsi="Times New Roman" w:cs="Times New Roman"/>
          <w:sz w:val="24"/>
          <w:szCs w:val="24"/>
        </w:rPr>
        <w:t>(compiled by the author b</w:t>
      </w:r>
      <w:r w:rsidR="00F15514" w:rsidRPr="001256EA">
        <w:rPr>
          <w:rFonts w:ascii="Times New Roman" w:hAnsi="Times New Roman" w:cs="Times New Roman"/>
          <w:sz w:val="24"/>
          <w:szCs w:val="24"/>
        </w:rPr>
        <w:t>ased on the research’s results).</w:t>
      </w:r>
    </w:p>
    <w:tbl>
      <w:tblPr>
        <w:tblStyle w:val="PlainTable2"/>
        <w:tblpPr w:leftFromText="141" w:rightFromText="141" w:vertAnchor="text" w:horzAnchor="margin" w:tblpY="-89"/>
        <w:tblW w:w="0" w:type="auto"/>
        <w:tblLayout w:type="fixed"/>
        <w:tblLook w:val="04A0" w:firstRow="1" w:lastRow="0" w:firstColumn="1" w:lastColumn="0" w:noHBand="0" w:noVBand="1"/>
      </w:tblPr>
      <w:tblGrid>
        <w:gridCol w:w="1776"/>
        <w:gridCol w:w="3650"/>
        <w:gridCol w:w="3646"/>
      </w:tblGrid>
      <w:tr w:rsidR="00293B92" w:rsidRPr="001256EA" w14:paraId="2003949F"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14:paraId="0D6880FF"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Steps</w:t>
            </w:r>
          </w:p>
        </w:tc>
        <w:tc>
          <w:tcPr>
            <w:tcW w:w="3650" w:type="dxa"/>
            <w:vAlign w:val="center"/>
          </w:tcPr>
          <w:p w14:paraId="7D297D5E" w14:textId="77777777" w:rsidR="00293B92" w:rsidRPr="001256EA" w:rsidRDefault="00293B92" w:rsidP="00293B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Description</w:t>
            </w:r>
          </w:p>
        </w:tc>
        <w:tc>
          <w:tcPr>
            <w:tcW w:w="3646" w:type="dxa"/>
            <w:vAlign w:val="center"/>
          </w:tcPr>
          <w:p w14:paraId="3BBB6AF9" w14:textId="77777777" w:rsidR="00293B92" w:rsidRPr="001256EA" w:rsidRDefault="00293B92" w:rsidP="00293B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Relevance to abstract-based semantic text mining</w:t>
            </w:r>
          </w:p>
        </w:tc>
      </w:tr>
      <w:tr w:rsidR="00293B92" w:rsidRPr="001256EA" w14:paraId="5E9CB424"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14:paraId="44695A26"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 xml:space="preserve">Text Embedding </w:t>
            </w:r>
          </w:p>
        </w:tc>
        <w:tc>
          <w:tcPr>
            <w:tcW w:w="3650" w:type="dxa"/>
          </w:tcPr>
          <w:p w14:paraId="18B43B19"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Transforms each abstract into a numerical representation that captures the deep meaning and context of the text.</w:t>
            </w:r>
          </w:p>
        </w:tc>
        <w:tc>
          <w:tcPr>
            <w:tcW w:w="3646" w:type="dxa"/>
            <w:vAlign w:val="center"/>
          </w:tcPr>
          <w:p w14:paraId="554BF902"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Allows the algorithm to understand the semantic structure and nuances of each abstract.</w:t>
            </w:r>
          </w:p>
        </w:tc>
      </w:tr>
      <w:tr w:rsidR="00293B92" w:rsidRPr="001256EA" w14:paraId="317A981C" w14:textId="77777777" w:rsidTr="00DC2577">
        <w:tc>
          <w:tcPr>
            <w:cnfStyle w:val="001000000000" w:firstRow="0" w:lastRow="0" w:firstColumn="1" w:lastColumn="0" w:oddVBand="0" w:evenVBand="0" w:oddHBand="0" w:evenHBand="0" w:firstRowFirstColumn="0" w:firstRowLastColumn="0" w:lastRowFirstColumn="0" w:lastRowLastColumn="0"/>
            <w:tcW w:w="1776" w:type="dxa"/>
            <w:vAlign w:val="center"/>
          </w:tcPr>
          <w:p w14:paraId="3CB7B0EE"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 xml:space="preserve">Dimensionality Reduction </w:t>
            </w:r>
          </w:p>
        </w:tc>
        <w:tc>
          <w:tcPr>
            <w:tcW w:w="3650" w:type="dxa"/>
          </w:tcPr>
          <w:p w14:paraId="6E0B6ADB" w14:textId="77777777" w:rsidR="00293B92" w:rsidRPr="001256EA" w:rsidRDefault="00293B92" w:rsidP="00293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Compresses these high-dimensional representations into a lower-dimensional space while keeping key semantic relationships intact.</w:t>
            </w:r>
          </w:p>
        </w:tc>
        <w:tc>
          <w:tcPr>
            <w:tcW w:w="3646" w:type="dxa"/>
            <w:vAlign w:val="center"/>
          </w:tcPr>
          <w:p w14:paraId="470F4FF0" w14:textId="77777777" w:rsidR="00293B92" w:rsidRPr="001256EA" w:rsidRDefault="00293B92" w:rsidP="00293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Facilitates efficient clustering of similar abstracts without losing important contextual information.</w:t>
            </w:r>
          </w:p>
        </w:tc>
      </w:tr>
      <w:tr w:rsidR="00293B92" w:rsidRPr="001256EA" w14:paraId="6D3A604D"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14:paraId="472A2F8E"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 xml:space="preserve">Clustering </w:t>
            </w:r>
          </w:p>
        </w:tc>
        <w:tc>
          <w:tcPr>
            <w:tcW w:w="3650" w:type="dxa"/>
          </w:tcPr>
          <w:p w14:paraId="386F3C12"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Groups abstracts based on the similarity of their reduced semantic representations, identifying dense thematic areas.</w:t>
            </w:r>
          </w:p>
        </w:tc>
        <w:tc>
          <w:tcPr>
            <w:tcW w:w="3646" w:type="dxa"/>
            <w:vAlign w:val="center"/>
          </w:tcPr>
          <w:p w14:paraId="1E603E15"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Helps uncover latent topic structures across a large collection of abstracts.</w:t>
            </w:r>
          </w:p>
        </w:tc>
      </w:tr>
      <w:tr w:rsidR="00293B92" w:rsidRPr="001256EA" w14:paraId="08BCFA4D" w14:textId="77777777" w:rsidTr="00DC2577">
        <w:tc>
          <w:tcPr>
            <w:cnfStyle w:val="001000000000" w:firstRow="0" w:lastRow="0" w:firstColumn="1" w:lastColumn="0" w:oddVBand="0" w:evenVBand="0" w:oddHBand="0" w:evenHBand="0" w:firstRowFirstColumn="0" w:firstRowLastColumn="0" w:lastRowFirstColumn="0" w:lastRowLastColumn="0"/>
            <w:tcW w:w="1776" w:type="dxa"/>
            <w:vAlign w:val="center"/>
          </w:tcPr>
          <w:p w14:paraId="738D5E69"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Word Frequency Analysis</w:t>
            </w:r>
          </w:p>
        </w:tc>
        <w:tc>
          <w:tcPr>
            <w:tcW w:w="3650" w:type="dxa"/>
          </w:tcPr>
          <w:p w14:paraId="116BC67A" w14:textId="6AEE9458" w:rsidR="00293B92" w:rsidRPr="001256EA" w:rsidRDefault="00293B92" w:rsidP="00293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 xml:space="preserve">Extracts </w:t>
            </w:r>
            <w:r w:rsidR="00A57F38" w:rsidRPr="001256EA">
              <w:rPr>
                <w:rFonts w:ascii="Times New Roman" w:hAnsi="Times New Roman" w:cs="Times New Roman"/>
                <w:sz w:val="20"/>
                <w:szCs w:val="20"/>
                <w:lang w:bidi="en-US"/>
              </w:rPr>
              <w:t>are the</w:t>
            </w:r>
            <w:r w:rsidRPr="001256EA">
              <w:rPr>
                <w:rFonts w:ascii="Times New Roman" w:hAnsi="Times New Roman" w:cs="Times New Roman"/>
                <w:sz w:val="20"/>
                <w:szCs w:val="20"/>
                <w:lang w:bidi="en-US"/>
              </w:rPr>
              <w:t xml:space="preserve"> </w:t>
            </w:r>
            <w:r w:rsidR="0075135C" w:rsidRPr="001256EA">
              <w:rPr>
                <w:rFonts w:ascii="Times New Roman" w:hAnsi="Times New Roman" w:cs="Times New Roman"/>
                <w:sz w:val="20"/>
                <w:szCs w:val="20"/>
                <w:lang w:bidi="en-US"/>
              </w:rPr>
              <w:t>most used</w:t>
            </w:r>
            <w:r w:rsidRPr="001256EA">
              <w:rPr>
                <w:rFonts w:ascii="Times New Roman" w:hAnsi="Times New Roman" w:cs="Times New Roman"/>
                <w:sz w:val="20"/>
                <w:szCs w:val="20"/>
                <w:lang w:bidi="en-US"/>
              </w:rPr>
              <w:t xml:space="preserve"> terms in each cluster using word counting techniques.</w:t>
            </w:r>
          </w:p>
        </w:tc>
        <w:tc>
          <w:tcPr>
            <w:tcW w:w="3646" w:type="dxa"/>
            <w:vAlign w:val="center"/>
          </w:tcPr>
          <w:p w14:paraId="6EA9F22F" w14:textId="77777777" w:rsidR="00293B92" w:rsidRPr="001256EA" w:rsidRDefault="00293B92" w:rsidP="00293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Reveals dominant vocabulary and key expressions associated with each thematic group.</w:t>
            </w:r>
          </w:p>
        </w:tc>
      </w:tr>
      <w:tr w:rsidR="00293B92" w:rsidRPr="001256EA" w14:paraId="00591CDF"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Align w:val="center"/>
          </w:tcPr>
          <w:p w14:paraId="54DB0DF3" w14:textId="77777777" w:rsidR="00293B92" w:rsidRPr="001256EA" w:rsidRDefault="00293B92" w:rsidP="00293B92">
            <w:pPr>
              <w:jc w:val="center"/>
              <w:rPr>
                <w:rFonts w:ascii="Times New Roman" w:hAnsi="Times New Roman" w:cs="Times New Roman"/>
                <w:sz w:val="20"/>
                <w:szCs w:val="20"/>
                <w:lang w:bidi="en-US"/>
              </w:rPr>
            </w:pPr>
            <w:r w:rsidRPr="001256EA">
              <w:rPr>
                <w:rFonts w:ascii="Times New Roman" w:hAnsi="Times New Roman" w:cs="Times New Roman"/>
                <w:sz w:val="20"/>
                <w:szCs w:val="20"/>
                <w:lang w:bidi="en-US"/>
              </w:rPr>
              <w:t xml:space="preserve">Topic Representation </w:t>
            </w:r>
          </w:p>
        </w:tc>
        <w:tc>
          <w:tcPr>
            <w:tcW w:w="3650" w:type="dxa"/>
          </w:tcPr>
          <w:p w14:paraId="72B30308"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Enhances the distinctiveness of each topic by highlighting terms that are common in one group of abstracts but rare in others.</w:t>
            </w:r>
          </w:p>
        </w:tc>
        <w:tc>
          <w:tcPr>
            <w:tcW w:w="3646" w:type="dxa"/>
            <w:vAlign w:val="center"/>
          </w:tcPr>
          <w:p w14:paraId="58884F5A"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lang w:bidi="en-US"/>
              </w:rPr>
              <w:t>Supports clearer labeling and interpretation of topics for contextual writing and further analysis.</w:t>
            </w:r>
          </w:p>
        </w:tc>
      </w:tr>
    </w:tbl>
    <w:p w14:paraId="58595677" w14:textId="77777777" w:rsidR="00B1409C" w:rsidRDefault="00B1409C" w:rsidP="00CD214F">
      <w:pPr>
        <w:spacing w:after="0" w:line="360" w:lineRule="auto"/>
        <w:ind w:firstLine="851"/>
        <w:jc w:val="both"/>
        <w:rPr>
          <w:rFonts w:ascii="Times New Roman" w:hAnsi="Times New Roman" w:cs="Times New Roman"/>
        </w:rPr>
      </w:pPr>
    </w:p>
    <w:p w14:paraId="0231560E" w14:textId="58268215"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This study draws on Scopus and Web of Science as its principal data sources, both of which are internationally recognized bibliographic databases widely used in academic research. Scopus, managed by Elsevier, is notable for its broad multidisciplinary coverage, encompassing a wide array of journals across the social sciences, humanities, engineering, and health disciplines</w:t>
      </w:r>
      <w:r w:rsidRPr="001256EA">
        <w:rPr>
          <w:rFonts w:ascii="Times New Roman" w:hAnsi="Times New Roman" w:cs="Times New Roman"/>
          <w:sz w:val="24"/>
          <w:szCs w:val="24"/>
          <w:vertAlign w:val="superscript"/>
          <w:lang w:bidi="en-US"/>
        </w:rPr>
        <w:footnoteReference w:id="160"/>
      </w:r>
      <w:r w:rsidRPr="001256EA">
        <w:rPr>
          <w:rFonts w:ascii="Times New Roman" w:hAnsi="Times New Roman" w:cs="Times New Roman"/>
          <w:sz w:val="24"/>
          <w:szCs w:val="24"/>
          <w:lang w:bidi="en-US"/>
        </w:rPr>
        <w:t xml:space="preserve">. Its </w:t>
      </w:r>
      <w:r w:rsidR="00F15514" w:rsidRPr="001256EA">
        <w:rPr>
          <w:rFonts w:ascii="Times New Roman" w:hAnsi="Times New Roman" w:cs="Times New Roman"/>
          <w:sz w:val="24"/>
          <w:szCs w:val="24"/>
          <w:lang w:bidi="en-US"/>
        </w:rPr>
        <w:t>strength lies</w:t>
      </w:r>
      <w:r w:rsidRPr="001256EA">
        <w:rPr>
          <w:rFonts w:ascii="Times New Roman" w:hAnsi="Times New Roman" w:cs="Times New Roman"/>
          <w:sz w:val="24"/>
          <w:szCs w:val="24"/>
          <w:lang w:bidi="en-US"/>
        </w:rPr>
        <w:t xml:space="preserve"> in its frequent updates, high coverage of recent publications, and advanced citation tracking features, making it a valuable tool for accessing the most current and diverse research outputs</w:t>
      </w:r>
      <w:r w:rsidRPr="001256EA">
        <w:rPr>
          <w:rFonts w:ascii="Times New Roman" w:hAnsi="Times New Roman" w:cs="Times New Roman"/>
          <w:sz w:val="24"/>
          <w:szCs w:val="24"/>
          <w:vertAlign w:val="superscript"/>
          <w:lang w:bidi="en-US"/>
        </w:rPr>
        <w:footnoteReference w:id="161"/>
      </w:r>
      <w:r w:rsidRPr="001256EA">
        <w:rPr>
          <w:rFonts w:ascii="Times New Roman" w:hAnsi="Times New Roman" w:cs="Times New Roman"/>
          <w:sz w:val="24"/>
          <w:szCs w:val="24"/>
          <w:lang w:bidi="en-US"/>
        </w:rPr>
        <w:t>. These characteristics are especially pertinent in the context of economics and management, where scholarly production is both dynamic and cross-disciplinary</w:t>
      </w:r>
      <w:r w:rsidRPr="001256EA">
        <w:rPr>
          <w:rFonts w:ascii="Times New Roman" w:hAnsi="Times New Roman" w:cs="Times New Roman"/>
          <w:sz w:val="24"/>
          <w:szCs w:val="24"/>
          <w:vertAlign w:val="superscript"/>
          <w:lang w:bidi="en-US"/>
        </w:rPr>
        <w:footnoteReference w:id="162"/>
      </w:r>
      <w:r w:rsidRPr="001256EA">
        <w:rPr>
          <w:rFonts w:ascii="Times New Roman" w:hAnsi="Times New Roman" w:cs="Times New Roman"/>
          <w:sz w:val="24"/>
          <w:szCs w:val="24"/>
          <w:lang w:bidi="en-US"/>
        </w:rPr>
        <w:t xml:space="preserve">. Moreover, although legal </w:t>
      </w:r>
      <w:r w:rsidR="00ED3976" w:rsidRPr="001256EA">
        <w:rPr>
          <w:rFonts w:ascii="Times New Roman" w:hAnsi="Times New Roman" w:cs="Times New Roman"/>
          <w:sz w:val="24"/>
          <w:szCs w:val="24"/>
          <w:lang w:bidi="en-US"/>
        </w:rPr>
        <w:t>scholarships have</w:t>
      </w:r>
      <w:r w:rsidRPr="001256EA">
        <w:rPr>
          <w:rFonts w:ascii="Times New Roman" w:hAnsi="Times New Roman" w:cs="Times New Roman"/>
          <w:sz w:val="24"/>
          <w:szCs w:val="24"/>
          <w:lang w:bidi="en-US"/>
        </w:rPr>
        <w:t xml:space="preserve"> traditionally been underrepresented </w:t>
      </w:r>
      <w:r w:rsidRPr="001256EA">
        <w:rPr>
          <w:rFonts w:ascii="Times New Roman" w:hAnsi="Times New Roman" w:cs="Times New Roman"/>
          <w:sz w:val="24"/>
          <w:szCs w:val="24"/>
          <w:lang w:bidi="en-US"/>
        </w:rPr>
        <w:lastRenderedPageBreak/>
        <w:t>in some bibliometric databases, both Scopus and Web of Science have expanded their indexing of legal journals and interdisciplinary law-related publications, particularly in fields such as comparative law, international law, and socio-legal studies</w:t>
      </w:r>
      <w:r w:rsidRPr="001256EA">
        <w:rPr>
          <w:rFonts w:ascii="Times New Roman" w:hAnsi="Times New Roman" w:cs="Times New Roman"/>
          <w:sz w:val="24"/>
          <w:szCs w:val="24"/>
          <w:vertAlign w:val="superscript"/>
          <w:lang w:bidi="en-US"/>
        </w:rPr>
        <w:footnoteReference w:id="163"/>
      </w:r>
      <w:r w:rsidRPr="001256EA">
        <w:rPr>
          <w:rFonts w:ascii="Times New Roman" w:hAnsi="Times New Roman" w:cs="Times New Roman"/>
          <w:sz w:val="24"/>
          <w:szCs w:val="24"/>
          <w:lang w:bidi="en-US"/>
        </w:rPr>
        <w:t>. This makes them suitable for capturing trends and academic impact in legal research.</w:t>
      </w:r>
    </w:p>
    <w:p w14:paraId="39BF0ACA" w14:textId="77777777"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Web of Science, developed by Clarivate Analytics, complements Scopus by offering rigorous editorial curation and detailed bibliometric metadata</w:t>
      </w:r>
      <w:r w:rsidRPr="001256EA">
        <w:rPr>
          <w:rFonts w:ascii="Times New Roman" w:hAnsi="Times New Roman" w:cs="Times New Roman"/>
          <w:sz w:val="24"/>
          <w:szCs w:val="24"/>
          <w:vertAlign w:val="superscript"/>
          <w:lang w:bidi="en-US"/>
        </w:rPr>
        <w:footnoteReference w:id="164"/>
      </w:r>
      <w:r w:rsidRPr="001256EA">
        <w:rPr>
          <w:rFonts w:ascii="Times New Roman" w:hAnsi="Times New Roman" w:cs="Times New Roman"/>
          <w:sz w:val="24"/>
          <w:szCs w:val="24"/>
          <w:lang w:bidi="en-US"/>
        </w:rPr>
        <w:t>. Its emphasis on journal selectivity and citation indexing provides a high standard of quality control and allows researchers to assess academic influence and citation dynamics with precision</w:t>
      </w:r>
      <w:r w:rsidRPr="001256EA">
        <w:rPr>
          <w:rFonts w:ascii="Times New Roman" w:hAnsi="Times New Roman" w:cs="Times New Roman"/>
          <w:sz w:val="24"/>
          <w:szCs w:val="24"/>
          <w:vertAlign w:val="superscript"/>
          <w:lang w:bidi="en-US"/>
        </w:rPr>
        <w:footnoteReference w:id="165"/>
      </w:r>
      <w:r w:rsidRPr="001256EA">
        <w:rPr>
          <w:rFonts w:ascii="Times New Roman" w:hAnsi="Times New Roman" w:cs="Times New Roman"/>
          <w:sz w:val="24"/>
          <w:szCs w:val="24"/>
          <w:lang w:bidi="en-US"/>
        </w:rPr>
        <w:t>. Web of Science is particularly valued for tracking long-term scholarly impact, identifying seminal works, and uncovering emergent trends within academic disciplines</w:t>
      </w:r>
      <w:r w:rsidRPr="001256EA">
        <w:rPr>
          <w:rFonts w:ascii="Times New Roman" w:hAnsi="Times New Roman" w:cs="Times New Roman"/>
          <w:sz w:val="24"/>
          <w:szCs w:val="24"/>
          <w:vertAlign w:val="superscript"/>
          <w:lang w:bidi="en-US"/>
        </w:rPr>
        <w:footnoteReference w:id="166"/>
      </w:r>
      <w:r w:rsidRPr="001256EA">
        <w:rPr>
          <w:rFonts w:ascii="Times New Roman" w:hAnsi="Times New Roman" w:cs="Times New Roman"/>
          <w:sz w:val="24"/>
          <w:szCs w:val="24"/>
          <w:lang w:bidi="en-US"/>
        </w:rPr>
        <w:t xml:space="preserve">. These features make it a robust source for structured literature reviews and </w:t>
      </w:r>
      <w:proofErr w:type="gramStart"/>
      <w:r w:rsidRPr="001256EA">
        <w:rPr>
          <w:rFonts w:ascii="Times New Roman" w:hAnsi="Times New Roman" w:cs="Times New Roman"/>
          <w:sz w:val="24"/>
          <w:szCs w:val="24"/>
          <w:lang w:bidi="en-US"/>
        </w:rPr>
        <w:t>meta</w:t>
      </w:r>
      <w:proofErr w:type="gramEnd"/>
      <w:r w:rsidRPr="001256EA">
        <w:rPr>
          <w:rFonts w:ascii="Times New Roman" w:hAnsi="Times New Roman" w:cs="Times New Roman"/>
          <w:sz w:val="24"/>
          <w:szCs w:val="24"/>
          <w:lang w:bidi="en-US"/>
        </w:rPr>
        <w:t>-analyses in the legal sciences.</w:t>
      </w:r>
    </w:p>
    <w:p w14:paraId="710DA799" w14:textId="77777777" w:rsidR="00293B92" w:rsidRPr="001256EA" w:rsidRDefault="00293B92" w:rsidP="00CD214F">
      <w:pPr>
        <w:spacing w:after="0" w:line="360" w:lineRule="auto"/>
        <w:ind w:firstLine="851"/>
        <w:jc w:val="both"/>
        <w:rPr>
          <w:rFonts w:ascii="Times New Roman" w:hAnsi="Times New Roman" w:cs="Times New Roman"/>
          <w:lang w:bidi="en-US"/>
        </w:rPr>
      </w:pPr>
      <w:r w:rsidRPr="001256EA">
        <w:rPr>
          <w:rFonts w:ascii="Times New Roman" w:hAnsi="Times New Roman" w:cs="Times New Roman"/>
          <w:sz w:val="24"/>
          <w:szCs w:val="24"/>
          <w:lang w:bidi="en-US"/>
        </w:rPr>
        <w:t>Nevertheless, the use of Web of Science requires critical methodological awareness, particularly due to its complex internal structure. The platform includes several sub-databases, such as the Web of Science Core Collection, BIOSIS, and Emerging Sources Citation Index, among others. Importantly, institutional access to these sub-datasets varies, meaning that identical search strategies may yield different results depending on the user’s subscription profile. This inconsistency poses a significant challenge for research reproducibility, as highlighted in the empirical investigations of Liu</w:t>
      </w:r>
      <w:r w:rsidRPr="001256EA">
        <w:rPr>
          <w:rFonts w:ascii="Times New Roman" w:hAnsi="Times New Roman" w:cs="Times New Roman"/>
          <w:sz w:val="24"/>
          <w:szCs w:val="24"/>
          <w:vertAlign w:val="superscript"/>
          <w:lang w:bidi="en-US"/>
        </w:rPr>
        <w:footnoteReference w:id="167"/>
      </w:r>
      <w:r w:rsidRPr="001256EA">
        <w:rPr>
          <w:rFonts w:ascii="Times New Roman" w:hAnsi="Times New Roman" w:cs="Times New Roman"/>
          <w:iCs/>
          <w:sz w:val="24"/>
          <w:szCs w:val="24"/>
          <w:lang w:bidi="en-US"/>
        </w:rPr>
        <w:t>,</w:t>
      </w:r>
      <w:r w:rsidRPr="001256EA">
        <w:rPr>
          <w:rFonts w:ascii="Times New Roman" w:hAnsi="Times New Roman" w:cs="Times New Roman"/>
          <w:sz w:val="24"/>
          <w:szCs w:val="24"/>
          <w:lang w:bidi="en-US"/>
        </w:rPr>
        <w:t xml:space="preserve"> Liu</w:t>
      </w:r>
      <w:r w:rsidRPr="001256EA">
        <w:rPr>
          <w:rFonts w:ascii="Times New Roman" w:hAnsi="Times New Roman" w:cs="Times New Roman"/>
          <w:sz w:val="24"/>
          <w:szCs w:val="24"/>
          <w:vertAlign w:val="superscript"/>
          <w:lang w:bidi="en-US"/>
        </w:rPr>
        <w:footnoteReference w:id="168"/>
      </w:r>
      <w:r w:rsidRPr="001256EA">
        <w:rPr>
          <w:rFonts w:ascii="Times New Roman" w:hAnsi="Times New Roman" w:cs="Times New Roman"/>
          <w:iCs/>
          <w:sz w:val="24"/>
          <w:szCs w:val="24"/>
          <w:lang w:bidi="en-US"/>
        </w:rPr>
        <w:t xml:space="preserve">, </w:t>
      </w:r>
      <w:r w:rsidRPr="001256EA">
        <w:rPr>
          <w:rFonts w:ascii="Times New Roman" w:hAnsi="Times New Roman" w:cs="Times New Roman"/>
          <w:sz w:val="24"/>
          <w:szCs w:val="24"/>
          <w:lang w:bidi="en-US"/>
        </w:rPr>
        <w:t>Liu et al.</w:t>
      </w:r>
      <w:r w:rsidRPr="001256EA">
        <w:rPr>
          <w:rFonts w:ascii="Times New Roman" w:hAnsi="Times New Roman" w:cs="Times New Roman"/>
          <w:sz w:val="24"/>
          <w:szCs w:val="24"/>
          <w:vertAlign w:val="superscript"/>
          <w:lang w:bidi="en-US"/>
        </w:rPr>
        <w:footnoteReference w:id="169"/>
      </w:r>
      <w:r w:rsidRPr="001256EA">
        <w:rPr>
          <w:rFonts w:ascii="Times New Roman" w:hAnsi="Times New Roman" w:cs="Times New Roman"/>
          <w:sz w:val="24"/>
          <w:szCs w:val="24"/>
          <w:lang w:bidi="en-US"/>
        </w:rPr>
        <w:t xml:space="preserve"> </w:t>
      </w:r>
      <w:r w:rsidRPr="001256EA">
        <w:rPr>
          <w:rFonts w:ascii="Times New Roman" w:hAnsi="Times New Roman" w:cs="Times New Roman"/>
          <w:iCs/>
          <w:sz w:val="24"/>
          <w:szCs w:val="24"/>
          <w:lang w:bidi="en-US"/>
        </w:rPr>
        <w:t xml:space="preserve"> and </w:t>
      </w:r>
      <w:r w:rsidRPr="001256EA">
        <w:rPr>
          <w:rFonts w:ascii="Times New Roman" w:hAnsi="Times New Roman" w:cs="Times New Roman"/>
          <w:sz w:val="24"/>
          <w:szCs w:val="24"/>
          <w:lang w:bidi="en-US"/>
        </w:rPr>
        <w:t>Li &amp; Liu</w:t>
      </w:r>
      <w:r w:rsidRPr="001256EA">
        <w:rPr>
          <w:rFonts w:ascii="Times New Roman" w:hAnsi="Times New Roman" w:cs="Times New Roman"/>
          <w:sz w:val="24"/>
          <w:szCs w:val="24"/>
          <w:vertAlign w:val="superscript"/>
          <w:lang w:bidi="en-US"/>
        </w:rPr>
        <w:footnoteReference w:id="170"/>
      </w:r>
      <w:r w:rsidRPr="001256EA">
        <w:rPr>
          <w:rFonts w:ascii="Times New Roman" w:hAnsi="Times New Roman" w:cs="Times New Roman"/>
          <w:sz w:val="24"/>
          <w:szCs w:val="24"/>
          <w:lang w:bidi="en-US"/>
        </w:rPr>
        <w:t xml:space="preserve">, who </w:t>
      </w:r>
      <w:r w:rsidRPr="001256EA">
        <w:rPr>
          <w:rFonts w:ascii="Times New Roman" w:hAnsi="Times New Roman" w:cs="Times New Roman"/>
          <w:sz w:val="24"/>
          <w:szCs w:val="24"/>
          <w:lang w:bidi="en-US"/>
        </w:rPr>
        <w:lastRenderedPageBreak/>
        <w:t xml:space="preserve">document the implications of differential access for data comparability and transparency in literature review studies.  </w:t>
      </w:r>
    </w:p>
    <w:p w14:paraId="33E37C9D" w14:textId="01B00AF1"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In addition, the bias toward publications from English-language journals may lead to the underrepresentation of non-English legal research, which should be acknowledged as a stru</w:t>
      </w:r>
      <w:r w:rsidR="00600701" w:rsidRPr="001256EA">
        <w:rPr>
          <w:rFonts w:ascii="Times New Roman" w:hAnsi="Times New Roman" w:cs="Times New Roman"/>
          <w:sz w:val="24"/>
          <w:szCs w:val="24"/>
          <w:lang w:bidi="en-US"/>
        </w:rPr>
        <w:t>ctural</w:t>
      </w:r>
      <w:r w:rsidR="00600701" w:rsidRPr="00600701">
        <w:rPr>
          <w:rFonts w:ascii="Times New Roman" w:hAnsi="Times New Roman" w:cs="Times New Roman"/>
          <w:sz w:val="24"/>
          <w:szCs w:val="24"/>
        </w:rPr>
        <w:t xml:space="preserve"> ECtHR</w:t>
      </w:r>
      <w:r w:rsidR="00600701" w:rsidRPr="00600701">
        <w:rPr>
          <w:rFonts w:ascii="Times New Roman" w:hAnsi="Times New Roman" w:cs="Times New Roman"/>
          <w:sz w:val="28"/>
          <w:szCs w:val="28"/>
          <w:lang w:bidi="en-US"/>
        </w:rPr>
        <w:t xml:space="preserve"> </w:t>
      </w:r>
      <w:r w:rsidRPr="001256EA">
        <w:rPr>
          <w:rFonts w:ascii="Times New Roman" w:hAnsi="Times New Roman" w:cs="Times New Roman"/>
          <w:sz w:val="24"/>
          <w:szCs w:val="24"/>
          <w:lang w:bidi="en-US"/>
        </w:rPr>
        <w:t>limitation of both platforms</w:t>
      </w:r>
      <w:r w:rsidRPr="001256EA">
        <w:rPr>
          <w:rFonts w:ascii="Times New Roman" w:hAnsi="Times New Roman" w:cs="Times New Roman"/>
          <w:sz w:val="24"/>
          <w:szCs w:val="24"/>
          <w:vertAlign w:val="superscript"/>
          <w:lang w:bidi="en-US"/>
        </w:rPr>
        <w:footnoteReference w:id="171"/>
      </w:r>
      <w:r w:rsidRPr="001256EA">
        <w:rPr>
          <w:rFonts w:ascii="Times New Roman" w:hAnsi="Times New Roman" w:cs="Times New Roman"/>
          <w:sz w:val="24"/>
          <w:szCs w:val="24"/>
          <w:lang w:bidi="en-US"/>
        </w:rPr>
        <w:t xml:space="preserve">. </w:t>
      </w:r>
    </w:p>
    <w:p w14:paraId="39305965" w14:textId="77777777"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Given these considerations, the combined use of Scopus and Web of Science allows this study to mitigate coverage bias and leverage the complementary strengths of both platforms. This dual-source approach enables methodological triangulation, enhancing data completeness, citation cross-verification, and the overall robustness of the literature review analysis</w:t>
      </w:r>
      <w:r w:rsidRPr="001256EA">
        <w:rPr>
          <w:rFonts w:ascii="Times New Roman" w:hAnsi="Times New Roman" w:cs="Times New Roman"/>
          <w:sz w:val="24"/>
          <w:szCs w:val="24"/>
          <w:vertAlign w:val="superscript"/>
          <w:lang w:bidi="en-US"/>
        </w:rPr>
        <w:footnoteReference w:id="172"/>
      </w:r>
      <w:r w:rsidRPr="001256EA">
        <w:rPr>
          <w:rFonts w:ascii="Times New Roman" w:hAnsi="Times New Roman" w:cs="Times New Roman"/>
          <w:sz w:val="24"/>
          <w:szCs w:val="24"/>
          <w:lang w:bidi="en-US"/>
        </w:rPr>
        <w:t>. In the specific context of legal research, it also provides a broader disciplinary reach that aligns with the increasing interdisciplinarity of law-related scholarship. Moreover, this strategy responds to current demands for open science and transparency by facilitating the replicability and generalizability of literature mapping in legal studies, despite the challenges posed by differential database access.</w:t>
      </w:r>
    </w:p>
    <w:p w14:paraId="18D7DD2E" w14:textId="4A944356"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To support a rigorous analysis of the legal discourse on euthanasia, this study implemented a structured and transparent data collection protocol. The aim was to construct a high-quality corpus of scholarly articles that reflect both the juridical framing and global evolution of euthanasia laws over the past fifteen years. The data retrieval was conducted on May 28, 2025, using targeted queries in two leading academic databases, Scopus and Web of Science, which had already been introduced and justified in the previous section.</w:t>
      </w:r>
    </w:p>
    <w:p w14:paraId="2C4CE742" w14:textId="77777777"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The first step consisted of defining database-specific search queries tailored to capture articles explicitly addressing the topic of euthanasia law. The queries were designed to focus on peer-reviewed journal articles written in English, published between 2010 and 2025, and containing the expression "Euthanasia law" in either the title, abstract, or keywords. Special attention was given to ensuring that only documents at the final publication stage were included, thus excluding preprints and in-press versions.</w:t>
      </w:r>
    </w:p>
    <w:p w14:paraId="1D5095A3" w14:textId="77777777"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The queries returned a total of 66 documents (54 from Scopus and 12 from Web of Science). After eliminating duplicates and irrelevant documents based on abstract screening, 13 articles were excluded, leading to a final dataset of 53 eligible articles.</w:t>
      </w:r>
    </w:p>
    <w:p w14:paraId="37894CB5" w14:textId="5F587CA1" w:rsidR="00293B92" w:rsidRPr="001256EA" w:rsidRDefault="00293B92" w:rsidP="00CD214F">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lastRenderedPageBreak/>
        <w:t xml:space="preserve">The structure of the search queries and the outcome of the initial document screening process are detailed in </w:t>
      </w:r>
      <w:r w:rsidR="00AD7403" w:rsidRPr="001256EA">
        <w:rPr>
          <w:rFonts w:ascii="Times New Roman" w:hAnsi="Times New Roman" w:cs="Times New Roman"/>
          <w:sz w:val="24"/>
          <w:szCs w:val="24"/>
          <w:lang w:bidi="en-US"/>
        </w:rPr>
        <w:t>Table</w:t>
      </w:r>
      <w:r w:rsidRPr="001256EA">
        <w:rPr>
          <w:rFonts w:ascii="Times New Roman" w:hAnsi="Times New Roman" w:cs="Times New Roman"/>
          <w:sz w:val="24"/>
          <w:szCs w:val="24"/>
          <w:lang w:bidi="en-US"/>
        </w:rPr>
        <w:t xml:space="preserve"> 2. </w:t>
      </w:r>
    </w:p>
    <w:p w14:paraId="295081F7" w14:textId="1141D315" w:rsidR="00293B92" w:rsidRPr="001256EA" w:rsidRDefault="00293B92" w:rsidP="003849BB">
      <w:pPr>
        <w:spacing w:line="360" w:lineRule="auto"/>
        <w:jc w:val="both"/>
        <w:rPr>
          <w:rFonts w:ascii="Times New Roman" w:hAnsi="Times New Roman" w:cs="Times New Roman"/>
          <w:sz w:val="24"/>
          <w:szCs w:val="24"/>
          <w:lang w:bidi="en-US"/>
        </w:rPr>
      </w:pPr>
      <w:r w:rsidRPr="001256EA">
        <w:rPr>
          <w:rFonts w:ascii="Times New Roman" w:hAnsi="Times New Roman" w:cs="Times New Roman"/>
          <w:b/>
          <w:bCs/>
          <w:sz w:val="24"/>
          <w:szCs w:val="24"/>
          <w:lang w:bidi="en-US"/>
        </w:rPr>
        <w:t>Table 2.</w:t>
      </w:r>
      <w:r w:rsidRPr="001256EA">
        <w:rPr>
          <w:rFonts w:ascii="Times New Roman" w:hAnsi="Times New Roman" w:cs="Times New Roman"/>
          <w:sz w:val="24"/>
          <w:szCs w:val="24"/>
          <w:lang w:bidi="en-US"/>
        </w:rPr>
        <w:t xml:space="preserve"> Search queries and document collection </w:t>
      </w:r>
      <w:r w:rsidR="00AD7403" w:rsidRPr="001256EA">
        <w:rPr>
          <w:rFonts w:ascii="Times New Roman" w:eastAsia="Calibri" w:hAnsi="Times New Roman" w:cs="Times New Roman"/>
          <w:sz w:val="24"/>
          <w:szCs w:val="24"/>
        </w:rPr>
        <w:t>(compiled by the author b</w:t>
      </w:r>
      <w:r w:rsidR="00AD7403" w:rsidRPr="001256EA">
        <w:rPr>
          <w:rFonts w:ascii="Times New Roman" w:hAnsi="Times New Roman" w:cs="Times New Roman"/>
          <w:sz w:val="24"/>
          <w:szCs w:val="24"/>
        </w:rPr>
        <w:t>ased on the research’s results)</w:t>
      </w:r>
    </w:p>
    <w:tbl>
      <w:tblPr>
        <w:tblStyle w:val="PlainTable2"/>
        <w:tblW w:w="9000" w:type="dxa"/>
        <w:tblLook w:val="04A0" w:firstRow="1" w:lastRow="0" w:firstColumn="1" w:lastColumn="0" w:noHBand="0" w:noVBand="1"/>
      </w:tblPr>
      <w:tblGrid>
        <w:gridCol w:w="1363"/>
        <w:gridCol w:w="3908"/>
        <w:gridCol w:w="3729"/>
      </w:tblGrid>
      <w:tr w:rsidR="00293B92" w:rsidRPr="001256EA" w14:paraId="3DB22D44"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10969BC7"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Processing features</w:t>
            </w:r>
          </w:p>
        </w:tc>
        <w:tc>
          <w:tcPr>
            <w:tcW w:w="3908" w:type="dxa"/>
            <w:vAlign w:val="center"/>
          </w:tcPr>
          <w:p w14:paraId="7CE2D9DC" w14:textId="77777777" w:rsidR="00293B92" w:rsidRPr="001256EA" w:rsidRDefault="00293B92" w:rsidP="00EA5C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Scopus</w:t>
            </w:r>
          </w:p>
        </w:tc>
        <w:tc>
          <w:tcPr>
            <w:tcW w:w="3729" w:type="dxa"/>
            <w:vAlign w:val="center"/>
          </w:tcPr>
          <w:p w14:paraId="25CCD272" w14:textId="77777777" w:rsidR="00293B92" w:rsidRPr="001256EA" w:rsidRDefault="00293B92" w:rsidP="00293B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Web of Science</w:t>
            </w:r>
          </w:p>
        </w:tc>
      </w:tr>
      <w:tr w:rsidR="00293B92" w:rsidRPr="001256EA" w14:paraId="6FFA78A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777F58F9"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Search query applied</w:t>
            </w:r>
          </w:p>
        </w:tc>
        <w:tc>
          <w:tcPr>
            <w:tcW w:w="3908" w:type="dxa"/>
            <w:vAlign w:val="center"/>
          </w:tcPr>
          <w:p w14:paraId="6B854F67" w14:textId="44D0DCF4" w:rsidR="00293B92" w:rsidRPr="001256EA" w:rsidRDefault="00293B92"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 xml:space="preserve">TITLE-ABS-KEY </w:t>
            </w:r>
            <w:r w:rsidR="00AD7403" w:rsidRPr="001256EA">
              <w:rPr>
                <w:rFonts w:ascii="Times New Roman" w:hAnsi="Times New Roman" w:cs="Times New Roman"/>
                <w:sz w:val="20"/>
                <w:szCs w:val="20"/>
              </w:rPr>
              <w:t>(“</w:t>
            </w:r>
            <w:r w:rsidRPr="001256EA">
              <w:rPr>
                <w:rFonts w:ascii="Times New Roman" w:hAnsi="Times New Roman" w:cs="Times New Roman"/>
                <w:sz w:val="20"/>
                <w:szCs w:val="20"/>
              </w:rPr>
              <w:t>Euthanasia law</w:t>
            </w:r>
            <w:r w:rsidR="00AD7403" w:rsidRPr="001256EA">
              <w:rPr>
                <w:rFonts w:ascii="Times New Roman" w:hAnsi="Times New Roman" w:cs="Times New Roman"/>
                <w:sz w:val="20"/>
                <w:szCs w:val="20"/>
              </w:rPr>
              <w:t>”)</w:t>
            </w:r>
            <w:r w:rsidRPr="001256EA">
              <w:rPr>
                <w:rFonts w:ascii="Times New Roman" w:hAnsi="Times New Roman" w:cs="Times New Roman"/>
                <w:sz w:val="20"/>
                <w:szCs w:val="20"/>
              </w:rPr>
              <w:t xml:space="preserve"> AND PUBYEAR &gt; 2009 AND PUBYEAR &lt; 2026 AND (LIMIT-TO (</w:t>
            </w:r>
            <w:proofErr w:type="gramStart"/>
            <w:r w:rsidRPr="001256EA">
              <w:rPr>
                <w:rFonts w:ascii="Times New Roman" w:hAnsi="Times New Roman" w:cs="Times New Roman"/>
                <w:sz w:val="20"/>
                <w:szCs w:val="20"/>
              </w:rPr>
              <w:t>DOCTYPE ,</w:t>
            </w:r>
            <w:proofErr w:type="gram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ar</w:t>
            </w:r>
            <w:proofErr w:type="spellEnd"/>
            <w:r w:rsidRPr="001256EA">
              <w:rPr>
                <w:rFonts w:ascii="Times New Roman" w:hAnsi="Times New Roman" w:cs="Times New Roman"/>
                <w:sz w:val="20"/>
                <w:szCs w:val="20"/>
              </w:rPr>
              <w:t>") AND (LIMIT-TO (</w:t>
            </w:r>
            <w:proofErr w:type="gramStart"/>
            <w:r w:rsidRPr="001256EA">
              <w:rPr>
                <w:rFonts w:ascii="Times New Roman" w:hAnsi="Times New Roman" w:cs="Times New Roman"/>
                <w:sz w:val="20"/>
                <w:szCs w:val="20"/>
              </w:rPr>
              <w:t>LANGUAGE ,</w:t>
            </w:r>
            <w:proofErr w:type="gramEnd"/>
            <w:r w:rsidRPr="001256EA">
              <w:rPr>
                <w:rFonts w:ascii="Times New Roman" w:hAnsi="Times New Roman" w:cs="Times New Roman"/>
                <w:sz w:val="20"/>
                <w:szCs w:val="20"/>
              </w:rPr>
              <w:t xml:space="preserve"> "English</w:t>
            </w:r>
            <w:proofErr w:type="gramStart"/>
            <w:r w:rsidRPr="001256EA">
              <w:rPr>
                <w:rFonts w:ascii="Times New Roman" w:hAnsi="Times New Roman" w:cs="Times New Roman"/>
                <w:sz w:val="20"/>
                <w:szCs w:val="20"/>
              </w:rPr>
              <w:t>" )</w:t>
            </w:r>
            <w:proofErr w:type="gramEnd"/>
            <w:r w:rsidRPr="001256EA">
              <w:rPr>
                <w:rFonts w:ascii="Times New Roman" w:hAnsi="Times New Roman" w:cs="Times New Roman"/>
                <w:sz w:val="20"/>
                <w:szCs w:val="20"/>
              </w:rPr>
              <w:t xml:space="preserve"> ) AND (LIMIT-TO (</w:t>
            </w:r>
            <w:proofErr w:type="gramStart"/>
            <w:r w:rsidRPr="001256EA">
              <w:rPr>
                <w:rFonts w:ascii="Times New Roman" w:hAnsi="Times New Roman" w:cs="Times New Roman"/>
                <w:sz w:val="20"/>
                <w:szCs w:val="20"/>
              </w:rPr>
              <w:t>SRCTYPE ,</w:t>
            </w:r>
            <w:proofErr w:type="gramEnd"/>
            <w:r w:rsidRPr="001256EA">
              <w:rPr>
                <w:rFonts w:ascii="Times New Roman" w:hAnsi="Times New Roman" w:cs="Times New Roman"/>
                <w:sz w:val="20"/>
                <w:szCs w:val="20"/>
              </w:rPr>
              <w:t xml:space="preserve"> "j") AND (LIMIT-TO (</w:t>
            </w:r>
            <w:proofErr w:type="gramStart"/>
            <w:r w:rsidRPr="001256EA">
              <w:rPr>
                <w:rFonts w:ascii="Times New Roman" w:hAnsi="Times New Roman" w:cs="Times New Roman"/>
                <w:sz w:val="20"/>
                <w:szCs w:val="20"/>
              </w:rPr>
              <w:t>PUBSTAGE ,</w:t>
            </w:r>
            <w:proofErr w:type="gramEnd"/>
            <w:r w:rsidRPr="001256EA">
              <w:rPr>
                <w:rFonts w:ascii="Times New Roman" w:hAnsi="Times New Roman" w:cs="Times New Roman"/>
                <w:sz w:val="20"/>
                <w:szCs w:val="20"/>
              </w:rPr>
              <w:t xml:space="preserve"> "final")</w:t>
            </w:r>
          </w:p>
        </w:tc>
        <w:tc>
          <w:tcPr>
            <w:tcW w:w="3729" w:type="dxa"/>
            <w:vAlign w:val="center"/>
          </w:tcPr>
          <w:p w14:paraId="74440180" w14:textId="77777777" w:rsidR="00293B92" w:rsidRPr="001256EA" w:rsidRDefault="00293B92" w:rsidP="00293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"Euthanasia law" (Title) or "Euthanasia law" (Author Keywords) or "Euthanasia law" (Title) and 2010 or 2011 or 2012 or 2013 or 2014 or 2015 or 2016 or 2017 or 2018 or 2019 or 2020 or 2021 or 2022 or 2023 or 2024 or 2025 (Publication Years) and English (Languages) and Article (Document Types)</w:t>
            </w:r>
          </w:p>
        </w:tc>
      </w:tr>
      <w:tr w:rsidR="00293B92" w:rsidRPr="001256EA" w14:paraId="6895B2E3" w14:textId="77777777" w:rsidTr="00DC2577">
        <w:tc>
          <w:tcPr>
            <w:cnfStyle w:val="001000000000" w:firstRow="0" w:lastRow="0" w:firstColumn="1" w:lastColumn="0" w:oddVBand="0" w:evenVBand="0" w:oddHBand="0" w:evenHBand="0" w:firstRowFirstColumn="0" w:firstRowLastColumn="0" w:lastRowFirstColumn="0" w:lastRowLastColumn="0"/>
            <w:tcW w:w="1363" w:type="dxa"/>
            <w:vAlign w:val="center"/>
          </w:tcPr>
          <w:p w14:paraId="76F42AFC"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Documents retrieved</w:t>
            </w:r>
          </w:p>
        </w:tc>
        <w:tc>
          <w:tcPr>
            <w:tcW w:w="3908" w:type="dxa"/>
            <w:vAlign w:val="center"/>
          </w:tcPr>
          <w:p w14:paraId="1021F0EC" w14:textId="77777777" w:rsidR="00293B92" w:rsidRPr="001256EA" w:rsidRDefault="00293B92"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54 articles founded</w:t>
            </w:r>
          </w:p>
        </w:tc>
        <w:tc>
          <w:tcPr>
            <w:tcW w:w="3729" w:type="dxa"/>
            <w:vAlign w:val="center"/>
          </w:tcPr>
          <w:p w14:paraId="01244C74" w14:textId="77777777" w:rsidR="00293B92" w:rsidRPr="001256EA" w:rsidRDefault="00293B92" w:rsidP="00293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12 articles founded</w:t>
            </w:r>
          </w:p>
        </w:tc>
      </w:tr>
      <w:tr w:rsidR="00293B92" w:rsidRPr="001256EA" w14:paraId="5AE04358"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51FCA9DF"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Duplicates identified</w:t>
            </w:r>
          </w:p>
        </w:tc>
        <w:tc>
          <w:tcPr>
            <w:tcW w:w="7637" w:type="dxa"/>
            <w:gridSpan w:val="2"/>
            <w:vAlign w:val="center"/>
          </w:tcPr>
          <w:p w14:paraId="650DBB88" w14:textId="77777777" w:rsidR="00293B92" w:rsidRPr="001256EA" w:rsidRDefault="00293B92"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12 duplicated entries between databases</w:t>
            </w:r>
          </w:p>
        </w:tc>
      </w:tr>
      <w:tr w:rsidR="00293B92" w:rsidRPr="001256EA" w14:paraId="54593AC2" w14:textId="77777777" w:rsidTr="00DC2577">
        <w:tc>
          <w:tcPr>
            <w:cnfStyle w:val="001000000000" w:firstRow="0" w:lastRow="0" w:firstColumn="1" w:lastColumn="0" w:oddVBand="0" w:evenVBand="0" w:oddHBand="0" w:evenHBand="0" w:firstRowFirstColumn="0" w:firstRowLastColumn="0" w:lastRowFirstColumn="0" w:lastRowLastColumn="0"/>
            <w:tcW w:w="1363" w:type="dxa"/>
            <w:vAlign w:val="center"/>
          </w:tcPr>
          <w:p w14:paraId="6884793B"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Irrelevant articles excluded</w:t>
            </w:r>
          </w:p>
        </w:tc>
        <w:tc>
          <w:tcPr>
            <w:tcW w:w="7637" w:type="dxa"/>
            <w:gridSpan w:val="2"/>
            <w:vAlign w:val="center"/>
          </w:tcPr>
          <w:p w14:paraId="3D2BCCB6" w14:textId="77777777" w:rsidR="00293B92" w:rsidRPr="001256EA" w:rsidRDefault="00293B92"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1 article excluded based on abstract-level review</w:t>
            </w:r>
          </w:p>
        </w:tc>
      </w:tr>
      <w:tr w:rsidR="00293B92" w:rsidRPr="001256EA" w14:paraId="64ECCC3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7E2FF9BE" w14:textId="77777777" w:rsidR="00293B92" w:rsidRPr="001256EA" w:rsidRDefault="00293B92" w:rsidP="00EA5C5B">
            <w:pPr>
              <w:spacing w:line="360" w:lineRule="auto"/>
              <w:jc w:val="center"/>
              <w:rPr>
                <w:rFonts w:ascii="Times New Roman" w:hAnsi="Times New Roman" w:cs="Times New Roman"/>
                <w:sz w:val="20"/>
                <w:szCs w:val="20"/>
                <w:lang w:bidi="en-US"/>
              </w:rPr>
            </w:pPr>
            <w:r w:rsidRPr="001256EA">
              <w:rPr>
                <w:rFonts w:ascii="Times New Roman" w:hAnsi="Times New Roman" w:cs="Times New Roman"/>
                <w:sz w:val="20"/>
                <w:szCs w:val="20"/>
              </w:rPr>
              <w:t>Total retained after filtering</w:t>
            </w:r>
          </w:p>
        </w:tc>
        <w:tc>
          <w:tcPr>
            <w:tcW w:w="7637" w:type="dxa"/>
            <w:gridSpan w:val="2"/>
            <w:vAlign w:val="center"/>
          </w:tcPr>
          <w:p w14:paraId="118CE2FD" w14:textId="77777777" w:rsidR="00293B92" w:rsidRPr="001256EA" w:rsidRDefault="00293B92"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en-US"/>
              </w:rPr>
            </w:pPr>
            <w:r w:rsidRPr="001256EA">
              <w:rPr>
                <w:rFonts w:ascii="Times New Roman" w:hAnsi="Times New Roman" w:cs="Times New Roman"/>
                <w:sz w:val="20"/>
                <w:szCs w:val="20"/>
              </w:rPr>
              <w:t>53 unique and relevant articles</w:t>
            </w:r>
          </w:p>
        </w:tc>
      </w:tr>
    </w:tbl>
    <w:p w14:paraId="6B633EAF" w14:textId="3F29F152" w:rsidR="00293B92" w:rsidRPr="001256EA" w:rsidRDefault="00293B92" w:rsidP="00293B92">
      <w:pPr>
        <w:tabs>
          <w:tab w:val="left" w:pos="3220"/>
        </w:tabs>
        <w:spacing w:line="360" w:lineRule="auto"/>
        <w:jc w:val="center"/>
        <w:rPr>
          <w:rFonts w:ascii="Times New Roman" w:hAnsi="Times New Roman" w:cs="Times New Roman"/>
        </w:rPr>
      </w:pPr>
    </w:p>
    <w:p w14:paraId="59689E35" w14:textId="77777777" w:rsidR="00293B92" w:rsidRPr="001256EA" w:rsidRDefault="00293B92"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This process ensured a dataset that is both quantitatively manageable and qualitatively rich, minimizing noise while maximizing thematic focus.</w:t>
      </w:r>
    </w:p>
    <w:p w14:paraId="1D8A40FB" w14:textId="77777777" w:rsidR="00293B92" w:rsidRPr="001256EA" w:rsidRDefault="00293B92" w:rsidP="00CD214F">
      <w:pPr>
        <w:tabs>
          <w:tab w:val="left" w:pos="3220"/>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To ensure methodological rigor, the filtering stage was governed by clearly defined inclusion and exclusion criteria. These criteria reflect the study’s objective to analyze empirical and critical legal scholarship that engages with euthanasia law from a juridical, normative, and comparative perspective. Articles had to be grounded in the field of legal studies, reference euthanasia law explicitly, and be published in recognized academic journals.</w:t>
      </w:r>
    </w:p>
    <w:p w14:paraId="5BEB9BF9" w14:textId="77777777" w:rsidR="00293B92" w:rsidRPr="001256EA" w:rsidRDefault="00293B92" w:rsidP="00CD214F">
      <w:pPr>
        <w:tabs>
          <w:tab w:val="left" w:pos="3220"/>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following table presents the full set of criteria applied during the selection process. Each criterion is linked to a justification that aligns with the research design and guarantees thematic coherence.</w:t>
      </w:r>
    </w:p>
    <w:p w14:paraId="78CB8189" w14:textId="3253E60B" w:rsidR="00293B92" w:rsidRPr="001256EA" w:rsidRDefault="00293B92" w:rsidP="003849BB">
      <w:pPr>
        <w:tabs>
          <w:tab w:val="left" w:pos="3220"/>
        </w:tabs>
        <w:spacing w:line="360" w:lineRule="auto"/>
        <w:jc w:val="both"/>
        <w:rPr>
          <w:rFonts w:ascii="Times New Roman" w:hAnsi="Times New Roman" w:cs="Times New Roman"/>
          <w:sz w:val="24"/>
          <w:szCs w:val="24"/>
        </w:rPr>
      </w:pPr>
      <w:r w:rsidRPr="001256EA">
        <w:rPr>
          <w:rFonts w:ascii="Times New Roman" w:hAnsi="Times New Roman" w:cs="Times New Roman"/>
          <w:b/>
          <w:bCs/>
          <w:sz w:val="24"/>
          <w:szCs w:val="24"/>
        </w:rPr>
        <w:t>Table 3.</w:t>
      </w:r>
      <w:r w:rsidRPr="001256EA">
        <w:rPr>
          <w:rFonts w:ascii="Times New Roman" w:hAnsi="Times New Roman" w:cs="Times New Roman"/>
          <w:sz w:val="24"/>
          <w:szCs w:val="24"/>
        </w:rPr>
        <w:t xml:space="preserve"> Inclusion and exclusion criteria for final corpus selection </w:t>
      </w:r>
      <w:r w:rsidR="00AD7403" w:rsidRPr="001256EA">
        <w:rPr>
          <w:rFonts w:ascii="Times New Roman" w:eastAsia="Calibri" w:hAnsi="Times New Roman" w:cs="Times New Roman"/>
          <w:sz w:val="24"/>
          <w:szCs w:val="24"/>
        </w:rPr>
        <w:t>(compiled by the author b</w:t>
      </w:r>
      <w:r w:rsidR="00AD7403" w:rsidRPr="001256EA">
        <w:rPr>
          <w:rFonts w:ascii="Times New Roman" w:hAnsi="Times New Roman" w:cs="Times New Roman"/>
          <w:sz w:val="24"/>
          <w:szCs w:val="24"/>
        </w:rPr>
        <w:t>ased on the research’s results)</w:t>
      </w:r>
    </w:p>
    <w:tbl>
      <w:tblPr>
        <w:tblStyle w:val="PlainTable2"/>
        <w:tblW w:w="9180" w:type="dxa"/>
        <w:tblLook w:val="04A0" w:firstRow="1" w:lastRow="0" w:firstColumn="1" w:lastColumn="0" w:noHBand="0" w:noVBand="1"/>
      </w:tblPr>
      <w:tblGrid>
        <w:gridCol w:w="1470"/>
        <w:gridCol w:w="2690"/>
        <w:gridCol w:w="2597"/>
        <w:gridCol w:w="2423"/>
      </w:tblGrid>
      <w:tr w:rsidR="00293B92" w:rsidRPr="001256EA" w14:paraId="7867D012"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32355C0E"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lastRenderedPageBreak/>
              <w:t>Criterion</w:t>
            </w:r>
          </w:p>
        </w:tc>
        <w:tc>
          <w:tcPr>
            <w:tcW w:w="2690" w:type="dxa"/>
          </w:tcPr>
          <w:p w14:paraId="44196585" w14:textId="77777777" w:rsidR="00293B92" w:rsidRPr="001256EA" w:rsidRDefault="00293B92" w:rsidP="00EA5C5B">
            <w:pPr>
              <w:tabs>
                <w:tab w:val="left" w:pos="32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Inclusion</w:t>
            </w:r>
          </w:p>
        </w:tc>
        <w:tc>
          <w:tcPr>
            <w:tcW w:w="2597" w:type="dxa"/>
          </w:tcPr>
          <w:p w14:paraId="1D587064" w14:textId="77777777" w:rsidR="00293B92" w:rsidRPr="001256EA" w:rsidRDefault="00293B92" w:rsidP="00EA5C5B">
            <w:pPr>
              <w:tabs>
                <w:tab w:val="left" w:pos="32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Exclusion</w:t>
            </w:r>
          </w:p>
        </w:tc>
        <w:tc>
          <w:tcPr>
            <w:tcW w:w="2423" w:type="dxa"/>
          </w:tcPr>
          <w:p w14:paraId="64DC7455" w14:textId="77777777" w:rsidR="00293B92" w:rsidRPr="001256EA" w:rsidRDefault="00293B92" w:rsidP="00EA5C5B">
            <w:pPr>
              <w:tabs>
                <w:tab w:val="left" w:pos="32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Justification</w:t>
            </w:r>
          </w:p>
        </w:tc>
      </w:tr>
      <w:tr w:rsidR="00293B92" w:rsidRPr="001256EA" w14:paraId="40B7BDF6"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41A631A8"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Thematic relevance</w:t>
            </w:r>
          </w:p>
        </w:tc>
        <w:tc>
          <w:tcPr>
            <w:tcW w:w="2690" w:type="dxa"/>
            <w:vAlign w:val="center"/>
          </w:tcPr>
          <w:p w14:paraId="1FCBE242"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Articles explicitly referencing "Euthanasia law" in title, abstract, or keywords</w:t>
            </w:r>
          </w:p>
        </w:tc>
        <w:tc>
          <w:tcPr>
            <w:tcW w:w="2597" w:type="dxa"/>
            <w:vAlign w:val="center"/>
          </w:tcPr>
          <w:p w14:paraId="6BB3CADA"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Articles lacking clear reference to the legal framing</w:t>
            </w:r>
          </w:p>
        </w:tc>
        <w:tc>
          <w:tcPr>
            <w:tcW w:w="2423" w:type="dxa"/>
            <w:vAlign w:val="center"/>
          </w:tcPr>
          <w:p w14:paraId="6B79F4F8"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Ensures direct alignment with the core research focus</w:t>
            </w:r>
          </w:p>
        </w:tc>
      </w:tr>
      <w:tr w:rsidR="00293B92" w:rsidRPr="001256EA" w14:paraId="26399F48" w14:textId="77777777" w:rsidTr="00DC2577">
        <w:tc>
          <w:tcPr>
            <w:cnfStyle w:val="001000000000" w:firstRow="0" w:lastRow="0" w:firstColumn="1" w:lastColumn="0" w:oddVBand="0" w:evenVBand="0" w:oddHBand="0" w:evenHBand="0" w:firstRowFirstColumn="0" w:firstRowLastColumn="0" w:lastRowFirstColumn="0" w:lastRowLastColumn="0"/>
            <w:tcW w:w="1470" w:type="dxa"/>
            <w:vAlign w:val="center"/>
          </w:tcPr>
          <w:p w14:paraId="63FF678C"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Source quality</w:t>
            </w:r>
          </w:p>
        </w:tc>
        <w:tc>
          <w:tcPr>
            <w:tcW w:w="2690" w:type="dxa"/>
            <w:vAlign w:val="center"/>
          </w:tcPr>
          <w:p w14:paraId="58345640"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Indexed in Scopus or Web of Science</w:t>
            </w:r>
          </w:p>
        </w:tc>
        <w:tc>
          <w:tcPr>
            <w:tcW w:w="2597" w:type="dxa"/>
            <w:vAlign w:val="center"/>
          </w:tcPr>
          <w:p w14:paraId="6ADDC0C5"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Non-indexed sources or grey literature</w:t>
            </w:r>
          </w:p>
        </w:tc>
        <w:tc>
          <w:tcPr>
            <w:tcW w:w="2423" w:type="dxa"/>
            <w:vAlign w:val="center"/>
          </w:tcPr>
          <w:p w14:paraId="58393881"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Guarantees peer-review, credibility, and scholarly traceability</w:t>
            </w:r>
          </w:p>
        </w:tc>
      </w:tr>
      <w:tr w:rsidR="00293B92" w:rsidRPr="001256EA" w14:paraId="04E792F6"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BA04EA6"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Time frame</w:t>
            </w:r>
          </w:p>
        </w:tc>
        <w:tc>
          <w:tcPr>
            <w:tcW w:w="2690" w:type="dxa"/>
            <w:vAlign w:val="center"/>
          </w:tcPr>
          <w:p w14:paraId="1FF5E057"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Published between 2010 and 2025</w:t>
            </w:r>
          </w:p>
        </w:tc>
        <w:tc>
          <w:tcPr>
            <w:tcW w:w="2597" w:type="dxa"/>
            <w:vAlign w:val="center"/>
          </w:tcPr>
          <w:p w14:paraId="36AC3FA0"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Articles published before 2010 or beyond 2025</w:t>
            </w:r>
          </w:p>
        </w:tc>
        <w:tc>
          <w:tcPr>
            <w:tcW w:w="2423" w:type="dxa"/>
            <w:vAlign w:val="center"/>
          </w:tcPr>
          <w:p w14:paraId="0911A4AF"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Reflects contemporary debates and recent legislative transformations</w:t>
            </w:r>
          </w:p>
        </w:tc>
      </w:tr>
      <w:tr w:rsidR="00293B92" w:rsidRPr="001256EA" w14:paraId="05C270AF" w14:textId="77777777" w:rsidTr="00DC2577">
        <w:tc>
          <w:tcPr>
            <w:cnfStyle w:val="001000000000" w:firstRow="0" w:lastRow="0" w:firstColumn="1" w:lastColumn="0" w:oddVBand="0" w:evenVBand="0" w:oddHBand="0" w:evenHBand="0" w:firstRowFirstColumn="0" w:firstRowLastColumn="0" w:lastRowFirstColumn="0" w:lastRowLastColumn="0"/>
            <w:tcW w:w="1470" w:type="dxa"/>
            <w:vAlign w:val="center"/>
          </w:tcPr>
          <w:p w14:paraId="42FDA27C"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Disciplinary focus</w:t>
            </w:r>
          </w:p>
        </w:tc>
        <w:tc>
          <w:tcPr>
            <w:tcW w:w="2690" w:type="dxa"/>
            <w:vAlign w:val="center"/>
          </w:tcPr>
          <w:p w14:paraId="174F54F4"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Articles from legal studies, law and bioethics, medical law</w:t>
            </w:r>
          </w:p>
        </w:tc>
        <w:tc>
          <w:tcPr>
            <w:tcW w:w="2597" w:type="dxa"/>
            <w:vAlign w:val="center"/>
          </w:tcPr>
          <w:p w14:paraId="597AC950"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Articles from unrelated disciplines (e.g. pure medicine, sociology)</w:t>
            </w:r>
          </w:p>
        </w:tc>
        <w:tc>
          <w:tcPr>
            <w:tcW w:w="2423" w:type="dxa"/>
            <w:vAlign w:val="center"/>
          </w:tcPr>
          <w:p w14:paraId="5689F680"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Preserves juridical framing and avoids thematic dilution</w:t>
            </w:r>
          </w:p>
        </w:tc>
      </w:tr>
      <w:tr w:rsidR="00293B92" w:rsidRPr="001256EA" w14:paraId="22BEA8A3"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F69976F"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Geographic scope</w:t>
            </w:r>
          </w:p>
        </w:tc>
        <w:tc>
          <w:tcPr>
            <w:tcW w:w="2690" w:type="dxa"/>
            <w:vAlign w:val="center"/>
          </w:tcPr>
          <w:p w14:paraId="60E33718" w14:textId="6589C296"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International or </w:t>
            </w:r>
            <w:proofErr w:type="gramStart"/>
            <w:r w:rsidRPr="001256EA">
              <w:rPr>
                <w:rFonts w:ascii="Times New Roman" w:hAnsi="Times New Roman" w:cs="Times New Roman"/>
                <w:sz w:val="20"/>
                <w:szCs w:val="20"/>
              </w:rPr>
              <w:t>national</w:t>
            </w:r>
            <w:proofErr w:type="gramEnd"/>
            <w:r w:rsidRPr="001256EA">
              <w:rPr>
                <w:rFonts w:ascii="Times New Roman" w:hAnsi="Times New Roman" w:cs="Times New Roman"/>
                <w:sz w:val="20"/>
                <w:szCs w:val="20"/>
              </w:rPr>
              <w:t xml:space="preserve">-level </w:t>
            </w:r>
            <w:r w:rsidR="0075135C" w:rsidRPr="001256EA">
              <w:rPr>
                <w:rFonts w:ascii="Times New Roman" w:hAnsi="Times New Roman" w:cs="Times New Roman"/>
                <w:sz w:val="20"/>
                <w:szCs w:val="20"/>
              </w:rPr>
              <w:t>analysis</w:t>
            </w:r>
            <w:r w:rsidRPr="001256EA">
              <w:rPr>
                <w:rFonts w:ascii="Times New Roman" w:hAnsi="Times New Roman" w:cs="Times New Roman"/>
                <w:sz w:val="20"/>
                <w:szCs w:val="20"/>
              </w:rPr>
              <w:t xml:space="preserve"> of euthanasia laws</w:t>
            </w:r>
          </w:p>
        </w:tc>
        <w:tc>
          <w:tcPr>
            <w:tcW w:w="2597" w:type="dxa"/>
            <w:vAlign w:val="center"/>
          </w:tcPr>
          <w:p w14:paraId="07C56F49"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t>
            </w:r>
          </w:p>
        </w:tc>
        <w:tc>
          <w:tcPr>
            <w:tcW w:w="2423" w:type="dxa"/>
            <w:vAlign w:val="center"/>
          </w:tcPr>
          <w:p w14:paraId="3C4AF5A6"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Enables comparative insight and generalizability</w:t>
            </w:r>
          </w:p>
        </w:tc>
      </w:tr>
      <w:tr w:rsidR="00293B92" w:rsidRPr="001256EA" w14:paraId="56D9D45E" w14:textId="77777777" w:rsidTr="00DC2577">
        <w:tc>
          <w:tcPr>
            <w:cnfStyle w:val="001000000000" w:firstRow="0" w:lastRow="0" w:firstColumn="1" w:lastColumn="0" w:oddVBand="0" w:evenVBand="0" w:oddHBand="0" w:evenHBand="0" w:firstRowFirstColumn="0" w:firstRowLastColumn="0" w:lastRowFirstColumn="0" w:lastRowLastColumn="0"/>
            <w:tcW w:w="1470" w:type="dxa"/>
            <w:vAlign w:val="center"/>
          </w:tcPr>
          <w:p w14:paraId="07584C0F"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Research type</w:t>
            </w:r>
          </w:p>
        </w:tc>
        <w:tc>
          <w:tcPr>
            <w:tcW w:w="2690" w:type="dxa"/>
            <w:vAlign w:val="center"/>
          </w:tcPr>
          <w:p w14:paraId="616AA2EE"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Journal articles presenting empirical data, doctrinal analysis, or jurisprudential commentary</w:t>
            </w:r>
          </w:p>
        </w:tc>
        <w:tc>
          <w:tcPr>
            <w:tcW w:w="2597" w:type="dxa"/>
            <w:vAlign w:val="center"/>
          </w:tcPr>
          <w:p w14:paraId="52F9693D"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Editorials, letters, opinion pieces, non-peer-reviewed content</w:t>
            </w:r>
          </w:p>
        </w:tc>
        <w:tc>
          <w:tcPr>
            <w:tcW w:w="2423" w:type="dxa"/>
            <w:vAlign w:val="center"/>
          </w:tcPr>
          <w:p w14:paraId="45472EC3"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Prioritizes analytical depth and legal argumentation</w:t>
            </w:r>
          </w:p>
        </w:tc>
      </w:tr>
      <w:tr w:rsidR="00293B92" w:rsidRPr="001256EA" w14:paraId="5535B563"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4F8B4"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Language</w:t>
            </w:r>
          </w:p>
        </w:tc>
        <w:tc>
          <w:tcPr>
            <w:tcW w:w="2690" w:type="dxa"/>
            <w:vAlign w:val="center"/>
          </w:tcPr>
          <w:p w14:paraId="22B61A70"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English</w:t>
            </w:r>
          </w:p>
        </w:tc>
        <w:tc>
          <w:tcPr>
            <w:tcW w:w="2597" w:type="dxa"/>
            <w:vAlign w:val="center"/>
          </w:tcPr>
          <w:p w14:paraId="3F20F6B5"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Any other language</w:t>
            </w:r>
          </w:p>
        </w:tc>
        <w:tc>
          <w:tcPr>
            <w:tcW w:w="2423" w:type="dxa"/>
            <w:vAlign w:val="center"/>
          </w:tcPr>
          <w:p w14:paraId="6EA5442F" w14:textId="77777777" w:rsidR="00293B92" w:rsidRPr="001256EA" w:rsidRDefault="00293B92" w:rsidP="00EA5C5B">
            <w:pPr>
              <w:tabs>
                <w:tab w:val="left" w:pos="32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Facilitates international dissemination and coherence in analysis</w:t>
            </w:r>
          </w:p>
        </w:tc>
      </w:tr>
      <w:tr w:rsidR="00293B92" w:rsidRPr="001256EA" w14:paraId="73BE8573" w14:textId="77777777" w:rsidTr="00DC2577">
        <w:tc>
          <w:tcPr>
            <w:cnfStyle w:val="001000000000" w:firstRow="0" w:lastRow="0" w:firstColumn="1" w:lastColumn="0" w:oddVBand="0" w:evenVBand="0" w:oddHBand="0" w:evenHBand="0" w:firstRowFirstColumn="0" w:firstRowLastColumn="0" w:lastRowFirstColumn="0" w:lastRowLastColumn="0"/>
            <w:tcW w:w="1470" w:type="dxa"/>
            <w:vAlign w:val="center"/>
          </w:tcPr>
          <w:p w14:paraId="087C699D" w14:textId="77777777" w:rsidR="00293B92" w:rsidRPr="001256EA" w:rsidRDefault="00293B92" w:rsidP="00EA5C5B">
            <w:pPr>
              <w:tabs>
                <w:tab w:val="left" w:pos="3220"/>
              </w:tabs>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Data uniqueness</w:t>
            </w:r>
          </w:p>
        </w:tc>
        <w:tc>
          <w:tcPr>
            <w:tcW w:w="2690" w:type="dxa"/>
            <w:vAlign w:val="center"/>
          </w:tcPr>
          <w:p w14:paraId="27EC6CED"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One unique version per article</w:t>
            </w:r>
          </w:p>
        </w:tc>
        <w:tc>
          <w:tcPr>
            <w:tcW w:w="2597" w:type="dxa"/>
            <w:vAlign w:val="center"/>
          </w:tcPr>
          <w:p w14:paraId="341B7F1D"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Duplicates or reprints</w:t>
            </w:r>
          </w:p>
        </w:tc>
        <w:tc>
          <w:tcPr>
            <w:tcW w:w="2423" w:type="dxa"/>
            <w:vAlign w:val="center"/>
          </w:tcPr>
          <w:p w14:paraId="1DE84C29" w14:textId="77777777" w:rsidR="00293B92" w:rsidRPr="001256EA" w:rsidRDefault="00293B92" w:rsidP="00EA5C5B">
            <w:pPr>
              <w:tabs>
                <w:tab w:val="left" w:pos="32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Prevents double-counting and ensures data integrity</w:t>
            </w:r>
          </w:p>
        </w:tc>
      </w:tr>
    </w:tbl>
    <w:p w14:paraId="6F1294B2" w14:textId="5DE2052F" w:rsidR="00293B92" w:rsidRPr="001256EA" w:rsidRDefault="00293B92" w:rsidP="00293B92">
      <w:pPr>
        <w:tabs>
          <w:tab w:val="left" w:pos="3220"/>
        </w:tabs>
        <w:spacing w:line="360" w:lineRule="auto"/>
        <w:jc w:val="center"/>
        <w:rPr>
          <w:rFonts w:ascii="Times New Roman" w:hAnsi="Times New Roman" w:cs="Times New Roman"/>
        </w:rPr>
      </w:pPr>
    </w:p>
    <w:p w14:paraId="36DF5DB0" w14:textId="77777777" w:rsidR="00293B92" w:rsidRPr="001256EA" w:rsidRDefault="00293B92"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application of these rigorous criteria allowed the study to focus on a balanced, thematically consistent corpus, providing a sound empirical base for subsequent semantic and topic modeling analyses.</w:t>
      </w:r>
    </w:p>
    <w:p w14:paraId="26D30D0B" w14:textId="0078948C" w:rsidR="00293B92" w:rsidRPr="001256EA" w:rsidRDefault="00293B92" w:rsidP="000F6281">
      <w:pPr>
        <w:spacing w:after="0" w:line="360" w:lineRule="auto"/>
        <w:ind w:firstLine="851"/>
        <w:jc w:val="both"/>
        <w:rPr>
          <w:rFonts w:ascii="Times New Roman" w:hAnsi="Times New Roman" w:cs="Times New Roman"/>
          <w:sz w:val="28"/>
          <w:szCs w:val="28"/>
          <w:lang w:bidi="en-US"/>
        </w:rPr>
      </w:pPr>
      <w:r w:rsidRPr="001256EA">
        <w:rPr>
          <w:rFonts w:ascii="Times New Roman" w:hAnsi="Times New Roman" w:cs="Times New Roman"/>
          <w:sz w:val="24"/>
          <w:szCs w:val="24"/>
        </w:rPr>
        <w:t xml:space="preserve">The final dataset was exported in structured CSV format and processed using Python, which provided both flexibility and computational efficiency for handling large textual data. All preprocessing steps, including lowercasing, lemmatization, and duplicate management, were performed before semantic modeling, ensuring data consistency across sources. This preparation laid the groundwork for embedding generation, clustering, and the extraction of representative terms, as described in the methodological section on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w:t>
      </w:r>
      <w:r w:rsidR="001E228D" w:rsidRPr="001256EA">
        <w:rPr>
          <w:rFonts w:ascii="Times New Roman" w:hAnsi="Times New Roman" w:cs="Times New Roman"/>
          <w:sz w:val="28"/>
          <w:szCs w:val="28"/>
          <w:lang w:bidi="en-US"/>
        </w:rPr>
        <w:t xml:space="preserve"> </w:t>
      </w:r>
    </w:p>
    <w:p w14:paraId="09A815EC" w14:textId="19032622" w:rsidR="00293B92" w:rsidRPr="001256EA" w:rsidRDefault="00D03C8E" w:rsidP="00661ED4">
      <w:pPr>
        <w:spacing w:after="0" w:line="360" w:lineRule="auto"/>
        <w:ind w:firstLine="851"/>
        <w:jc w:val="both"/>
        <w:rPr>
          <w:rFonts w:ascii="Times New Roman" w:hAnsi="Times New Roman" w:cs="Times New Roman"/>
          <w:sz w:val="24"/>
          <w:szCs w:val="24"/>
          <w:lang w:bidi="en-US"/>
        </w:rPr>
      </w:pPr>
      <w:r w:rsidRPr="001256EA">
        <w:rPr>
          <w:rFonts w:ascii="Times New Roman" w:hAnsi="Times New Roman" w:cs="Times New Roman"/>
          <w:sz w:val="24"/>
          <w:szCs w:val="24"/>
          <w:lang w:bidi="en-US"/>
        </w:rPr>
        <w:t>These methodological steps</w:t>
      </w:r>
      <w:r w:rsidR="00293B92" w:rsidRPr="001256EA">
        <w:rPr>
          <w:rFonts w:ascii="Times New Roman" w:hAnsi="Times New Roman" w:cs="Times New Roman"/>
          <w:sz w:val="24"/>
          <w:szCs w:val="24"/>
          <w:lang w:bidi="en-US"/>
        </w:rPr>
        <w:t xml:space="preserve"> </w:t>
      </w:r>
      <w:r w:rsidR="00ED3976" w:rsidRPr="001256EA">
        <w:rPr>
          <w:rFonts w:ascii="Times New Roman" w:hAnsi="Times New Roman" w:cs="Times New Roman"/>
          <w:sz w:val="24"/>
          <w:szCs w:val="24"/>
          <w:lang w:bidi="en-US"/>
        </w:rPr>
        <w:t>were used</w:t>
      </w:r>
      <w:r w:rsidR="00293B92" w:rsidRPr="001256EA">
        <w:rPr>
          <w:rFonts w:ascii="Times New Roman" w:hAnsi="Times New Roman" w:cs="Times New Roman"/>
          <w:sz w:val="24"/>
          <w:szCs w:val="24"/>
          <w:lang w:bidi="en-US"/>
        </w:rPr>
        <w:t xml:space="preserve"> to map recent developments in euthanasia law research from 2010 to 2025. It combines keyword analysis, temporal tracking of publication and citation patterns, and topic modeling based on abstract-level semantic structures. The </w:t>
      </w:r>
      <w:r w:rsidR="00293B92" w:rsidRPr="001256EA">
        <w:rPr>
          <w:rFonts w:ascii="Times New Roman" w:hAnsi="Times New Roman" w:cs="Times New Roman"/>
          <w:sz w:val="24"/>
          <w:szCs w:val="24"/>
          <w:lang w:bidi="en-US"/>
        </w:rPr>
        <w:lastRenderedPageBreak/>
        <w:t xml:space="preserve">results are organized to reveal the conceptual orientations, thematic clusters, disciplinary anchors, and national contexts that shape scholarly engagement with euthanasia law. </w:t>
      </w:r>
    </w:p>
    <w:p w14:paraId="34773D4F" w14:textId="4EFAB526" w:rsidR="000F6281" w:rsidRPr="001256EA" w:rsidRDefault="00661ED4" w:rsidP="00661ED4">
      <w:pPr>
        <w:spacing w:after="0" w:line="360" w:lineRule="auto"/>
        <w:ind w:firstLine="851"/>
        <w:jc w:val="both"/>
        <w:rPr>
          <w:rFonts w:ascii="Times New Roman" w:hAnsi="Times New Roman" w:cs="Times New Roman"/>
          <w:iCs/>
          <w:sz w:val="24"/>
          <w:szCs w:val="24"/>
        </w:rPr>
      </w:pPr>
      <w:r w:rsidRPr="001256EA">
        <w:rPr>
          <w:rFonts w:ascii="Times New Roman" w:hAnsi="Times New Roman" w:cs="Times New Roman"/>
          <w:i/>
          <w:sz w:val="24"/>
          <w:szCs w:val="24"/>
        </w:rPr>
        <w:t>Research limitations.</w:t>
      </w:r>
      <w:r w:rsidRPr="001256EA">
        <w:t xml:space="preserve"> </w:t>
      </w:r>
      <w:r w:rsidRPr="001256EA">
        <w:rPr>
          <w:rFonts w:ascii="Times New Roman" w:hAnsi="Times New Roman" w:cs="Times New Roman"/>
          <w:iCs/>
          <w:sz w:val="24"/>
          <w:szCs w:val="24"/>
        </w:rPr>
        <w:t>It is necessary to acknowledge several fundamental limitations that affect the scope, interpretation and generalizability of the results. Firstly, the study is limited to the period 2010–2025. This chronological choice allows for the analysis of contemporary euthanasia law debates and recent legislative developments, but at the same time limits the possibility of assessing the context of longer historical developments.</w:t>
      </w:r>
      <w:r w:rsidRPr="001256EA">
        <w:t xml:space="preserve"> </w:t>
      </w:r>
      <w:r w:rsidRPr="001256EA">
        <w:rPr>
          <w:rFonts w:ascii="Times New Roman" w:hAnsi="Times New Roman" w:cs="Times New Roman"/>
          <w:iCs/>
          <w:sz w:val="24"/>
          <w:szCs w:val="24"/>
        </w:rPr>
        <w:t>Second, the empirical analysis is based only on articles indexed in Scopus and Web of Science. While this ensures high quality and academic credibility of the sources, this choice inevitably limits the scope of the study. The analysis does not include national law journals, regional publications, monographs, legislative documents or case law, which in some jurisdictions constitute a significant part of the euthanasia legal discourse.</w:t>
      </w:r>
      <w:r w:rsidR="00D03C8E" w:rsidRPr="001256EA">
        <w:t xml:space="preserve"> </w:t>
      </w:r>
      <w:r w:rsidR="00D03C8E" w:rsidRPr="001256EA">
        <w:rPr>
          <w:rFonts w:ascii="Times New Roman" w:hAnsi="Times New Roman" w:cs="Times New Roman"/>
          <w:iCs/>
          <w:sz w:val="24"/>
          <w:szCs w:val="24"/>
        </w:rPr>
        <w:t>The study analyses scientific articles published in English. This linguistic limitation results in an underrepresentation of academic discourse from non-English-speaking legal systems, particularly those in Latin America, Eastern Europe and Asia.</w:t>
      </w:r>
      <w:r w:rsidR="00D03C8E" w:rsidRPr="001256EA">
        <w:t xml:space="preserve"> </w:t>
      </w:r>
      <w:r w:rsidR="00D03C8E" w:rsidRPr="001256EA">
        <w:rPr>
          <w:rFonts w:ascii="Times New Roman" w:hAnsi="Times New Roman" w:cs="Times New Roman"/>
          <w:iCs/>
          <w:sz w:val="24"/>
          <w:szCs w:val="24"/>
        </w:rPr>
        <w:t>The chosen semantic topic modeling method (</w:t>
      </w:r>
      <w:proofErr w:type="spellStart"/>
      <w:r w:rsidR="00D03C8E" w:rsidRPr="001256EA">
        <w:rPr>
          <w:rFonts w:ascii="Times New Roman" w:hAnsi="Times New Roman" w:cs="Times New Roman"/>
          <w:iCs/>
          <w:sz w:val="24"/>
          <w:szCs w:val="24"/>
        </w:rPr>
        <w:t>BERTopic</w:t>
      </w:r>
      <w:proofErr w:type="spellEnd"/>
      <w:r w:rsidR="00D03C8E" w:rsidRPr="001256EA">
        <w:rPr>
          <w:rFonts w:ascii="Times New Roman" w:hAnsi="Times New Roman" w:cs="Times New Roman"/>
          <w:iCs/>
          <w:sz w:val="24"/>
          <w:szCs w:val="24"/>
        </w:rPr>
        <w:t>), although suitable for short text analysis, remains an algorithmic generalization tool. The topics generated by the model depend on the quality of the embeddings, clustering parameters, and text preprocessing solutions.</w:t>
      </w:r>
      <w:r w:rsidR="00D03C8E" w:rsidRPr="001256EA">
        <w:t xml:space="preserve"> </w:t>
      </w:r>
      <w:r w:rsidR="00D03C8E" w:rsidRPr="001256EA">
        <w:rPr>
          <w:rFonts w:ascii="Times New Roman" w:hAnsi="Times New Roman" w:cs="Times New Roman"/>
          <w:iCs/>
          <w:sz w:val="24"/>
          <w:szCs w:val="24"/>
        </w:rPr>
        <w:t>Given these limitations, the results of the study should be seen as a conceptual and indicative contribution to the research map of euthanasia law, rather than as a comprehensive or definitive assessment of the field. Future research could extend the time frame of the analysis, including foreign language sources, full-text analysis, and additional empirical data sources.</w:t>
      </w:r>
    </w:p>
    <w:p w14:paraId="56760DB1" w14:textId="77777777" w:rsidR="00D03C8E" w:rsidRPr="001256EA" w:rsidRDefault="00D03C8E" w:rsidP="00661ED4">
      <w:pPr>
        <w:spacing w:after="0" w:line="360" w:lineRule="auto"/>
        <w:ind w:firstLine="851"/>
        <w:jc w:val="both"/>
        <w:rPr>
          <w:rFonts w:ascii="Times New Roman" w:hAnsi="Times New Roman" w:cs="Times New Roman"/>
          <w:iCs/>
          <w:sz w:val="24"/>
          <w:szCs w:val="24"/>
        </w:rPr>
      </w:pPr>
    </w:p>
    <w:p w14:paraId="209DEC3A" w14:textId="56C4CDDA" w:rsidR="000F6281" w:rsidRDefault="000F6281" w:rsidP="003849BB">
      <w:pPr>
        <w:pStyle w:val="Heading3"/>
        <w:jc w:val="center"/>
        <w:rPr>
          <w:rFonts w:ascii="Times New Roman" w:hAnsi="Times New Roman" w:cs="Times New Roman"/>
          <w:color w:val="auto"/>
          <w:lang w:bidi="en-US"/>
        </w:rPr>
      </w:pPr>
      <w:r w:rsidRPr="001256EA">
        <w:rPr>
          <w:rFonts w:ascii="Times New Roman" w:hAnsi="Times New Roman" w:cs="Times New Roman"/>
          <w:color w:val="auto"/>
          <w:lang w:bidi="en-US"/>
        </w:rPr>
        <w:t>1.</w:t>
      </w:r>
      <w:r w:rsidR="00A432AE">
        <w:rPr>
          <w:rFonts w:ascii="Times New Roman" w:hAnsi="Times New Roman" w:cs="Times New Roman"/>
          <w:color w:val="auto"/>
          <w:lang w:bidi="en-US"/>
        </w:rPr>
        <w:t>3</w:t>
      </w:r>
      <w:r w:rsidRPr="001256EA">
        <w:rPr>
          <w:rFonts w:ascii="Times New Roman" w:hAnsi="Times New Roman" w:cs="Times New Roman"/>
          <w:color w:val="auto"/>
          <w:lang w:bidi="en-US"/>
        </w:rPr>
        <w:t xml:space="preserve">.2. </w:t>
      </w:r>
      <w:bookmarkStart w:id="21" w:name="_Hlk217761840"/>
      <w:r w:rsidR="00293B92" w:rsidRPr="001256EA">
        <w:rPr>
          <w:rFonts w:ascii="Times New Roman" w:hAnsi="Times New Roman" w:cs="Times New Roman"/>
          <w:color w:val="auto"/>
          <w:lang w:bidi="en-US"/>
        </w:rPr>
        <w:t>Integrated analytical workflow for mapping the structure and evolution of Euthanasia law research</w:t>
      </w:r>
      <w:bookmarkEnd w:id="21"/>
    </w:p>
    <w:p w14:paraId="384BB1D1" w14:textId="77777777" w:rsidR="00A615D8" w:rsidRPr="00A615D8" w:rsidRDefault="00A615D8" w:rsidP="00A615D8">
      <w:pPr>
        <w:rPr>
          <w:lang w:bidi="en-US"/>
        </w:rPr>
      </w:pPr>
    </w:p>
    <w:p w14:paraId="765C69D8" w14:textId="46575D2A" w:rsidR="00293B92" w:rsidRPr="001256EA" w:rsidRDefault="00293B92"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first stage of </w:t>
      </w:r>
      <w:r w:rsidR="000F6281" w:rsidRPr="001256EA">
        <w:rPr>
          <w:rFonts w:ascii="Times New Roman" w:hAnsi="Times New Roman" w:cs="Times New Roman"/>
          <w:sz w:val="24"/>
          <w:szCs w:val="24"/>
        </w:rPr>
        <w:t xml:space="preserve">the </w:t>
      </w:r>
      <w:r w:rsidRPr="001256EA">
        <w:rPr>
          <w:rFonts w:ascii="Times New Roman" w:hAnsi="Times New Roman" w:cs="Times New Roman"/>
          <w:sz w:val="24"/>
          <w:szCs w:val="24"/>
        </w:rPr>
        <w:t>analysis focuses on the keywords selected by authors to characterize their research on euthanasia law between 2010 and 2025. These keywords offer insight into the conceptual and disciplinary orientations that have shaped scholarly discussions over the past fifteen years</w:t>
      </w:r>
      <w:r w:rsidRPr="001256EA">
        <w:rPr>
          <w:rFonts w:ascii="Times New Roman" w:hAnsi="Times New Roman" w:cs="Times New Roman"/>
          <w:b/>
          <w:bCs/>
          <w:sz w:val="24"/>
          <w:szCs w:val="24"/>
        </w:rPr>
        <w:t xml:space="preserve">. </w:t>
      </w:r>
      <w:r w:rsidRPr="001256EA">
        <w:rPr>
          <w:rFonts w:ascii="Times New Roman" w:hAnsi="Times New Roman" w:cs="Times New Roman"/>
          <w:sz w:val="24"/>
          <w:szCs w:val="24"/>
        </w:rPr>
        <w:t xml:space="preserve">Figure </w:t>
      </w:r>
      <w:r w:rsidR="00B779F3" w:rsidRPr="001256EA">
        <w:rPr>
          <w:rFonts w:ascii="Times New Roman" w:hAnsi="Times New Roman" w:cs="Times New Roman"/>
          <w:sz w:val="24"/>
          <w:szCs w:val="24"/>
        </w:rPr>
        <w:t>5</w:t>
      </w:r>
      <w:r w:rsidRPr="001256EA">
        <w:rPr>
          <w:rFonts w:ascii="Times New Roman" w:hAnsi="Times New Roman" w:cs="Times New Roman"/>
          <w:sz w:val="24"/>
          <w:szCs w:val="24"/>
        </w:rPr>
        <w:t xml:space="preserve"> displays a keyword cloud, where the relative size of each term reflects its frequency of occurrence across the corpus.</w:t>
      </w:r>
    </w:p>
    <w:p w14:paraId="5255894A" w14:textId="51267B49" w:rsidR="00293B92" w:rsidRPr="001256EA" w:rsidRDefault="00293B92" w:rsidP="003849BB">
      <w:pPr>
        <w:spacing w:line="240" w:lineRule="auto"/>
        <w:jc w:val="both"/>
        <w:rPr>
          <w:rFonts w:ascii="Times New Roman" w:hAnsi="Times New Roman" w:cs="Times New Roman"/>
          <w:sz w:val="24"/>
          <w:szCs w:val="24"/>
        </w:rPr>
      </w:pPr>
      <w:r w:rsidRPr="001256EA">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112B7590" wp14:editId="11C10A7A">
            <wp:simplePos x="0" y="0"/>
            <wp:positionH relativeFrom="margin">
              <wp:posOffset>59055</wp:posOffset>
            </wp:positionH>
            <wp:positionV relativeFrom="paragraph">
              <wp:posOffset>390525</wp:posOffset>
            </wp:positionV>
            <wp:extent cx="5720715" cy="361251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3612515"/>
                    </a:xfrm>
                    <a:prstGeom prst="rect">
                      <a:avLst/>
                    </a:prstGeom>
                    <a:noFill/>
                    <a:ln>
                      <a:noFill/>
                    </a:ln>
                  </pic:spPr>
                </pic:pic>
              </a:graphicData>
            </a:graphic>
          </wp:anchor>
        </w:drawing>
      </w:r>
      <w:r w:rsidRPr="001256EA">
        <w:rPr>
          <w:rFonts w:ascii="Times New Roman" w:hAnsi="Times New Roman" w:cs="Times New Roman"/>
          <w:b/>
          <w:bCs/>
          <w:sz w:val="24"/>
          <w:szCs w:val="24"/>
        </w:rPr>
        <w:t xml:space="preserve">Figure </w:t>
      </w:r>
      <w:r w:rsidR="00B779F3" w:rsidRPr="001256EA">
        <w:rPr>
          <w:rFonts w:ascii="Times New Roman" w:hAnsi="Times New Roman" w:cs="Times New Roman"/>
          <w:b/>
          <w:bCs/>
          <w:sz w:val="24"/>
          <w:szCs w:val="24"/>
        </w:rPr>
        <w:t>5</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Frequency-based keyword map of euthanasia law research </w:t>
      </w:r>
      <w:r w:rsidR="00AD7403" w:rsidRPr="001256EA">
        <w:rPr>
          <w:rFonts w:ascii="Times New Roman" w:eastAsia="Calibri" w:hAnsi="Times New Roman" w:cs="Times New Roman"/>
          <w:sz w:val="24"/>
          <w:szCs w:val="24"/>
        </w:rPr>
        <w:t>(compiled by the author b</w:t>
      </w:r>
      <w:r w:rsidR="00AD7403" w:rsidRPr="001256EA">
        <w:rPr>
          <w:rFonts w:ascii="Times New Roman" w:hAnsi="Times New Roman" w:cs="Times New Roman"/>
          <w:sz w:val="24"/>
          <w:szCs w:val="24"/>
        </w:rPr>
        <w:t>ased on the research’s results)</w:t>
      </w:r>
    </w:p>
    <w:p w14:paraId="3680C59C" w14:textId="78A6F708" w:rsidR="00293B92" w:rsidRPr="001256EA" w:rsidRDefault="00293B92" w:rsidP="00CD214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continuation of the keyword analysis, Figure </w:t>
      </w:r>
      <w:r w:rsidR="00B779F3" w:rsidRPr="001256EA">
        <w:rPr>
          <w:rFonts w:ascii="Times New Roman" w:hAnsi="Times New Roman" w:cs="Times New Roman"/>
          <w:sz w:val="24"/>
          <w:szCs w:val="24"/>
        </w:rPr>
        <w:t>6</w:t>
      </w:r>
      <w:r w:rsidRPr="001256EA">
        <w:rPr>
          <w:rFonts w:ascii="Times New Roman" w:hAnsi="Times New Roman" w:cs="Times New Roman"/>
          <w:sz w:val="24"/>
          <w:szCs w:val="24"/>
        </w:rPr>
        <w:t xml:space="preserve"> offers a longitudinal perspective on the volume and influence of research related to euthanasia law between 2010 and 2025. The upper heatmap illustrates the number of articles published per year. Although the annual output remains modest, there is a slight resurgence in recent years, peaking in 2023. The lower heatmap reflects the distribution of citations across the same period. The year 2012 stands out with an exceptionally high citation count, indicating that certain early publications have exerted a lasting impact on the field. By contrast, the lower citation levels observed after 2020 may be attributed to both a citation delay and the recency of the publications. </w:t>
      </w:r>
    </w:p>
    <w:p w14:paraId="56693427" w14:textId="518AEE88" w:rsidR="003849BB" w:rsidRPr="001256EA" w:rsidRDefault="003849BB" w:rsidP="003849BB">
      <w:pPr>
        <w:spacing w:line="240" w:lineRule="auto"/>
        <w:jc w:val="both"/>
        <w:rPr>
          <w:rFonts w:ascii="Times New Roman" w:hAnsi="Times New Roman" w:cs="Times New Roman"/>
          <w:b/>
          <w:bCs/>
        </w:rPr>
      </w:pPr>
      <w:r w:rsidRPr="001256EA">
        <w:rPr>
          <w:rFonts w:ascii="Times New Roman" w:hAnsi="Times New Roman" w:cs="Times New Roman"/>
          <w:b/>
          <w:bCs/>
          <w:noProof/>
        </w:rPr>
        <w:drawing>
          <wp:anchor distT="0" distB="0" distL="114300" distR="114300" simplePos="0" relativeHeight="251661312" behindDoc="0" locked="0" layoutInCell="1" allowOverlap="1" wp14:anchorId="5A1C9E70" wp14:editId="15DA8C87">
            <wp:simplePos x="0" y="0"/>
            <wp:positionH relativeFrom="column">
              <wp:posOffset>55880</wp:posOffset>
            </wp:positionH>
            <wp:positionV relativeFrom="paragraph">
              <wp:posOffset>1370330</wp:posOffset>
            </wp:positionV>
            <wp:extent cx="5756275" cy="95694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956945"/>
                    </a:xfrm>
                    <a:prstGeom prst="rect">
                      <a:avLst/>
                    </a:prstGeom>
                    <a:noFill/>
                    <a:ln>
                      <a:noFill/>
                    </a:ln>
                  </pic:spPr>
                </pic:pic>
              </a:graphicData>
            </a:graphic>
          </wp:anchor>
        </w:drawing>
      </w:r>
      <w:r w:rsidRPr="001256EA">
        <w:rPr>
          <w:rFonts w:ascii="Times New Roman" w:hAnsi="Times New Roman" w:cs="Times New Roman"/>
          <w:b/>
          <w:bCs/>
          <w:noProof/>
        </w:rPr>
        <w:drawing>
          <wp:anchor distT="0" distB="0" distL="114300" distR="114300" simplePos="0" relativeHeight="251660288" behindDoc="0" locked="0" layoutInCell="1" allowOverlap="1" wp14:anchorId="690A7AA8" wp14:editId="3DDB01A3">
            <wp:simplePos x="0" y="0"/>
            <wp:positionH relativeFrom="margin">
              <wp:posOffset>-635</wp:posOffset>
            </wp:positionH>
            <wp:positionV relativeFrom="paragraph">
              <wp:posOffset>401955</wp:posOffset>
            </wp:positionV>
            <wp:extent cx="5756275" cy="9569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956945"/>
                    </a:xfrm>
                    <a:prstGeom prst="rect">
                      <a:avLst/>
                    </a:prstGeom>
                    <a:noFill/>
                    <a:ln>
                      <a:noFill/>
                    </a:ln>
                  </pic:spPr>
                </pic:pic>
              </a:graphicData>
            </a:graphic>
          </wp:anchor>
        </w:drawing>
      </w:r>
      <w:r w:rsidRPr="001256EA">
        <w:rPr>
          <w:rFonts w:ascii="Times New Roman" w:hAnsi="Times New Roman" w:cs="Times New Roman"/>
          <w:b/>
          <w:bCs/>
          <w:sz w:val="24"/>
          <w:szCs w:val="24"/>
        </w:rPr>
        <w:t>Figure 6.</w:t>
      </w:r>
      <w:r w:rsidRPr="001256EA">
        <w:rPr>
          <w:rFonts w:ascii="Times New Roman" w:hAnsi="Times New Roman" w:cs="Times New Roman"/>
          <w:sz w:val="24"/>
          <w:szCs w:val="24"/>
        </w:rPr>
        <w:t xml:space="preserve"> Temporal distribution of publications and citations in Euthanasia law research </w:t>
      </w:r>
      <w:r w:rsidRPr="001256EA">
        <w:rPr>
          <w:rFonts w:ascii="Times New Roman" w:eastAsia="Calibri" w:hAnsi="Times New Roman" w:cs="Times New Roman"/>
          <w:sz w:val="24"/>
          <w:szCs w:val="24"/>
        </w:rPr>
        <w:t>(compiled by the author b</w:t>
      </w:r>
      <w:r w:rsidRPr="001256EA">
        <w:rPr>
          <w:rFonts w:ascii="Times New Roman" w:hAnsi="Times New Roman" w:cs="Times New Roman"/>
          <w:sz w:val="24"/>
          <w:szCs w:val="24"/>
        </w:rPr>
        <w:t>ased on the research’s results)</w:t>
      </w:r>
    </w:p>
    <w:p w14:paraId="0BA2A9F7" w14:textId="21597D72" w:rsidR="003849BB" w:rsidRPr="001256EA" w:rsidRDefault="003849BB" w:rsidP="009E2585">
      <w:pPr>
        <w:spacing w:line="240" w:lineRule="auto"/>
        <w:jc w:val="center"/>
        <w:rPr>
          <w:rFonts w:ascii="Times New Roman" w:hAnsi="Times New Roman" w:cs="Times New Roman"/>
          <w:b/>
          <w:bCs/>
        </w:rPr>
      </w:pPr>
    </w:p>
    <w:p w14:paraId="2B6380F3" w14:textId="431469DB" w:rsidR="00293B92" w:rsidRPr="001256EA" w:rsidRDefault="00293B92" w:rsidP="00AD7403">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Figure </w:t>
      </w:r>
      <w:r w:rsidR="00B779F3" w:rsidRPr="001256EA">
        <w:rPr>
          <w:rFonts w:ascii="Times New Roman" w:hAnsi="Times New Roman" w:cs="Times New Roman"/>
          <w:sz w:val="24"/>
          <w:szCs w:val="24"/>
        </w:rPr>
        <w:t>7</w:t>
      </w:r>
      <w:r w:rsidRPr="001256EA">
        <w:rPr>
          <w:rFonts w:ascii="Times New Roman" w:hAnsi="Times New Roman" w:cs="Times New Roman"/>
          <w:sz w:val="24"/>
          <w:szCs w:val="24"/>
        </w:rPr>
        <w:t xml:space="preserve"> presents a comprehensive analytical mapping of the topics extracted from our corpus using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a deep learning-based topic modeling technique. The model initially generated 20 distinct topic clusters based on semantic similarity across article abstracts. Rather than keeping the default numerical topic labels assigned by the algorithm, we conducted a manual thematic interpretation of each cluster. This process involved reading the representative documents associated with each topic and assigning a descriptive label that captures the main legal or ethical issue being addressed</w:t>
      </w:r>
      <w:r w:rsidR="00EA5C5B" w:rsidRPr="001256EA">
        <w:rPr>
          <w:rFonts w:ascii="Times New Roman" w:hAnsi="Times New Roman" w:cs="Times New Roman"/>
          <w:sz w:val="24"/>
          <w:szCs w:val="24"/>
        </w:rPr>
        <w:t>.</w:t>
      </w:r>
    </w:p>
    <w:p w14:paraId="014410AE" w14:textId="63D56180" w:rsidR="00EA5C5B" w:rsidRPr="001256EA" w:rsidRDefault="00EA5C5B" w:rsidP="00AD7403">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These thematically refined topics are displayed in the central column of the figure. On the left, the diagram links each topic to the academic journals in which the related articles were published. This shows how particular journals serve as key platforms for specific legal debates in </w:t>
      </w:r>
      <w:r w:rsidR="0075135C"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literature. For instance, journals such as </w:t>
      </w:r>
      <w:r w:rsidRPr="001256EA">
        <w:rPr>
          <w:rFonts w:ascii="Times New Roman" w:hAnsi="Times New Roman" w:cs="Times New Roman"/>
          <w:i/>
          <w:iCs/>
          <w:sz w:val="24"/>
          <w:szCs w:val="24"/>
        </w:rPr>
        <w:t>Journal of Medical Ethics</w:t>
      </w:r>
      <w:r w:rsidRPr="001256EA">
        <w:rPr>
          <w:rFonts w:ascii="Times New Roman" w:hAnsi="Times New Roman" w:cs="Times New Roman"/>
          <w:sz w:val="24"/>
          <w:szCs w:val="24"/>
        </w:rPr>
        <w:t xml:space="preserve"> appear prominently, reflecting their central role in publishing work on procedural and ethical dimensions of assisted dying. On the right-hand side of the diagram, each topic is further connected to the national or regional context studied in the corresponding articles. This provides insight into the geographical distribution of concerns. Notably, the </w:t>
      </w:r>
      <w:r w:rsidRPr="001256EA">
        <w:rPr>
          <w:rFonts w:ascii="Times New Roman" w:hAnsi="Times New Roman" w:cs="Times New Roman"/>
          <w:i/>
          <w:iCs/>
          <w:sz w:val="24"/>
          <w:szCs w:val="24"/>
        </w:rPr>
        <w:t>Netherlands</w:t>
      </w:r>
      <w:r w:rsidRPr="001256EA">
        <w:rPr>
          <w:rFonts w:ascii="Times New Roman" w:hAnsi="Times New Roman" w:cs="Times New Roman"/>
          <w:sz w:val="24"/>
          <w:szCs w:val="24"/>
        </w:rPr>
        <w:t xml:space="preserve">, </w:t>
      </w:r>
      <w:r w:rsidRPr="001256EA">
        <w:rPr>
          <w:rFonts w:ascii="Times New Roman" w:hAnsi="Times New Roman" w:cs="Times New Roman"/>
          <w:i/>
          <w:iCs/>
          <w:sz w:val="24"/>
          <w:szCs w:val="24"/>
        </w:rPr>
        <w:t>Belgium</w:t>
      </w:r>
      <w:r w:rsidRPr="001256EA">
        <w:rPr>
          <w:rFonts w:ascii="Times New Roman" w:hAnsi="Times New Roman" w:cs="Times New Roman"/>
          <w:sz w:val="24"/>
          <w:szCs w:val="24"/>
        </w:rPr>
        <w:t xml:space="preserve"> and </w:t>
      </w:r>
      <w:r w:rsidRPr="001256EA">
        <w:rPr>
          <w:rFonts w:ascii="Times New Roman" w:hAnsi="Times New Roman" w:cs="Times New Roman"/>
          <w:i/>
          <w:iCs/>
          <w:sz w:val="24"/>
          <w:szCs w:val="24"/>
        </w:rPr>
        <w:t>Spain</w:t>
      </w:r>
      <w:r w:rsidRPr="001256EA">
        <w:rPr>
          <w:rFonts w:ascii="Times New Roman" w:hAnsi="Times New Roman" w:cs="Times New Roman"/>
          <w:sz w:val="24"/>
          <w:szCs w:val="24"/>
        </w:rPr>
        <w:t xml:space="preserve"> </w:t>
      </w:r>
      <w:r w:rsidR="00AD7403" w:rsidRPr="001256EA">
        <w:rPr>
          <w:rFonts w:ascii="Times New Roman" w:hAnsi="Times New Roman" w:cs="Times New Roman"/>
          <w:sz w:val="24"/>
          <w:szCs w:val="24"/>
        </w:rPr>
        <w:t>appear</w:t>
      </w:r>
      <w:r w:rsidRPr="001256EA">
        <w:rPr>
          <w:rFonts w:ascii="Times New Roman" w:hAnsi="Times New Roman" w:cs="Times New Roman"/>
          <w:sz w:val="24"/>
          <w:szCs w:val="24"/>
        </w:rPr>
        <w:t xml:space="preserve"> frequently, given its early legalization of euthanasia and rich regulatory history. Other countries also emerge as significant focal points, often associated with specific ethical controversies or legislative evolutions.  Overall, this figure consolidates three layers of analysis: thematic content, publication venue, and geographical focus. It reveals how academic discourse on euthanasia law is shaped by both institutional channels and national legal frameworks. The structure of the Sankey diagram helps trace the flows of knowledge and legal debate across these interconnected domains.</w:t>
      </w:r>
    </w:p>
    <w:p w14:paraId="08EE4E5A" w14:textId="06207216" w:rsidR="005221A2" w:rsidRPr="001256EA" w:rsidRDefault="00293B92" w:rsidP="007857C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topics identified through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modeling were then manually reorganized into broader research directions. This reclassification helped anchor each topic within recognized subfields of euthanasia law, thereby improving thematic structure and analytical consistency. Through this interpretive process, coherent clusters emerged, reflecting the range of legal, ethical, and procedural questions explored in </w:t>
      </w:r>
      <w:r w:rsidR="0075135C" w:rsidRPr="001256EA">
        <w:rPr>
          <w:rFonts w:ascii="Times New Roman" w:hAnsi="Times New Roman" w:cs="Times New Roman"/>
          <w:sz w:val="24"/>
          <w:szCs w:val="24"/>
        </w:rPr>
        <w:t>literature</w:t>
      </w:r>
      <w:r w:rsidRPr="001256EA">
        <w:rPr>
          <w:rFonts w:ascii="Times New Roman" w:hAnsi="Times New Roman" w:cs="Times New Roman"/>
          <w:sz w:val="24"/>
          <w:szCs w:val="24"/>
        </w:rPr>
        <w:t xml:space="preserve">. These thematic groupings establish a link between content-specific issues and the studies’ aims, legal frameworks, research methods, and key findings. </w:t>
      </w:r>
      <w:r w:rsidR="00122880" w:rsidRPr="001256EA">
        <w:rPr>
          <w:rFonts w:ascii="Times New Roman" w:hAnsi="Times New Roman" w:cs="Times New Roman"/>
          <w:sz w:val="24"/>
          <w:szCs w:val="24"/>
        </w:rPr>
        <w:t>Appendix</w:t>
      </w:r>
      <w:r w:rsidRPr="001256EA">
        <w:rPr>
          <w:rFonts w:ascii="Times New Roman" w:hAnsi="Times New Roman" w:cs="Times New Roman"/>
          <w:sz w:val="24"/>
          <w:szCs w:val="24"/>
        </w:rPr>
        <w:t xml:space="preserve"> </w:t>
      </w:r>
      <w:r w:rsidR="002B5A9C" w:rsidRPr="001256EA">
        <w:rPr>
          <w:rFonts w:ascii="Times New Roman" w:hAnsi="Times New Roman" w:cs="Times New Roman"/>
          <w:sz w:val="24"/>
          <w:szCs w:val="24"/>
        </w:rPr>
        <w:t>2</w:t>
      </w:r>
      <w:r w:rsidRPr="001256EA">
        <w:rPr>
          <w:rFonts w:ascii="Times New Roman" w:hAnsi="Times New Roman" w:cs="Times New Roman"/>
          <w:sz w:val="24"/>
          <w:szCs w:val="24"/>
        </w:rPr>
        <w:t xml:space="preserve"> provides a structured overview of these research axes, connecting each topic to its central normative focus, institutional or geographic setting, and methodological orientation. In addition to illustrating the diversity of scholarly engagement with euthanasia law, the </w:t>
      </w:r>
      <w:r w:rsidR="0010710E" w:rsidRPr="001256EA">
        <w:rPr>
          <w:rFonts w:ascii="Times New Roman" w:hAnsi="Times New Roman" w:cs="Times New Roman"/>
          <w:sz w:val="24"/>
          <w:szCs w:val="24"/>
        </w:rPr>
        <w:t xml:space="preserve">appendix </w:t>
      </w:r>
      <w:r w:rsidRPr="001256EA">
        <w:rPr>
          <w:rFonts w:ascii="Times New Roman" w:hAnsi="Times New Roman" w:cs="Times New Roman"/>
          <w:sz w:val="24"/>
          <w:szCs w:val="24"/>
        </w:rPr>
        <w:t xml:space="preserve">reveals how legal </w:t>
      </w:r>
      <w:proofErr w:type="gramStart"/>
      <w:r w:rsidRPr="001256EA">
        <w:rPr>
          <w:rFonts w:ascii="Times New Roman" w:hAnsi="Times New Roman" w:cs="Times New Roman"/>
          <w:sz w:val="24"/>
          <w:szCs w:val="24"/>
        </w:rPr>
        <w:t>scholarship is</w:t>
      </w:r>
      <w:proofErr w:type="gramEnd"/>
      <w:r w:rsidRPr="001256EA">
        <w:rPr>
          <w:rFonts w:ascii="Times New Roman" w:hAnsi="Times New Roman" w:cs="Times New Roman"/>
          <w:sz w:val="24"/>
          <w:szCs w:val="24"/>
        </w:rPr>
        <w:t xml:space="preserve"> shaped by varying national contexts, disciplinary perspectives, and regulatory constraints.</w:t>
      </w:r>
    </w:p>
    <w:p w14:paraId="4EEE9DA3" w14:textId="5D3F1EA0" w:rsidR="007857CE" w:rsidRPr="001256EA" w:rsidRDefault="007857CE" w:rsidP="007857CE">
      <w:pPr>
        <w:spacing w:after="0" w:line="360" w:lineRule="auto"/>
        <w:jc w:val="both"/>
        <w:rPr>
          <w:rFonts w:ascii="Times New Roman" w:hAnsi="Times New Roman" w:cs="Times New Roman"/>
          <w:sz w:val="24"/>
          <w:szCs w:val="24"/>
        </w:rPr>
      </w:pPr>
      <w:bookmarkStart w:id="22" w:name="_Hlk200231800"/>
      <w:r w:rsidRPr="001256EA">
        <w:rPr>
          <w:rFonts w:ascii="Times New Roman" w:hAnsi="Times New Roman" w:cs="Times New Roman"/>
          <w:b/>
          <w:bCs/>
          <w:noProof/>
        </w:rPr>
        <w:lastRenderedPageBreak/>
        <w:drawing>
          <wp:anchor distT="0" distB="0" distL="114300" distR="114300" simplePos="0" relativeHeight="251662336" behindDoc="0" locked="0" layoutInCell="1" allowOverlap="1" wp14:anchorId="210012D5" wp14:editId="3D5D42DE">
            <wp:simplePos x="0" y="0"/>
            <wp:positionH relativeFrom="margin">
              <wp:align>right</wp:align>
            </wp:positionH>
            <wp:positionV relativeFrom="paragraph">
              <wp:posOffset>545465</wp:posOffset>
            </wp:positionV>
            <wp:extent cx="5723255" cy="49790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255" cy="497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6EA">
        <w:rPr>
          <w:rFonts w:ascii="Times New Roman" w:hAnsi="Times New Roman" w:cs="Times New Roman"/>
          <w:b/>
          <w:bCs/>
          <w:sz w:val="24"/>
          <w:szCs w:val="24"/>
        </w:rPr>
        <w:t>Figure 7.</w:t>
      </w:r>
      <w:r w:rsidRPr="001256EA">
        <w:rPr>
          <w:rFonts w:ascii="Times New Roman" w:hAnsi="Times New Roman" w:cs="Times New Roman"/>
          <w:sz w:val="24"/>
          <w:szCs w:val="24"/>
        </w:rPr>
        <w:t xml:space="preserve"> Thematic allocation of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clusters across journals and national contexts </w:t>
      </w:r>
      <w:r w:rsidRPr="001256EA">
        <w:rPr>
          <w:rFonts w:ascii="Times New Roman" w:eastAsia="Calibri" w:hAnsi="Times New Roman" w:cs="Times New Roman"/>
          <w:sz w:val="24"/>
          <w:szCs w:val="24"/>
        </w:rPr>
        <w:t>(compiled by the author b</w:t>
      </w:r>
      <w:r w:rsidRPr="001256EA">
        <w:rPr>
          <w:rFonts w:ascii="Times New Roman" w:hAnsi="Times New Roman" w:cs="Times New Roman"/>
          <w:sz w:val="24"/>
          <w:szCs w:val="24"/>
        </w:rPr>
        <w:t>ased on the research’s results)</w:t>
      </w:r>
    </w:p>
    <w:p w14:paraId="3AE191AC" w14:textId="056456F1"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research axis encompasses a range of interconnected topics that explore how national legal systems construct, contest, and operationalize euthanasia legislation amid ethical dilemmas and normative tensions. A central topic in this axis is the legal regulation of assisted dying practices, thoroughly examined by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w:t>
      </w:r>
      <w:r w:rsidRPr="001256EA">
        <w:rPr>
          <w:rFonts w:ascii="Times New Roman" w:hAnsi="Times New Roman" w:cs="Times New Roman"/>
          <w:sz w:val="24"/>
          <w:szCs w:val="24"/>
          <w:vertAlign w:val="superscript"/>
        </w:rPr>
        <w:footnoteReference w:id="173"/>
      </w:r>
      <w:r w:rsidRPr="001256EA">
        <w:rPr>
          <w:rFonts w:ascii="Times New Roman" w:hAnsi="Times New Roman" w:cs="Times New Roman"/>
          <w:sz w:val="24"/>
          <w:szCs w:val="24"/>
        </w:rPr>
        <w:t xml:space="preserve">, who conducted a longitudinal study in the Netherlands based on national death registries and physician questionnaires. Their findings underscore the role of legal frameworks in fostering transparency: in 2010, 28% of deaths involved euthanasia or physician-assisted suicide (up from 17% in 2005), and most cases were reported. This trend was accompanied by a decline in life-ending acts without explicit request and a rise in continuous deep sedation, indicating a </w:t>
      </w:r>
      <w:r w:rsidRPr="001256EA">
        <w:rPr>
          <w:rFonts w:ascii="Times New Roman" w:hAnsi="Times New Roman" w:cs="Times New Roman"/>
          <w:sz w:val="24"/>
          <w:szCs w:val="24"/>
        </w:rPr>
        <w:lastRenderedPageBreak/>
        <w:t>shift toward legally regulated and ethically monitored practices. Complementing this, van den Ende</w:t>
      </w:r>
      <w:r w:rsidRPr="001256EA">
        <w:rPr>
          <w:rFonts w:ascii="Times New Roman" w:hAnsi="Times New Roman" w:cs="Times New Roman"/>
          <w:sz w:val="24"/>
          <w:szCs w:val="24"/>
          <w:vertAlign w:val="superscript"/>
        </w:rPr>
        <w:footnoteReference w:id="174"/>
      </w:r>
      <w:r w:rsidRPr="001256EA">
        <w:rPr>
          <w:rFonts w:ascii="Times New Roman" w:hAnsi="Times New Roman" w:cs="Times New Roman"/>
          <w:sz w:val="24"/>
          <w:szCs w:val="24"/>
        </w:rPr>
        <w:t xml:space="preserve"> investigated the consequences of PAD request rejections by the EEC through a prospective follow-up study. Their research highlights the ongoing suffering of patients, 58% of whom had multiple age-related conditions and reveals that 23% died within a year, including by suicide, which raises concerns about the psychological and ethical impact of legal denial and the absence of adequate aftercare mechanisms. </w:t>
      </w:r>
    </w:p>
    <w:p w14:paraId="7A9E5171"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axis also addresses cross-border legal norms on euthanasia, as explored by Bernal &amp; Trejo-Gabriel-Galan</w:t>
      </w:r>
      <w:r w:rsidRPr="001256EA">
        <w:rPr>
          <w:rFonts w:ascii="Times New Roman" w:hAnsi="Times New Roman" w:cs="Times New Roman"/>
          <w:sz w:val="24"/>
          <w:szCs w:val="24"/>
          <w:vertAlign w:val="superscript"/>
        </w:rPr>
        <w:footnoteReference w:id="175"/>
      </w:r>
      <w:r w:rsidRPr="001256EA">
        <w:rPr>
          <w:rFonts w:ascii="Times New Roman" w:hAnsi="Times New Roman" w:cs="Times New Roman"/>
          <w:sz w:val="24"/>
          <w:szCs w:val="24"/>
        </w:rPr>
        <w:t xml:space="preserve"> through a systematic review of 30 studies. They classify international laws into three models: full legalization (euthanasia and assisted suicide, e.g., Netherlands, Belgium and Spain), partial legalization (assisted suicide only, e.g., U.S.), and judicial models (court-regulated, e.g., Switzerland and Germany). They argue that Spain's 2021 legislation aligns structurally with Dutch and Belgian laws, suggesting a convergence in future case profiles. However, such harmonization is not universal. The topic of euthanasia and human rights conflict emerges strongly in the Indonesian context. Kadir et al.</w:t>
      </w:r>
      <w:r w:rsidRPr="001256EA">
        <w:rPr>
          <w:rFonts w:ascii="Times New Roman" w:hAnsi="Times New Roman" w:cs="Times New Roman"/>
          <w:sz w:val="24"/>
          <w:szCs w:val="24"/>
          <w:vertAlign w:val="superscript"/>
        </w:rPr>
        <w:footnoteReference w:id="176"/>
      </w:r>
      <w:r w:rsidRPr="001256EA">
        <w:rPr>
          <w:rFonts w:ascii="Times New Roman" w:hAnsi="Times New Roman" w:cs="Times New Roman"/>
          <w:sz w:val="24"/>
          <w:szCs w:val="24"/>
        </w:rPr>
        <w:t xml:space="preserve"> argue that euthanasia contradicts Indonesia’s Law No. 39 of 1999, which enshrines the right to life as absolute and non-</w:t>
      </w:r>
      <w:proofErr w:type="spellStart"/>
      <w:r w:rsidRPr="001256EA">
        <w:rPr>
          <w:rFonts w:ascii="Times New Roman" w:hAnsi="Times New Roman" w:cs="Times New Roman"/>
          <w:sz w:val="24"/>
          <w:szCs w:val="24"/>
        </w:rPr>
        <w:t>derogable</w:t>
      </w:r>
      <w:proofErr w:type="spellEnd"/>
      <w:r w:rsidRPr="001256EA">
        <w:rPr>
          <w:rFonts w:ascii="Times New Roman" w:hAnsi="Times New Roman" w:cs="Times New Roman"/>
          <w:sz w:val="24"/>
          <w:szCs w:val="24"/>
        </w:rPr>
        <w:t xml:space="preserve"> under any circumstance. Kamri</w:t>
      </w:r>
      <w:r w:rsidRPr="001256EA">
        <w:rPr>
          <w:rFonts w:ascii="Times New Roman" w:hAnsi="Times New Roman" w:cs="Times New Roman"/>
          <w:sz w:val="24"/>
          <w:szCs w:val="24"/>
          <w:vertAlign w:val="superscript"/>
        </w:rPr>
        <w:footnoteReference w:id="177"/>
      </w:r>
      <w:r w:rsidRPr="001256EA">
        <w:rPr>
          <w:rFonts w:ascii="Times New Roman" w:hAnsi="Times New Roman" w:cs="Times New Roman"/>
          <w:sz w:val="24"/>
          <w:szCs w:val="24"/>
        </w:rPr>
        <w:t xml:space="preserve"> adds a religious-legal perspective, demonstrating how Islamic criminal law equates active euthanasia with suicide, thus positioning both state and Sharia frameworks against it. These cases illustrate a fundamental normative incompatibility, where human rights discourses diverge between universalist and religiously grounded interpretations. </w:t>
      </w:r>
    </w:p>
    <w:p w14:paraId="26A753B7"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addressing the topic of judicial scrutiny of end-of-life criteria, Pope &amp; </w:t>
      </w:r>
      <w:proofErr w:type="spellStart"/>
      <w:r w:rsidRPr="001256EA">
        <w:rPr>
          <w:rFonts w:ascii="Times New Roman" w:hAnsi="Times New Roman" w:cs="Times New Roman"/>
          <w:sz w:val="24"/>
          <w:szCs w:val="24"/>
        </w:rPr>
        <w:t>Okninski</w:t>
      </w:r>
      <w:proofErr w:type="spellEnd"/>
      <w:r w:rsidRPr="001256EA">
        <w:rPr>
          <w:rFonts w:ascii="Times New Roman" w:hAnsi="Times New Roman" w:cs="Times New Roman"/>
          <w:sz w:val="24"/>
          <w:szCs w:val="24"/>
          <w:vertAlign w:val="superscript"/>
        </w:rPr>
        <w:footnoteReference w:id="178"/>
      </w:r>
      <w:r w:rsidRPr="001256EA">
        <w:rPr>
          <w:rFonts w:ascii="Times New Roman" w:hAnsi="Times New Roman" w:cs="Times New Roman"/>
          <w:sz w:val="24"/>
          <w:szCs w:val="24"/>
        </w:rPr>
        <w:t xml:space="preserve"> examine inconsistencies between medical and legal definitions of brain death and critique legislative proposals in South Australia for lacking safeguards against undue influence in euthanasia requests. Their normative legal analysis stresses the importance of procedural clarity </w:t>
      </w:r>
      <w:r w:rsidRPr="001256EA">
        <w:rPr>
          <w:rFonts w:ascii="Times New Roman" w:hAnsi="Times New Roman" w:cs="Times New Roman"/>
          <w:sz w:val="24"/>
          <w:szCs w:val="24"/>
        </w:rPr>
        <w:lastRenderedPageBreak/>
        <w:t xml:space="preserve">and evidentiary standards in lawmaking. Meanwhile, </w:t>
      </w:r>
      <w:proofErr w:type="spellStart"/>
      <w:r w:rsidRPr="001256EA">
        <w:rPr>
          <w:rFonts w:ascii="Times New Roman" w:hAnsi="Times New Roman" w:cs="Times New Roman"/>
          <w:sz w:val="24"/>
          <w:szCs w:val="24"/>
        </w:rPr>
        <w:t>Klampfer</w:t>
      </w:r>
      <w:proofErr w:type="spellEnd"/>
      <w:r w:rsidRPr="001256EA">
        <w:rPr>
          <w:rFonts w:ascii="Times New Roman" w:hAnsi="Times New Roman" w:cs="Times New Roman"/>
          <w:sz w:val="24"/>
          <w:szCs w:val="24"/>
          <w:vertAlign w:val="superscript"/>
        </w:rPr>
        <w:footnoteReference w:id="179"/>
      </w:r>
      <w:r w:rsidRPr="001256EA">
        <w:rPr>
          <w:rFonts w:ascii="Times New Roman" w:hAnsi="Times New Roman" w:cs="Times New Roman"/>
          <w:sz w:val="24"/>
          <w:szCs w:val="24"/>
        </w:rPr>
        <w:t xml:space="preserve"> engages with the slippery slope argument against AVE. Drawing from multiple jurisdictions (Netherlands, Belgium, U.S., Switzerland, Luxembourg, Canada, and Australia), he finds no empirical support for fears of uncontrolled expansion. Instead, he argues that prohibiting AVE based on precautionary logic imposes unjustifiable moral costs and fails to respect patient autonomy.</w:t>
      </w:r>
    </w:p>
    <w:p w14:paraId="3C7EB13F" w14:textId="1A84C5E8"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research axis explores the evolving frontiers of euthanasia law, particularly in terms of age, cognitive capacity, psychiatric conditions, and end-of-life preferences. Within the topic of euthanasia law extension to minors, </w:t>
      </w:r>
      <w:proofErr w:type="spellStart"/>
      <w:r w:rsidRPr="001256EA">
        <w:rPr>
          <w:rFonts w:ascii="Times New Roman" w:hAnsi="Times New Roman" w:cs="Times New Roman"/>
          <w:sz w:val="24"/>
          <w:szCs w:val="24"/>
        </w:rPr>
        <w:t>Pousset</w:t>
      </w:r>
      <w:proofErr w:type="spellEnd"/>
      <w:r w:rsidRPr="001256EA">
        <w:rPr>
          <w:rFonts w:ascii="Times New Roman" w:hAnsi="Times New Roman" w:cs="Times New Roman"/>
          <w:sz w:val="24"/>
          <w:szCs w:val="24"/>
          <w:vertAlign w:val="superscript"/>
        </w:rPr>
        <w:footnoteReference w:id="180"/>
      </w:r>
      <w:r w:rsidRPr="001256EA">
        <w:rPr>
          <w:rFonts w:ascii="Times New Roman" w:hAnsi="Times New Roman" w:cs="Times New Roman"/>
          <w:sz w:val="24"/>
          <w:szCs w:val="24"/>
        </w:rPr>
        <w:t xml:space="preserve"> conducted a postmortem physician survey in Belgium revealing that 69% of respondents supported extending euthanasia access to minors, emphasizing the importance of assessing decision-making capacity over chronological age. Similarly, Smets et al.</w:t>
      </w:r>
      <w:r w:rsidRPr="001256EA">
        <w:rPr>
          <w:rFonts w:ascii="Times New Roman" w:hAnsi="Times New Roman" w:cs="Times New Roman"/>
          <w:sz w:val="24"/>
          <w:szCs w:val="24"/>
          <w:vertAlign w:val="superscript"/>
        </w:rPr>
        <w:footnoteReference w:id="181"/>
      </w:r>
      <w:r w:rsidRPr="001256EA">
        <w:rPr>
          <w:rFonts w:ascii="Times New Roman" w:hAnsi="Times New Roman" w:cs="Times New Roman"/>
          <w:sz w:val="24"/>
          <w:szCs w:val="24"/>
        </w:rPr>
        <w:t xml:space="preserve"> found broad physician support for euthanasia under restrictive conditions, with significant predictors including training, religiosity, and regional culture. Van </w:t>
      </w:r>
      <w:proofErr w:type="spellStart"/>
      <w:r w:rsidRPr="001256EA">
        <w:rPr>
          <w:rFonts w:ascii="Times New Roman" w:hAnsi="Times New Roman" w:cs="Times New Roman"/>
          <w:sz w:val="24"/>
          <w:szCs w:val="24"/>
        </w:rPr>
        <w:t>Wesemael</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182"/>
      </w:r>
      <w:r w:rsidRPr="001256EA">
        <w:rPr>
          <w:rFonts w:ascii="Times New Roman" w:hAnsi="Times New Roman" w:cs="Times New Roman"/>
          <w:sz w:val="24"/>
          <w:szCs w:val="24"/>
        </w:rPr>
        <w:t xml:space="preserve"> added that almost half of euthanasia requests were granted, while refusals or withdrawals were often linked to both physician attitudes and patient characteristics, showing how practice remains contingent on interpersonal and institutional dynamics. </w:t>
      </w:r>
    </w:p>
    <w:p w14:paraId="636283A5"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legislative process leading to minor consent in assisted dying law was critically examined by Raus</w:t>
      </w:r>
      <w:r w:rsidRPr="001256EA">
        <w:rPr>
          <w:rFonts w:ascii="Times New Roman" w:hAnsi="Times New Roman" w:cs="Times New Roman"/>
          <w:sz w:val="24"/>
          <w:szCs w:val="24"/>
          <w:vertAlign w:val="superscript"/>
        </w:rPr>
        <w:footnoteReference w:id="183"/>
      </w:r>
      <w:r w:rsidRPr="001256EA">
        <w:rPr>
          <w:rFonts w:ascii="Times New Roman" w:hAnsi="Times New Roman" w:cs="Times New Roman"/>
          <w:sz w:val="24"/>
          <w:szCs w:val="24"/>
        </w:rPr>
        <w:t xml:space="preserve">, who analyzed Belgium’s 2014 amendment enabling euthanasia for minors with discernment capacity. Although this law was globally significant, Raus noted the presence of ethically questionable arguments in the parliamentary debate and described the amendment as less radical than previous proposals, highlighting how legislative change may be both symbolically and practically incremental. As boundaries continue to shift, the topic of euthanasia eligibility in dementia cases has become a pressing concern. Van </w:t>
      </w:r>
      <w:proofErr w:type="spellStart"/>
      <w:r w:rsidRPr="001256EA">
        <w:rPr>
          <w:rFonts w:ascii="Times New Roman" w:hAnsi="Times New Roman" w:cs="Times New Roman"/>
          <w:sz w:val="24"/>
          <w:szCs w:val="24"/>
        </w:rPr>
        <w:t>Rickstal</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184"/>
      </w:r>
      <w:r w:rsidRPr="001256EA">
        <w:rPr>
          <w:rFonts w:ascii="Times New Roman" w:hAnsi="Times New Roman" w:cs="Times New Roman"/>
          <w:sz w:val="24"/>
          <w:szCs w:val="24"/>
        </w:rPr>
        <w:t xml:space="preserve">  conducted interviews with young-onset dementia patients and caregivers, showing that </w:t>
      </w:r>
      <w:r w:rsidRPr="001256EA">
        <w:rPr>
          <w:rFonts w:ascii="Times New Roman" w:hAnsi="Times New Roman" w:cs="Times New Roman"/>
          <w:sz w:val="24"/>
          <w:szCs w:val="24"/>
        </w:rPr>
        <w:lastRenderedPageBreak/>
        <w:t xml:space="preserve">euthanasia discussions are often triggered by fear of future decline and suffering. This emotional and anticipatory logic is mirrored in </w:t>
      </w:r>
      <w:proofErr w:type="spellStart"/>
      <w:r w:rsidRPr="001256EA">
        <w:rPr>
          <w:rFonts w:ascii="Times New Roman" w:hAnsi="Times New Roman" w:cs="Times New Roman"/>
          <w:sz w:val="24"/>
          <w:szCs w:val="24"/>
        </w:rPr>
        <w:t>Cleemput</w:t>
      </w:r>
      <w:proofErr w:type="spellEnd"/>
      <w:r w:rsidRPr="001256EA">
        <w:rPr>
          <w:rFonts w:ascii="Times New Roman" w:hAnsi="Times New Roman" w:cs="Times New Roman"/>
          <w:sz w:val="24"/>
          <w:szCs w:val="24"/>
        </w:rPr>
        <w:t xml:space="preserve"> &amp; </w:t>
      </w:r>
      <w:proofErr w:type="spellStart"/>
      <w:r w:rsidRPr="001256EA">
        <w:rPr>
          <w:rFonts w:ascii="Times New Roman" w:hAnsi="Times New Roman" w:cs="Times New Roman"/>
          <w:sz w:val="24"/>
          <w:szCs w:val="24"/>
        </w:rPr>
        <w:t>Schoenmakers</w:t>
      </w:r>
      <w:proofErr w:type="spellEnd"/>
      <w:r w:rsidRPr="001256EA">
        <w:rPr>
          <w:rFonts w:ascii="Times New Roman" w:hAnsi="Times New Roman" w:cs="Times New Roman"/>
          <w:sz w:val="24"/>
          <w:szCs w:val="24"/>
          <w:vertAlign w:val="superscript"/>
        </w:rPr>
        <w:footnoteReference w:id="185"/>
      </w:r>
      <w:r w:rsidRPr="001256EA">
        <w:rPr>
          <w:rFonts w:ascii="Times New Roman" w:hAnsi="Times New Roman" w:cs="Times New Roman"/>
          <w:sz w:val="24"/>
          <w:szCs w:val="24"/>
        </w:rPr>
        <w:t>, who found that Flemish GPs show greater support for euthanasia when dementia is accompanied by comorbidities, while remaining cautious about familial pressure. Dierickx et al.</w:t>
      </w:r>
      <w:r w:rsidRPr="001256EA">
        <w:rPr>
          <w:rFonts w:ascii="Times New Roman" w:hAnsi="Times New Roman" w:cs="Times New Roman"/>
          <w:sz w:val="24"/>
          <w:szCs w:val="24"/>
          <w:vertAlign w:val="superscript"/>
        </w:rPr>
        <w:footnoteReference w:id="186"/>
      </w:r>
      <w:r w:rsidRPr="001256EA">
        <w:rPr>
          <w:rFonts w:ascii="Times New Roman" w:hAnsi="Times New Roman" w:cs="Times New Roman"/>
          <w:sz w:val="24"/>
          <w:szCs w:val="24"/>
        </w:rPr>
        <w:t xml:space="preserve"> further documented the growing number of approved cases involving psychiatric or dementia diagnoses in Belgium, rising from 0.5% to 3% between 2002 and 2013, signaling a need for clearer clinical guidelines and societal dialogue. </w:t>
      </w:r>
    </w:p>
    <w:p w14:paraId="55612EE7"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Despite these expansions, dementia-related euthanasia uncertainty remains a challenge. de Boer et al.</w:t>
      </w:r>
      <w:r w:rsidRPr="001256EA">
        <w:rPr>
          <w:rFonts w:ascii="Times New Roman" w:hAnsi="Times New Roman" w:cs="Times New Roman"/>
          <w:sz w:val="24"/>
          <w:szCs w:val="24"/>
          <w:vertAlign w:val="superscript"/>
        </w:rPr>
        <w:footnoteReference w:id="187"/>
      </w:r>
      <w:r w:rsidRPr="001256EA">
        <w:rPr>
          <w:rFonts w:ascii="Times New Roman" w:hAnsi="Times New Roman" w:cs="Times New Roman"/>
          <w:sz w:val="24"/>
          <w:szCs w:val="24"/>
        </w:rPr>
        <w:t xml:space="preserve"> found that Dutch physicians rarely perform euthanasia based on advance directives in patients with severe dementia, citing practical and ethical dilemmas in assessing suffering and consent. This uncertainty is amplified in Miller et al.</w:t>
      </w:r>
      <w:r w:rsidRPr="001256EA">
        <w:rPr>
          <w:rFonts w:ascii="Times New Roman" w:hAnsi="Times New Roman" w:cs="Times New Roman"/>
          <w:sz w:val="24"/>
          <w:szCs w:val="24"/>
          <w:vertAlign w:val="superscript"/>
        </w:rPr>
        <w:footnoteReference w:id="188"/>
      </w:r>
      <w:r w:rsidRPr="001256EA">
        <w:rPr>
          <w:rFonts w:ascii="Times New Roman" w:hAnsi="Times New Roman" w:cs="Times New Roman"/>
          <w:sz w:val="24"/>
          <w:szCs w:val="24"/>
        </w:rPr>
        <w:t xml:space="preserve">, who analyzed a controversial Dutch case involving an Alzheimer’s patient, leading to a criminal investigation overdue care violation. Both studies underscore the fragile boundary between legal authorization and moral comfort in cases lacking patient communication. Debates about the boundaries of euthanasia law also persist in other domains. Verhagen &amp; </w:t>
      </w:r>
      <w:proofErr w:type="spellStart"/>
      <w:r w:rsidRPr="001256EA">
        <w:rPr>
          <w:rFonts w:ascii="Times New Roman" w:hAnsi="Times New Roman" w:cs="Times New Roman"/>
          <w:sz w:val="24"/>
          <w:szCs w:val="24"/>
        </w:rPr>
        <w:t>Buijsen</w:t>
      </w:r>
      <w:proofErr w:type="spellEnd"/>
      <w:r w:rsidRPr="001256EA">
        <w:rPr>
          <w:rFonts w:ascii="Times New Roman" w:hAnsi="Times New Roman" w:cs="Times New Roman"/>
          <w:sz w:val="24"/>
          <w:szCs w:val="24"/>
          <w:vertAlign w:val="superscript"/>
        </w:rPr>
        <w:footnoteReference w:id="189"/>
      </w:r>
      <w:r w:rsidRPr="001256EA">
        <w:rPr>
          <w:rFonts w:ascii="Times New Roman" w:hAnsi="Times New Roman" w:cs="Times New Roman"/>
          <w:sz w:val="24"/>
          <w:szCs w:val="24"/>
        </w:rPr>
        <w:t xml:space="preserve"> present contrasting professional positions regarding euthanasia for children under 12 in the Netherlands: one advocating for cautious expansion grounded in pediatric care, the other warning against juridical overreach. Likewise, Gramm</w:t>
      </w:r>
      <w:r w:rsidRPr="001256EA">
        <w:rPr>
          <w:rFonts w:ascii="Times New Roman" w:hAnsi="Times New Roman" w:cs="Times New Roman"/>
          <w:sz w:val="24"/>
          <w:szCs w:val="24"/>
          <w:vertAlign w:val="superscript"/>
        </w:rPr>
        <w:footnoteReference w:id="190"/>
      </w:r>
      <w:r w:rsidRPr="001256EA">
        <w:rPr>
          <w:rFonts w:ascii="Times New Roman" w:hAnsi="Times New Roman" w:cs="Times New Roman"/>
          <w:sz w:val="24"/>
          <w:szCs w:val="24"/>
        </w:rPr>
        <w:t xml:space="preserve"> discusses the German context, where recent palliative care reforms coexist with a highly restrictive stance on euthanasia, raising questions about how legal frameworks influence care delivery. Finally, </w:t>
      </w:r>
      <w:proofErr w:type="spellStart"/>
      <w:r w:rsidRPr="001256EA">
        <w:rPr>
          <w:rFonts w:ascii="Times New Roman" w:hAnsi="Times New Roman" w:cs="Times New Roman"/>
          <w:sz w:val="24"/>
          <w:szCs w:val="24"/>
        </w:rPr>
        <w:t>Raijmakers</w:t>
      </w:r>
      <w:proofErr w:type="spellEnd"/>
      <w:r w:rsidRPr="001256EA">
        <w:rPr>
          <w:rFonts w:ascii="Times New Roman" w:hAnsi="Times New Roman" w:cs="Times New Roman"/>
          <w:sz w:val="24"/>
          <w:szCs w:val="24"/>
          <w:vertAlign w:val="superscript"/>
        </w:rPr>
        <w:footnoteReference w:id="191"/>
      </w:r>
      <w:r w:rsidRPr="001256EA">
        <w:rPr>
          <w:rFonts w:ascii="Times New Roman" w:hAnsi="Times New Roman" w:cs="Times New Roman"/>
          <w:sz w:val="24"/>
          <w:szCs w:val="24"/>
        </w:rPr>
        <w:t xml:space="preserve"> tackled the controversial notion of assisted death for older adults "tired of life" without terminal illness. In a Dutch survey, 26% of respondents supported this option, especially among those valuing </w:t>
      </w:r>
      <w:r w:rsidRPr="001256EA">
        <w:rPr>
          <w:rFonts w:ascii="Times New Roman" w:hAnsi="Times New Roman" w:cs="Times New Roman"/>
          <w:sz w:val="24"/>
          <w:szCs w:val="24"/>
        </w:rPr>
        <w:lastRenderedPageBreak/>
        <w:t>autonomy and holding low institutional trust, suggesting a growing demand to accommodate existential suffering in legal debates.</w:t>
      </w:r>
    </w:p>
    <w:p w14:paraId="200D8BE5"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research axis critically investigates the gap between euthanasia law on paper and its complex, inconsistent implementation in practice. The topic of misapplication of euthanasia law is evident in Smets et al.</w:t>
      </w:r>
      <w:r w:rsidRPr="001256EA">
        <w:rPr>
          <w:rFonts w:ascii="Times New Roman" w:hAnsi="Times New Roman" w:cs="Times New Roman"/>
          <w:sz w:val="24"/>
          <w:szCs w:val="24"/>
          <w:vertAlign w:val="superscript"/>
        </w:rPr>
        <w:footnoteReference w:id="192"/>
      </w:r>
      <w:r w:rsidRPr="001256EA">
        <w:rPr>
          <w:rFonts w:ascii="Times New Roman" w:hAnsi="Times New Roman" w:cs="Times New Roman"/>
          <w:sz w:val="24"/>
          <w:szCs w:val="24"/>
        </w:rPr>
        <w:t>, who found substantial confusion among Belgian physicians in labeling and reporting euthanasia across five hypothetical cases, with knowledge and attitude significantly affecting accuracy. Similarly, Sercu et al.</w:t>
      </w:r>
      <w:r w:rsidRPr="001256EA">
        <w:rPr>
          <w:rFonts w:ascii="Times New Roman" w:hAnsi="Times New Roman" w:cs="Times New Roman"/>
          <w:sz w:val="24"/>
          <w:szCs w:val="24"/>
          <w:vertAlign w:val="superscript"/>
        </w:rPr>
        <w:footnoteReference w:id="193"/>
      </w:r>
      <w:r w:rsidRPr="001256EA">
        <w:rPr>
          <w:rFonts w:ascii="Times New Roman" w:hAnsi="Times New Roman" w:cs="Times New Roman"/>
          <w:sz w:val="24"/>
          <w:szCs w:val="24"/>
        </w:rPr>
        <w:t xml:space="preserve"> identified four typologies of GPs in Flanders based on their willingness to perform euthanasia, underlining the role of personal ethics and the need for robust referral systems. The topic extends into psychiatric care: </w:t>
      </w:r>
      <w:proofErr w:type="spellStart"/>
      <w:r w:rsidRPr="001256EA">
        <w:rPr>
          <w:rFonts w:ascii="Times New Roman" w:hAnsi="Times New Roman" w:cs="Times New Roman"/>
          <w:sz w:val="24"/>
          <w:szCs w:val="24"/>
        </w:rPr>
        <w:t>Verhofstadt</w:t>
      </w:r>
      <w:proofErr w:type="spellEnd"/>
      <w:r w:rsidRPr="001256EA">
        <w:rPr>
          <w:rFonts w:ascii="Times New Roman" w:hAnsi="Times New Roman" w:cs="Times New Roman"/>
          <w:sz w:val="24"/>
          <w:szCs w:val="24"/>
          <w:vertAlign w:val="superscript"/>
        </w:rPr>
        <w:footnoteReference w:id="194"/>
      </w:r>
      <w:r w:rsidRPr="001256EA">
        <w:rPr>
          <w:rFonts w:ascii="Times New Roman" w:hAnsi="Times New Roman" w:cs="Times New Roman"/>
          <w:sz w:val="24"/>
          <w:szCs w:val="24"/>
        </w:rPr>
        <w:t xml:space="preserve"> revealed a lack of consensus among mental healthcare workers in Belgium on the criteria of unbearable suffering, stressing the need for clear, context-sensitive guidelines. The public dimension of misapplication is addressed by De Hert et al.</w:t>
      </w:r>
      <w:r w:rsidRPr="001256EA">
        <w:rPr>
          <w:rFonts w:ascii="Times New Roman" w:hAnsi="Times New Roman" w:cs="Times New Roman"/>
          <w:sz w:val="24"/>
          <w:szCs w:val="24"/>
          <w:vertAlign w:val="superscript"/>
        </w:rPr>
        <w:footnoteReference w:id="195"/>
      </w:r>
      <w:r w:rsidRPr="001256EA">
        <w:rPr>
          <w:rFonts w:ascii="Times New Roman" w:hAnsi="Times New Roman" w:cs="Times New Roman"/>
          <w:sz w:val="24"/>
          <w:szCs w:val="24"/>
        </w:rPr>
        <w:t xml:space="preserve">, who analyzed media coverage of a controversial psychiatric euthanasia case, revealing subtle ideological divides despite an overall neutral tone. In a broader legal-philosophical analysis, </w:t>
      </w:r>
      <w:proofErr w:type="spellStart"/>
      <w:r w:rsidRPr="001256EA">
        <w:rPr>
          <w:rFonts w:ascii="Times New Roman" w:hAnsi="Times New Roman" w:cs="Times New Roman"/>
          <w:sz w:val="24"/>
          <w:szCs w:val="24"/>
        </w:rPr>
        <w:t>Genicot</w:t>
      </w:r>
      <w:proofErr w:type="spellEnd"/>
      <w:r w:rsidRPr="001256EA">
        <w:rPr>
          <w:rFonts w:ascii="Times New Roman" w:hAnsi="Times New Roman" w:cs="Times New Roman"/>
          <w:sz w:val="24"/>
          <w:szCs w:val="24"/>
          <w:vertAlign w:val="superscript"/>
        </w:rPr>
        <w:footnoteReference w:id="196"/>
      </w:r>
      <w:r w:rsidRPr="001256EA">
        <w:rPr>
          <w:rFonts w:ascii="Times New Roman" w:hAnsi="Times New Roman" w:cs="Times New Roman"/>
          <w:sz w:val="24"/>
          <w:szCs w:val="24"/>
        </w:rPr>
        <w:t xml:space="preserve"> argued that Belgian euthanasia law centers patient autonomy as a therapeutic right, though societal consensus remains fragile. Meanwhile, </w:t>
      </w:r>
      <w:proofErr w:type="spellStart"/>
      <w:r w:rsidRPr="001256EA">
        <w:rPr>
          <w:rFonts w:ascii="Times New Roman" w:hAnsi="Times New Roman" w:cs="Times New Roman"/>
          <w:sz w:val="24"/>
          <w:szCs w:val="24"/>
        </w:rPr>
        <w:t>Nutte</w:t>
      </w:r>
      <w:proofErr w:type="spellEnd"/>
      <w:r w:rsidRPr="001256EA">
        <w:rPr>
          <w:rFonts w:ascii="Times New Roman" w:hAnsi="Times New Roman" w:cs="Times New Roman"/>
          <w:sz w:val="24"/>
          <w:szCs w:val="24"/>
          <w:vertAlign w:val="superscript"/>
        </w:rPr>
        <w:footnoteReference w:id="197"/>
      </w:r>
      <w:r w:rsidRPr="001256EA">
        <w:rPr>
          <w:rFonts w:ascii="Times New Roman" w:hAnsi="Times New Roman" w:cs="Times New Roman"/>
          <w:sz w:val="24"/>
          <w:szCs w:val="24"/>
        </w:rPr>
        <w:t xml:space="preserve"> traced how early 20th-century Belgian newspapers reflected social ambivalence toward euthanasia before advocacy groups emerged. A more targeted critique is provided by De Hert et al.</w:t>
      </w:r>
      <w:r w:rsidRPr="001256EA">
        <w:rPr>
          <w:rFonts w:ascii="Times New Roman" w:hAnsi="Times New Roman" w:cs="Times New Roman"/>
          <w:sz w:val="24"/>
          <w:szCs w:val="24"/>
          <w:vertAlign w:val="superscript"/>
        </w:rPr>
        <w:footnoteReference w:id="198"/>
      </w:r>
      <w:r w:rsidRPr="001256EA">
        <w:rPr>
          <w:rFonts w:ascii="Times New Roman" w:hAnsi="Times New Roman" w:cs="Times New Roman"/>
          <w:sz w:val="24"/>
          <w:szCs w:val="24"/>
        </w:rPr>
        <w:t xml:space="preserve">, who analyzed a failed psychiatric euthanasia case and concluded that Belgium’s control system lacks sufficient psychiatric </w:t>
      </w:r>
      <w:r w:rsidRPr="001256EA">
        <w:rPr>
          <w:rFonts w:ascii="Times New Roman" w:hAnsi="Times New Roman" w:cs="Times New Roman"/>
          <w:sz w:val="24"/>
          <w:szCs w:val="24"/>
        </w:rPr>
        <w:lastRenderedPageBreak/>
        <w:t xml:space="preserve">expertise and procedural rigor. </w:t>
      </w:r>
      <w:proofErr w:type="spellStart"/>
      <w:r w:rsidRPr="001256EA">
        <w:rPr>
          <w:rFonts w:ascii="Times New Roman" w:hAnsi="Times New Roman" w:cs="Times New Roman"/>
          <w:sz w:val="24"/>
          <w:szCs w:val="24"/>
        </w:rPr>
        <w:t>Schweitser</w:t>
      </w:r>
      <w:proofErr w:type="spellEnd"/>
      <w:r w:rsidRPr="001256EA">
        <w:rPr>
          <w:rFonts w:ascii="Times New Roman" w:hAnsi="Times New Roman" w:cs="Times New Roman"/>
          <w:sz w:val="24"/>
          <w:szCs w:val="24"/>
          <w:vertAlign w:val="superscript"/>
        </w:rPr>
        <w:footnoteReference w:id="199"/>
      </w:r>
      <w:r w:rsidRPr="001256EA">
        <w:rPr>
          <w:rFonts w:ascii="Times New Roman" w:hAnsi="Times New Roman" w:cs="Times New Roman"/>
          <w:sz w:val="24"/>
          <w:szCs w:val="24"/>
        </w:rPr>
        <w:t xml:space="preserve"> complemented this by unpacking the ethical tension between individual autonomy and familial involvement, arguing that kinship dynamics can obscure or undermine the patient’s voice.  </w:t>
      </w:r>
    </w:p>
    <w:p w14:paraId="42BC8CA9"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topic of euthanasia law misinterpretation also highlights conceptual ambiguities. </w:t>
      </w:r>
      <w:proofErr w:type="spellStart"/>
      <w:r w:rsidRPr="001256EA">
        <w:rPr>
          <w:rFonts w:ascii="Times New Roman" w:hAnsi="Times New Roman" w:cs="Times New Roman"/>
          <w:sz w:val="24"/>
          <w:szCs w:val="24"/>
        </w:rPr>
        <w:t>Kimsma</w:t>
      </w:r>
      <w:proofErr w:type="spellEnd"/>
      <w:r w:rsidRPr="001256EA">
        <w:rPr>
          <w:rFonts w:ascii="Times New Roman" w:hAnsi="Times New Roman" w:cs="Times New Roman"/>
          <w:sz w:val="24"/>
          <w:szCs w:val="24"/>
          <w:vertAlign w:val="superscript"/>
        </w:rPr>
        <w:footnoteReference w:id="200"/>
      </w:r>
      <w:r w:rsidRPr="001256EA">
        <w:rPr>
          <w:rFonts w:ascii="Times New Roman" w:hAnsi="Times New Roman" w:cs="Times New Roman"/>
          <w:sz w:val="24"/>
          <w:szCs w:val="24"/>
        </w:rPr>
        <w:t xml:space="preserve"> reflects on the Dutch context, questioning how authenticity and suffering are assessed and experienced by physicians and families. His philosophical approach reveals that even in legally structured environments, emotional and existential uncertainties persist. </w:t>
      </w:r>
      <w:proofErr w:type="spellStart"/>
      <w:r w:rsidRPr="001256EA">
        <w:rPr>
          <w:rFonts w:ascii="Times New Roman" w:hAnsi="Times New Roman" w:cs="Times New Roman"/>
          <w:sz w:val="24"/>
          <w:szCs w:val="24"/>
        </w:rPr>
        <w:t>Rietjens</w:t>
      </w:r>
      <w:proofErr w:type="spellEnd"/>
      <w:r w:rsidRPr="001256EA">
        <w:rPr>
          <w:rFonts w:ascii="Times New Roman" w:hAnsi="Times New Roman" w:cs="Times New Roman"/>
          <w:sz w:val="24"/>
          <w:szCs w:val="24"/>
          <w:vertAlign w:val="superscript"/>
        </w:rPr>
        <w:footnoteReference w:id="201"/>
      </w:r>
      <w:r w:rsidRPr="001256EA">
        <w:rPr>
          <w:rFonts w:ascii="Times New Roman" w:hAnsi="Times New Roman" w:cs="Times New Roman"/>
          <w:sz w:val="24"/>
          <w:szCs w:val="24"/>
        </w:rPr>
        <w:t xml:space="preserve"> extended this critique through a content analysis of Dutch newspapers, showing that euthanasia is often used beyond its legal scope, including in cases of treatment withdrawal or non-terminal suffering. They document a rich, ongoing public debate polarized between autonomy advocates and those emphasizing protection for the vulnerable.  </w:t>
      </w:r>
    </w:p>
    <w:p w14:paraId="566CF946" w14:textId="6D487EB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topic of unauthorized life-ending acts is exemplified in Riou</w:t>
      </w:r>
      <w:r w:rsidRPr="001256EA">
        <w:rPr>
          <w:rFonts w:ascii="Times New Roman" w:hAnsi="Times New Roman" w:cs="Times New Roman"/>
          <w:sz w:val="24"/>
          <w:szCs w:val="24"/>
          <w:vertAlign w:val="superscript"/>
        </w:rPr>
        <w:footnoteReference w:id="202"/>
      </w:r>
      <w:r w:rsidRPr="001256EA">
        <w:rPr>
          <w:rFonts w:ascii="Times New Roman" w:hAnsi="Times New Roman" w:cs="Times New Roman"/>
          <w:sz w:val="24"/>
          <w:szCs w:val="24"/>
        </w:rPr>
        <w:t xml:space="preserve">, who contrasted French and Belgian practices and found that many French acts of life-ending occurred without legal grounding or adequate patient communication. In Belgium, </w:t>
      </w:r>
      <w:proofErr w:type="spellStart"/>
      <w:r w:rsidRPr="001256EA">
        <w:rPr>
          <w:rFonts w:ascii="Times New Roman" w:hAnsi="Times New Roman" w:cs="Times New Roman"/>
          <w:sz w:val="24"/>
        </w:rPr>
        <w:t>Chambaere</w:t>
      </w:r>
      <w:proofErr w:type="spellEnd"/>
      <w:r w:rsidRPr="001256EA">
        <w:rPr>
          <w:rFonts w:ascii="Times New Roman" w:hAnsi="Times New Roman" w:cs="Times New Roman"/>
          <w:sz w:val="24"/>
        </w:rPr>
        <w:t xml:space="preserve"> et al.</w:t>
      </w:r>
      <w:r w:rsidRPr="001256EA">
        <w:rPr>
          <w:rFonts w:ascii="Times New Roman" w:hAnsi="Times New Roman" w:cs="Times New Roman"/>
          <w:sz w:val="24"/>
          <w:vertAlign w:val="superscript"/>
        </w:rPr>
        <w:footnoteReference w:id="203"/>
      </w:r>
      <w:r w:rsidRPr="001256EA">
        <w:rPr>
          <w:rFonts w:ascii="Times New Roman" w:hAnsi="Times New Roman" w:cs="Times New Roman"/>
          <w:sz w:val="24"/>
          <w:szCs w:val="24"/>
        </w:rPr>
        <w:t xml:space="preserve"> provided strong empirical evidence on the post-legalization evolution of end-of-life practices. They found decreasing instances of life-ending acts without explicit </w:t>
      </w:r>
      <w:r w:rsidR="00ED3976" w:rsidRPr="001256EA">
        <w:rPr>
          <w:rFonts w:ascii="Times New Roman" w:hAnsi="Times New Roman" w:cs="Times New Roman"/>
          <w:sz w:val="24"/>
          <w:szCs w:val="24"/>
        </w:rPr>
        <w:t>requests</w:t>
      </w:r>
      <w:r w:rsidRPr="001256EA">
        <w:rPr>
          <w:rFonts w:ascii="Times New Roman" w:hAnsi="Times New Roman" w:cs="Times New Roman"/>
          <w:sz w:val="24"/>
          <w:szCs w:val="24"/>
        </w:rPr>
        <w:t xml:space="preserve"> and increased patient involvement and peer consultation. However, their data also revealed that older patients were less involved in decision-making and that a significant portion of euthanasia acts lacked proper documentation or discussion, particularly among the very elderly.</w:t>
      </w:r>
    </w:p>
    <w:p w14:paraId="70E6879C" w14:textId="189FBC73" w:rsidR="00820DF8" w:rsidRPr="00B1409C" w:rsidRDefault="00820DF8" w:rsidP="00820DF8">
      <w:pPr>
        <w:tabs>
          <w:tab w:val="left" w:pos="940"/>
        </w:tabs>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lastRenderedPageBreak/>
        <w:t>As Basile &amp; De Nina</w:t>
      </w:r>
      <w:r w:rsidRPr="00A615D8">
        <w:rPr>
          <w:rFonts w:ascii="Times New Roman" w:hAnsi="Times New Roman" w:cs="Times New Roman"/>
          <w:sz w:val="24"/>
          <w:szCs w:val="24"/>
          <w:vertAlign w:val="superscript"/>
        </w:rPr>
        <w:footnoteReference w:id="204"/>
      </w:r>
      <w:r w:rsidRPr="00A615D8">
        <w:rPr>
          <w:rFonts w:ascii="Times New Roman" w:hAnsi="Times New Roman" w:cs="Times New Roman"/>
          <w:sz w:val="24"/>
          <w:szCs w:val="24"/>
        </w:rPr>
        <w:t xml:space="preserve"> underline, advancing medical law is critical to reducing legal uncertainty and mitigating the broader social risks surrounding end-of-life decisions. In this regard, Ali &amp; Pagala</w:t>
      </w:r>
      <w:r w:rsidRPr="00A615D8">
        <w:rPr>
          <w:rFonts w:ascii="Times New Roman" w:hAnsi="Times New Roman" w:cs="Times New Roman"/>
          <w:sz w:val="24"/>
          <w:szCs w:val="24"/>
          <w:vertAlign w:val="superscript"/>
        </w:rPr>
        <w:footnoteReference w:id="205"/>
      </w:r>
      <w:r w:rsidRPr="00A615D8">
        <w:rPr>
          <w:rFonts w:ascii="Times New Roman" w:hAnsi="Times New Roman" w:cs="Times New Roman"/>
          <w:sz w:val="24"/>
          <w:szCs w:val="24"/>
        </w:rPr>
        <w:t xml:space="preserve"> stress the importance of comparative legal analysis, while Čović</w:t>
      </w:r>
      <w:r w:rsidRPr="00A615D8">
        <w:rPr>
          <w:rFonts w:ascii="Times New Roman" w:hAnsi="Times New Roman" w:cs="Times New Roman"/>
          <w:sz w:val="24"/>
          <w:szCs w:val="24"/>
          <w:vertAlign w:val="superscript"/>
        </w:rPr>
        <w:footnoteReference w:id="206"/>
      </w:r>
      <w:r w:rsidRPr="00A615D8">
        <w:rPr>
          <w:rFonts w:ascii="Times New Roman" w:hAnsi="Times New Roman" w:cs="Times New Roman"/>
          <w:sz w:val="24"/>
          <w:szCs w:val="24"/>
        </w:rPr>
        <w:t xml:space="preserve"> insists on embedding palliative care as a core element of legal frameworks to protect human dignity. While the Netherlands and Belgium have developed robust and transparent models that emphasize procedural safeguards and physician accountability</w:t>
      </w:r>
      <w:r w:rsidRPr="00A615D8">
        <w:rPr>
          <w:rFonts w:ascii="Times New Roman" w:hAnsi="Times New Roman" w:cs="Times New Roman"/>
          <w:sz w:val="24"/>
          <w:szCs w:val="24"/>
          <w:vertAlign w:val="superscript"/>
        </w:rPr>
        <w:footnoteReference w:id="207"/>
      </w:r>
      <w:r w:rsidRPr="00A615D8">
        <w:rPr>
          <w:rFonts w:ascii="Times New Roman" w:hAnsi="Times New Roman" w:cs="Times New Roman"/>
          <w:sz w:val="24"/>
          <w:szCs w:val="24"/>
        </w:rPr>
        <w:t>, other jurisdictions adopt more restrictive stances. Spain, with its 2021 euthanasia law, structurally mirrors the Dutch and Belgian models</w:t>
      </w:r>
      <w:r w:rsidRPr="00A615D8">
        <w:rPr>
          <w:rFonts w:ascii="Times New Roman" w:hAnsi="Times New Roman" w:cs="Times New Roman"/>
          <w:sz w:val="24"/>
          <w:szCs w:val="24"/>
          <w:vertAlign w:val="superscript"/>
        </w:rPr>
        <w:footnoteReference w:id="208"/>
      </w:r>
      <w:r w:rsidRPr="00A615D8">
        <w:rPr>
          <w:rFonts w:ascii="Times New Roman" w:hAnsi="Times New Roman" w:cs="Times New Roman"/>
          <w:sz w:val="24"/>
          <w:szCs w:val="24"/>
        </w:rPr>
        <w:t>, suggesting a growing convergence in regulatory design and eligibility principles. In stark contrast, Indonesia categorically prohibits euthanasia by invoking the inviolability of life enshrined in Law No. 39 of 1999</w:t>
      </w:r>
      <w:r w:rsidRPr="00A615D8">
        <w:rPr>
          <w:rFonts w:ascii="Times New Roman" w:hAnsi="Times New Roman" w:cs="Times New Roman"/>
          <w:sz w:val="24"/>
          <w:szCs w:val="24"/>
          <w:vertAlign w:val="superscript"/>
        </w:rPr>
        <w:footnoteReference w:id="209"/>
      </w:r>
      <w:r w:rsidRPr="00A615D8">
        <w:rPr>
          <w:rFonts w:ascii="Times New Roman" w:hAnsi="Times New Roman" w:cs="Times New Roman"/>
          <w:sz w:val="24"/>
          <w:szCs w:val="24"/>
        </w:rPr>
        <w:t>, a position further supported by Islamic legal doctrines that equate active euthanasia with suicide</w:t>
      </w:r>
      <w:r w:rsidRPr="00A615D8">
        <w:rPr>
          <w:rFonts w:ascii="Times New Roman" w:hAnsi="Times New Roman" w:cs="Times New Roman"/>
          <w:sz w:val="24"/>
          <w:szCs w:val="24"/>
          <w:vertAlign w:val="superscript"/>
        </w:rPr>
        <w:footnoteReference w:id="210"/>
      </w:r>
      <w:r w:rsidRPr="00A615D8">
        <w:rPr>
          <w:rFonts w:ascii="Times New Roman" w:hAnsi="Times New Roman" w:cs="Times New Roman"/>
          <w:sz w:val="24"/>
          <w:szCs w:val="24"/>
        </w:rPr>
        <w:t>.</w:t>
      </w:r>
    </w:p>
    <w:p w14:paraId="2DA3D004" w14:textId="4BD9783D" w:rsidR="00293B92" w:rsidRDefault="00293B92" w:rsidP="00820DF8">
      <w:pPr>
        <w:tabs>
          <w:tab w:val="left" w:pos="940"/>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terms of procedural failures in assisted dying law, Smets, Bilsen, Van den Block, et al.</w:t>
      </w:r>
      <w:r w:rsidRPr="001256EA">
        <w:rPr>
          <w:rFonts w:ascii="Times New Roman" w:hAnsi="Times New Roman" w:cs="Times New Roman"/>
          <w:sz w:val="24"/>
          <w:szCs w:val="24"/>
          <w:vertAlign w:val="superscript"/>
        </w:rPr>
        <w:footnoteReference w:id="211"/>
      </w:r>
      <w:r w:rsidRPr="001256EA">
        <w:rPr>
          <w:rFonts w:ascii="Times New Roman" w:hAnsi="Times New Roman" w:cs="Times New Roman"/>
          <w:sz w:val="24"/>
          <w:szCs w:val="24"/>
        </w:rPr>
        <w:t xml:space="preserve">  found that while Belgian GPs generally adhered to medical eligibility requirements, procedural obligations like mandatory reporting and second opinions were often neglected due to perceived burdens or lack of clarity. Smets, Bilsen, Cohen, et al.</w:t>
      </w:r>
      <w:r w:rsidRPr="001256EA">
        <w:rPr>
          <w:rFonts w:ascii="Times New Roman" w:hAnsi="Times New Roman" w:cs="Times New Roman"/>
          <w:sz w:val="24"/>
          <w:szCs w:val="24"/>
          <w:vertAlign w:val="superscript"/>
        </w:rPr>
        <w:footnoteReference w:id="212"/>
      </w:r>
      <w:r w:rsidRPr="001256EA">
        <w:rPr>
          <w:rFonts w:ascii="Times New Roman" w:hAnsi="Times New Roman" w:cs="Times New Roman"/>
          <w:sz w:val="24"/>
          <w:szCs w:val="24"/>
        </w:rPr>
        <w:t xml:space="preserve"> reinforced this by analyzing national euthanasia reports, identifying trends toward psychological suffering as a </w:t>
      </w:r>
      <w:r w:rsidRPr="001256EA">
        <w:rPr>
          <w:rFonts w:ascii="Times New Roman" w:hAnsi="Times New Roman" w:cs="Times New Roman"/>
          <w:sz w:val="24"/>
          <w:szCs w:val="24"/>
        </w:rPr>
        <w:lastRenderedPageBreak/>
        <w:t xml:space="preserve">justification and highlighting how specific drugs were routinely used. Van </w:t>
      </w:r>
      <w:proofErr w:type="spellStart"/>
      <w:r w:rsidRPr="001256EA">
        <w:rPr>
          <w:rFonts w:ascii="Times New Roman" w:hAnsi="Times New Roman" w:cs="Times New Roman"/>
          <w:sz w:val="24"/>
          <w:szCs w:val="24"/>
        </w:rPr>
        <w:t>Humbeeck</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213"/>
      </w:r>
      <w:r w:rsidRPr="001256EA">
        <w:rPr>
          <w:rFonts w:ascii="Times New Roman" w:hAnsi="Times New Roman" w:cs="Times New Roman"/>
          <w:sz w:val="24"/>
          <w:szCs w:val="24"/>
        </w:rPr>
        <w:t xml:space="preserve">  uncovered limited legal understanding among geriatric healthcare providers, particularly regarding euthanasia for tiredness of life in the elderly, further emphasizing that procedural grey zones are shaped by role-based perceptions and differing thresholds for suffering.</w:t>
      </w:r>
    </w:p>
    <w:p w14:paraId="006FFE47"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Finally, incomplete safeguards in assisted dying appear prominently in the Spanish context. </w:t>
      </w:r>
      <w:proofErr w:type="spellStart"/>
      <w:r w:rsidRPr="001256EA">
        <w:rPr>
          <w:rFonts w:ascii="Times New Roman" w:hAnsi="Times New Roman" w:cs="Times New Roman"/>
          <w:sz w:val="24"/>
          <w:szCs w:val="24"/>
        </w:rPr>
        <w:t>Altisent</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214"/>
      </w:r>
      <w:r w:rsidRPr="001256EA">
        <w:rPr>
          <w:rFonts w:ascii="Times New Roman" w:hAnsi="Times New Roman" w:cs="Times New Roman"/>
          <w:sz w:val="24"/>
          <w:szCs w:val="24"/>
        </w:rPr>
        <w:t xml:space="preserve"> criticized Spain’s euthanasia law as hastily drafted, risking unintended psychological pressure on vulnerable patients, especially those dependent on others for care. Paradela-López &amp; Jima-González</w:t>
      </w:r>
      <w:r w:rsidRPr="001256EA">
        <w:rPr>
          <w:rFonts w:ascii="Times New Roman" w:hAnsi="Times New Roman" w:cs="Times New Roman"/>
          <w:sz w:val="24"/>
          <w:szCs w:val="24"/>
          <w:vertAlign w:val="superscript"/>
        </w:rPr>
        <w:footnoteReference w:id="215"/>
      </w:r>
      <w:r w:rsidRPr="001256EA">
        <w:rPr>
          <w:rFonts w:ascii="Times New Roman" w:hAnsi="Times New Roman" w:cs="Times New Roman"/>
          <w:sz w:val="24"/>
          <w:szCs w:val="24"/>
        </w:rPr>
        <w:t xml:space="preserve"> identified critical gaps in the law's implementation: the absence of clear standards for psychiatric conditions, vague responsibilities in self-administered euthanasia, and lack of professional guidance during the final phases. Novoa-Jurado &amp; Melguizo-Jiménez</w:t>
      </w:r>
      <w:r w:rsidRPr="001256EA">
        <w:rPr>
          <w:rFonts w:ascii="Times New Roman" w:hAnsi="Times New Roman" w:cs="Times New Roman"/>
          <w:sz w:val="24"/>
          <w:szCs w:val="24"/>
          <w:vertAlign w:val="superscript"/>
        </w:rPr>
        <w:footnoteReference w:id="216"/>
      </w:r>
      <w:r w:rsidRPr="001256EA">
        <w:rPr>
          <w:rFonts w:ascii="Times New Roman" w:hAnsi="Times New Roman" w:cs="Times New Roman"/>
          <w:sz w:val="24"/>
          <w:szCs w:val="24"/>
        </w:rPr>
        <w:t xml:space="preserve"> emphasized the importance of relational safeguards and the need for equitable access to supportive care, warning those social inequalities could distort the ethical application of the law. </w:t>
      </w:r>
    </w:p>
    <w:p w14:paraId="6FBCCB16"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research axis critically addresses how evolving euthanasia laws intersect with professional ethics, political constraints, and institutional limitations, revealing persistent misalignments between policy frameworks and on-the-ground realities. The topic of regulatory challenges in euthanasia practice is examined by Archer et al.</w:t>
      </w:r>
      <w:r w:rsidRPr="001256EA">
        <w:rPr>
          <w:rFonts w:ascii="Times New Roman" w:hAnsi="Times New Roman" w:cs="Times New Roman"/>
          <w:sz w:val="24"/>
          <w:szCs w:val="24"/>
          <w:vertAlign w:val="superscript"/>
        </w:rPr>
        <w:footnoteReference w:id="217"/>
      </w:r>
      <w:r w:rsidRPr="001256EA">
        <w:rPr>
          <w:rFonts w:ascii="Times New Roman" w:hAnsi="Times New Roman" w:cs="Times New Roman"/>
          <w:sz w:val="24"/>
          <w:szCs w:val="24"/>
        </w:rPr>
        <w:t>, who conducted interviews with Belgian physicians and nurses to uncover ongoing tensions in applying euthanasia laws. Four central difficulties emerged: legislative vagueness, provider burden, conflicting values impeding communication, and persistent misunderstandings of euthanasia procedures. These findings underscore the gap between legal mandates and professional capacity, calling for both legislative reform and stronger institutional support systems. From a broader legislative perspective, Willmott et al.</w:t>
      </w:r>
      <w:r w:rsidRPr="001256EA">
        <w:rPr>
          <w:rFonts w:ascii="Times New Roman" w:hAnsi="Times New Roman" w:cs="Times New Roman"/>
          <w:sz w:val="24"/>
          <w:szCs w:val="24"/>
          <w:vertAlign w:val="superscript"/>
        </w:rPr>
        <w:footnoteReference w:id="218"/>
      </w:r>
      <w:r w:rsidRPr="001256EA">
        <w:rPr>
          <w:rFonts w:ascii="Times New Roman" w:hAnsi="Times New Roman" w:cs="Times New Roman"/>
          <w:sz w:val="24"/>
          <w:szCs w:val="24"/>
        </w:rPr>
        <w:t xml:space="preserve"> analyzed two decades of euthanasia law reform attempts in </w:t>
      </w:r>
      <w:r w:rsidRPr="001256EA">
        <w:rPr>
          <w:rFonts w:ascii="Times New Roman" w:hAnsi="Times New Roman" w:cs="Times New Roman"/>
          <w:sz w:val="24"/>
          <w:szCs w:val="24"/>
        </w:rPr>
        <w:lastRenderedPageBreak/>
        <w:t xml:space="preserve">Australia. Despite strong public backing, their content analysis of 51 bills revealed that party politics, procedural hurdles, and legislative fragmentation obstructed meaningful progress. This case exemplifies how regulatory tension is not only medical or ethical but also deeply embedded in political institutions. </w:t>
      </w:r>
    </w:p>
    <w:p w14:paraId="38C7F1F2" w14:textId="48B0C2B3"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topic of institutional barriers to assisted dying is further explored by </w:t>
      </w:r>
      <w:proofErr w:type="spellStart"/>
      <w:r w:rsidRPr="001256EA">
        <w:rPr>
          <w:rFonts w:ascii="Times New Roman" w:hAnsi="Times New Roman" w:cs="Times New Roman"/>
          <w:sz w:val="24"/>
          <w:szCs w:val="24"/>
        </w:rPr>
        <w:t>Munuera</w:t>
      </w:r>
      <w:proofErr w:type="spellEnd"/>
      <w:r w:rsidRPr="001256EA">
        <w:rPr>
          <w:rFonts w:ascii="Times New Roman" w:hAnsi="Times New Roman" w:cs="Times New Roman"/>
          <w:sz w:val="24"/>
          <w:szCs w:val="24"/>
        </w:rPr>
        <w:t xml:space="preserve"> Gómez et al.</w:t>
      </w:r>
      <w:r w:rsidRPr="001256EA">
        <w:rPr>
          <w:rFonts w:ascii="Times New Roman" w:hAnsi="Times New Roman" w:cs="Times New Roman"/>
          <w:sz w:val="24"/>
          <w:szCs w:val="24"/>
          <w:vertAlign w:val="superscript"/>
        </w:rPr>
        <w:footnoteReference w:id="219"/>
      </w:r>
      <w:r w:rsidRPr="001256EA">
        <w:rPr>
          <w:rFonts w:ascii="Times New Roman" w:hAnsi="Times New Roman" w:cs="Times New Roman"/>
          <w:sz w:val="24"/>
          <w:szCs w:val="24"/>
        </w:rPr>
        <w:t xml:space="preserve">, who surveyed Spanish social workers in healthcare. Their findings expose a lack of clear protocols defining the social </w:t>
      </w:r>
      <w:r w:rsidR="0075135C" w:rsidRPr="001256EA">
        <w:rPr>
          <w:rFonts w:ascii="Times New Roman" w:hAnsi="Times New Roman" w:cs="Times New Roman"/>
          <w:sz w:val="24"/>
          <w:szCs w:val="24"/>
        </w:rPr>
        <w:t>workers’</w:t>
      </w:r>
      <w:r w:rsidRPr="001256EA">
        <w:rPr>
          <w:rFonts w:ascii="Times New Roman" w:hAnsi="Times New Roman" w:cs="Times New Roman"/>
          <w:sz w:val="24"/>
          <w:szCs w:val="24"/>
        </w:rPr>
        <w:t xml:space="preserve"> role in euthanasia processes, highlighting the institutional opacity faced by professionals supporting families and patients. This concern is echoed in Joseba García &amp; Ignacia</w:t>
      </w:r>
      <w:r w:rsidRPr="001256EA">
        <w:rPr>
          <w:rFonts w:ascii="Times New Roman" w:hAnsi="Times New Roman" w:cs="Times New Roman"/>
          <w:sz w:val="24"/>
          <w:szCs w:val="24"/>
          <w:vertAlign w:val="superscript"/>
        </w:rPr>
        <w:footnoteReference w:id="220"/>
      </w:r>
      <w:r w:rsidRPr="001256EA">
        <w:rPr>
          <w:rFonts w:ascii="Times New Roman" w:hAnsi="Times New Roman" w:cs="Times New Roman"/>
          <w:sz w:val="24"/>
          <w:szCs w:val="24"/>
        </w:rPr>
        <w:t>, who conducted a socio-political analysis of neoconservative Catholic groups mobilizing against euthanasia in Spain. Their research reveals how these groups, rooted in religious networks and fueled by recent far-right political momentum and COVID-era anxieties, have erected ideological barriers to institutional normalization of euthanasia. Together, these studies suggest that assisted dying laws, though legal in principle, remain operationally contested in practice.</w:t>
      </w:r>
    </w:p>
    <w:p w14:paraId="69999A91" w14:textId="46C0C9DA"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moral burden under euthanasia regulation </w:t>
      </w:r>
      <w:r w:rsidR="00AD7403" w:rsidRPr="001256EA">
        <w:rPr>
          <w:rFonts w:ascii="Times New Roman" w:hAnsi="Times New Roman" w:cs="Times New Roman"/>
          <w:sz w:val="24"/>
          <w:szCs w:val="24"/>
        </w:rPr>
        <w:t>adds to</w:t>
      </w:r>
      <w:r w:rsidRPr="001256EA">
        <w:rPr>
          <w:rFonts w:ascii="Times New Roman" w:hAnsi="Times New Roman" w:cs="Times New Roman"/>
          <w:sz w:val="24"/>
          <w:szCs w:val="24"/>
        </w:rPr>
        <w:t xml:space="preserve"> another layer of tension. In Catalonia, Verdaguer et al.</w:t>
      </w:r>
      <w:r w:rsidRPr="001256EA">
        <w:rPr>
          <w:rFonts w:ascii="Times New Roman" w:hAnsi="Times New Roman" w:cs="Times New Roman"/>
          <w:sz w:val="24"/>
          <w:szCs w:val="24"/>
          <w:vertAlign w:val="superscript"/>
        </w:rPr>
        <w:footnoteReference w:id="221"/>
      </w:r>
      <w:r w:rsidRPr="001256EA">
        <w:rPr>
          <w:rFonts w:ascii="Times New Roman" w:hAnsi="Times New Roman" w:cs="Times New Roman"/>
          <w:sz w:val="24"/>
          <w:szCs w:val="24"/>
        </w:rPr>
        <w:t xml:space="preserve"> conducted interviews and focus groups with professionals involved in assisted death provision. Their study identified psychological and procedural strain at each phase of the euthanasia process, including role ambiguity, emotional distress, and inadequate institutional support. These tensions were exacerbated by the COVID-19 crisis, calling for the integration of mental health resources and professional training into euthanasia frameworks. Likewise, </w:t>
      </w:r>
      <w:proofErr w:type="spellStart"/>
      <w:r w:rsidRPr="001256EA">
        <w:rPr>
          <w:rFonts w:ascii="Times New Roman" w:hAnsi="Times New Roman" w:cs="Times New Roman"/>
          <w:sz w:val="24"/>
          <w:szCs w:val="24"/>
        </w:rPr>
        <w:t>Snijdewind</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222"/>
      </w:r>
      <w:r w:rsidRPr="001256EA">
        <w:rPr>
          <w:rFonts w:ascii="Times New Roman" w:hAnsi="Times New Roman" w:cs="Times New Roman"/>
          <w:sz w:val="24"/>
          <w:szCs w:val="24"/>
        </w:rPr>
        <w:t xml:space="preserve">  explored Dutch physicians’ evolving attitudes toward EAS, noting a shift from a caregiving ethos to a perceived performance of death. The increasing prevalence of EAS requests for non-medical reasons and the blurring of legal boundaries have contributed to physician reluctance, highlighting a growing tension between professional values and public expectations.</w:t>
      </w:r>
    </w:p>
    <w:p w14:paraId="44CB9BB8"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The governance of euthanasia is also under scrutiny, as seen in </w:t>
      </w:r>
      <w:proofErr w:type="spellStart"/>
      <w:r w:rsidRPr="001256EA">
        <w:rPr>
          <w:rFonts w:ascii="Times New Roman" w:hAnsi="Times New Roman" w:cs="Times New Roman"/>
          <w:sz w:val="24"/>
          <w:szCs w:val="24"/>
        </w:rPr>
        <w:t>Buijsen</w:t>
      </w:r>
      <w:proofErr w:type="spellEnd"/>
      <w:r w:rsidRPr="001256EA">
        <w:rPr>
          <w:rFonts w:ascii="Times New Roman" w:hAnsi="Times New Roman" w:cs="Times New Roman"/>
          <w:sz w:val="24"/>
          <w:szCs w:val="24"/>
          <w:vertAlign w:val="superscript"/>
        </w:rPr>
        <w:footnoteReference w:id="223"/>
      </w:r>
      <w:r w:rsidRPr="001256EA">
        <w:rPr>
          <w:rFonts w:ascii="Times New Roman" w:hAnsi="Times New Roman" w:cs="Times New Roman"/>
          <w:sz w:val="24"/>
          <w:szCs w:val="24"/>
        </w:rPr>
        <w:t xml:space="preserve">, who critically assessed the review procedures under the Dutch Euthanasia Act. He argued that regional review committees lack democratic legitimacy and consistency, especially in handling complex cases involving psychiatric disorders, early dementia, or existential suffering. With the review framework remaining static since 2002, </w:t>
      </w:r>
      <w:proofErr w:type="spellStart"/>
      <w:r w:rsidRPr="001256EA">
        <w:rPr>
          <w:rFonts w:ascii="Times New Roman" w:hAnsi="Times New Roman" w:cs="Times New Roman"/>
          <w:sz w:val="24"/>
          <w:szCs w:val="24"/>
        </w:rPr>
        <w:t>Buijsen</w:t>
      </w:r>
      <w:proofErr w:type="spellEnd"/>
      <w:r w:rsidRPr="001256EA">
        <w:rPr>
          <w:rFonts w:ascii="Times New Roman" w:hAnsi="Times New Roman" w:cs="Times New Roman"/>
          <w:sz w:val="24"/>
          <w:szCs w:val="24"/>
        </w:rPr>
        <w:t xml:space="preserve"> called for institutional reform, possibly through centralization, to ensure both procedural reliability and societal accountability in the face of increasingly nuanced euthanasia cases.</w:t>
      </w:r>
    </w:p>
    <w:p w14:paraId="7443AD92" w14:textId="2D7AD4CD" w:rsidR="00293B92"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research axis examines how professional education, cultural norms, and legal ambiguity shape healthcare providers’ and students’ attitudes and competencies in euthanasia-related decision-making. Within the topic of legal and ethical education in euthanasia law, several studies highlight how medical and nursing curricula </w:t>
      </w:r>
      <w:r w:rsidR="0075135C" w:rsidRPr="001256EA">
        <w:rPr>
          <w:rFonts w:ascii="Times New Roman" w:hAnsi="Times New Roman" w:cs="Times New Roman"/>
          <w:sz w:val="24"/>
          <w:szCs w:val="24"/>
        </w:rPr>
        <w:t>intersect</w:t>
      </w:r>
      <w:r w:rsidRPr="001256EA">
        <w:rPr>
          <w:rFonts w:ascii="Times New Roman" w:hAnsi="Times New Roman" w:cs="Times New Roman"/>
          <w:sz w:val="24"/>
          <w:szCs w:val="24"/>
        </w:rPr>
        <w:t xml:space="preserve"> deeply held personal beliefs. Leppert et al.</w:t>
      </w:r>
      <w:r w:rsidRPr="001256EA">
        <w:rPr>
          <w:rFonts w:ascii="Times New Roman" w:hAnsi="Times New Roman" w:cs="Times New Roman"/>
          <w:sz w:val="24"/>
          <w:szCs w:val="24"/>
          <w:vertAlign w:val="superscript"/>
        </w:rPr>
        <w:footnoteReference w:id="224"/>
      </w:r>
      <w:r w:rsidRPr="001256EA">
        <w:rPr>
          <w:rFonts w:ascii="Times New Roman" w:hAnsi="Times New Roman" w:cs="Times New Roman"/>
          <w:sz w:val="24"/>
          <w:szCs w:val="24"/>
        </w:rPr>
        <w:t xml:space="preserve"> surveyed 588 Polish medical students and found that most identified as Catholic, with only a minority supporting euthanasia. Their attitudes remained largely unchanged after palliative care training, suggesting that cultural and religious identity outweigh curricular influence. Similarly, </w:t>
      </w:r>
      <w:proofErr w:type="spellStart"/>
      <w:r w:rsidRPr="001256EA">
        <w:rPr>
          <w:rFonts w:ascii="Times New Roman" w:hAnsi="Times New Roman" w:cs="Times New Roman"/>
          <w:sz w:val="24"/>
          <w:szCs w:val="24"/>
        </w:rPr>
        <w:t>Terkamo</w:t>
      </w:r>
      <w:proofErr w:type="spellEnd"/>
      <w:r w:rsidRPr="001256EA">
        <w:rPr>
          <w:rFonts w:ascii="Times New Roman" w:hAnsi="Times New Roman" w:cs="Times New Roman"/>
          <w:sz w:val="24"/>
          <w:szCs w:val="24"/>
        </w:rPr>
        <w:t>-Moisio et al.</w:t>
      </w:r>
      <w:r w:rsidRPr="001256EA">
        <w:rPr>
          <w:rFonts w:ascii="Times New Roman" w:hAnsi="Times New Roman" w:cs="Times New Roman"/>
          <w:sz w:val="24"/>
          <w:szCs w:val="24"/>
          <w:vertAlign w:val="superscript"/>
        </w:rPr>
        <w:footnoteReference w:id="225"/>
      </w:r>
      <w:r w:rsidRPr="001256EA">
        <w:rPr>
          <w:rFonts w:ascii="Times New Roman" w:hAnsi="Times New Roman" w:cs="Times New Roman"/>
          <w:sz w:val="24"/>
          <w:szCs w:val="24"/>
        </w:rPr>
        <w:t xml:space="preserve"> surveyed over 1,000 Finnish nurses and found that while many were open to participating in euthanasia if legal, only a minority supported it as a professional duty. Attitudes varied by age, education, and religiosity, underscoring how individual moral frameworks complicate institutional expectations. In New Zealand, Woods &amp; Rook</w:t>
      </w:r>
      <w:r w:rsidRPr="001256EA">
        <w:rPr>
          <w:rFonts w:ascii="Times New Roman" w:hAnsi="Times New Roman" w:cs="Times New Roman"/>
          <w:sz w:val="24"/>
          <w:szCs w:val="24"/>
          <w:vertAlign w:val="superscript"/>
        </w:rPr>
        <w:footnoteReference w:id="226"/>
      </w:r>
      <w:r w:rsidRPr="001256EA">
        <w:rPr>
          <w:rFonts w:ascii="Times New Roman" w:hAnsi="Times New Roman" w:cs="Times New Roman"/>
          <w:sz w:val="24"/>
          <w:szCs w:val="24"/>
        </w:rPr>
        <w:t xml:space="preserve"> conducted qualitative interviews with hospice nurses who largely opposed euthanasia legalization, citing concerns about professional identity, emotional burden, and the moral ambiguity introduced by legislative change.</w:t>
      </w:r>
    </w:p>
    <w:p w14:paraId="5354B6AA" w14:textId="77777777" w:rsidR="00820DF8" w:rsidRPr="00A615D8" w:rsidRDefault="00820DF8" w:rsidP="00820DF8">
      <w:pPr>
        <w:tabs>
          <w:tab w:val="left" w:pos="940"/>
        </w:tabs>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t>Within legal systems, regulatory boundaries continue to evolve. Belgium has gradually expanded its framework to include minors with discernment</w:t>
      </w:r>
      <w:r w:rsidRPr="00A615D8">
        <w:rPr>
          <w:rFonts w:ascii="Times New Roman" w:hAnsi="Times New Roman" w:cs="Times New Roman"/>
          <w:sz w:val="24"/>
          <w:szCs w:val="24"/>
          <w:vertAlign w:val="superscript"/>
        </w:rPr>
        <w:footnoteReference w:id="227"/>
      </w:r>
      <w:r w:rsidRPr="00A615D8">
        <w:rPr>
          <w:rFonts w:ascii="Times New Roman" w:hAnsi="Times New Roman" w:cs="Times New Roman"/>
          <w:sz w:val="24"/>
          <w:szCs w:val="24"/>
        </w:rPr>
        <w:t xml:space="preserve">, persons with psychiatric </w:t>
      </w:r>
      <w:r w:rsidRPr="00A615D8">
        <w:rPr>
          <w:rFonts w:ascii="Times New Roman" w:hAnsi="Times New Roman" w:cs="Times New Roman"/>
          <w:sz w:val="24"/>
          <w:szCs w:val="24"/>
        </w:rPr>
        <w:lastRenderedPageBreak/>
        <w:t>conditions, and individuals in the early stages of dementia</w:t>
      </w:r>
      <w:r w:rsidRPr="00A615D8">
        <w:rPr>
          <w:rFonts w:ascii="Times New Roman" w:hAnsi="Times New Roman" w:cs="Times New Roman"/>
          <w:sz w:val="24"/>
          <w:szCs w:val="24"/>
          <w:vertAlign w:val="superscript"/>
        </w:rPr>
        <w:footnoteReference w:id="228"/>
      </w:r>
      <w:r w:rsidRPr="00A615D8">
        <w:rPr>
          <w:rFonts w:ascii="Times New Roman" w:hAnsi="Times New Roman" w:cs="Times New Roman"/>
          <w:sz w:val="24"/>
          <w:szCs w:val="24"/>
        </w:rPr>
        <w:t>. These legislative extensions have triggered complex ethical and legal questions about the nature of suffering, decision-making capacity, and the use of advanced euthanasia directives</w:t>
      </w:r>
      <w:r w:rsidRPr="00A615D8">
        <w:rPr>
          <w:rFonts w:ascii="Times New Roman" w:hAnsi="Times New Roman" w:cs="Times New Roman"/>
          <w:sz w:val="24"/>
          <w:szCs w:val="24"/>
          <w:vertAlign w:val="superscript"/>
        </w:rPr>
        <w:footnoteReference w:id="229"/>
      </w:r>
      <w:r w:rsidRPr="00A615D8">
        <w:rPr>
          <w:rFonts w:ascii="Times New Roman" w:hAnsi="Times New Roman" w:cs="Times New Roman"/>
          <w:sz w:val="24"/>
          <w:szCs w:val="24"/>
        </w:rPr>
        <w:t>. Courts have increasingly played a central role in arbitrating tensions between legal safeguards and medical discretion. For instance, legislative proposals in South Australia were scrutinized for failing to adequately protect patients from external influence</w:t>
      </w:r>
      <w:r w:rsidRPr="00A615D8">
        <w:rPr>
          <w:rFonts w:ascii="Times New Roman" w:hAnsi="Times New Roman" w:cs="Times New Roman"/>
          <w:sz w:val="24"/>
          <w:szCs w:val="24"/>
          <w:vertAlign w:val="superscript"/>
        </w:rPr>
        <w:footnoteReference w:id="230"/>
      </w:r>
      <w:r w:rsidRPr="00A615D8">
        <w:rPr>
          <w:rFonts w:ascii="Times New Roman" w:hAnsi="Times New Roman" w:cs="Times New Roman"/>
          <w:sz w:val="24"/>
          <w:szCs w:val="24"/>
        </w:rPr>
        <w:t>, while in the Netherlands, scholars have raised concerns about the limited legitimacy of regional review committees in handling complex or ambiguous cases</w:t>
      </w:r>
      <w:r w:rsidRPr="00A615D8">
        <w:rPr>
          <w:rFonts w:ascii="Times New Roman" w:hAnsi="Times New Roman" w:cs="Times New Roman"/>
          <w:sz w:val="24"/>
          <w:szCs w:val="24"/>
          <w:vertAlign w:val="superscript"/>
        </w:rPr>
        <w:footnoteReference w:id="231"/>
      </w:r>
      <w:r w:rsidRPr="00A615D8">
        <w:rPr>
          <w:rFonts w:ascii="Times New Roman" w:hAnsi="Times New Roman" w:cs="Times New Roman"/>
          <w:sz w:val="24"/>
          <w:szCs w:val="24"/>
        </w:rPr>
        <w:t>.</w:t>
      </w:r>
    </w:p>
    <w:p w14:paraId="1BA2E5C0" w14:textId="77B55DC3" w:rsidR="00820DF8" w:rsidRPr="00B1409C" w:rsidRDefault="00820DF8" w:rsidP="00820DF8">
      <w:pPr>
        <w:tabs>
          <w:tab w:val="left" w:pos="940"/>
        </w:tabs>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t>Despite formal legal recognition, implementation gaps persist. Studies reveal inconsistencies in physician reporting, procedural failures, and cases of misapplication of the law</w:t>
      </w:r>
      <w:r w:rsidRPr="00A615D8">
        <w:rPr>
          <w:rFonts w:ascii="Times New Roman" w:hAnsi="Times New Roman" w:cs="Times New Roman"/>
          <w:sz w:val="24"/>
          <w:szCs w:val="24"/>
          <w:vertAlign w:val="superscript"/>
        </w:rPr>
        <w:footnoteReference w:id="232"/>
      </w:r>
      <w:r w:rsidRPr="00A615D8">
        <w:rPr>
          <w:rFonts w:ascii="Times New Roman" w:hAnsi="Times New Roman" w:cs="Times New Roman"/>
          <w:sz w:val="24"/>
          <w:szCs w:val="24"/>
        </w:rPr>
        <w:t>. The boundaries between legally sanctioned euthanasia and unauthorized life-ending practices often remain unclear, raising critical concerns about the interpretability of due care criteria and the robustness of oversight mechanisms</w:t>
      </w:r>
      <w:r w:rsidRPr="00A615D8">
        <w:rPr>
          <w:rFonts w:ascii="Times New Roman" w:hAnsi="Times New Roman" w:cs="Times New Roman"/>
          <w:sz w:val="24"/>
          <w:szCs w:val="24"/>
          <w:vertAlign w:val="superscript"/>
        </w:rPr>
        <w:footnoteReference w:id="233"/>
      </w:r>
      <w:r w:rsidRPr="00A615D8">
        <w:rPr>
          <w:rFonts w:ascii="Times New Roman" w:hAnsi="Times New Roman" w:cs="Times New Roman"/>
          <w:sz w:val="24"/>
          <w:szCs w:val="24"/>
        </w:rPr>
        <w:t>. These ambiguities underscore the fragility of institutional responses and the need for continuous legal refinement.</w:t>
      </w:r>
    </w:p>
    <w:p w14:paraId="6366A58F" w14:textId="77777777"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Training interventions also influence perceptions and preparedness. </w:t>
      </w:r>
      <w:proofErr w:type="spellStart"/>
      <w:r w:rsidRPr="001256EA">
        <w:rPr>
          <w:rFonts w:ascii="Times New Roman" w:hAnsi="Times New Roman" w:cs="Times New Roman"/>
          <w:sz w:val="24"/>
          <w:szCs w:val="24"/>
        </w:rPr>
        <w:t>Demedts</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234"/>
      </w:r>
      <w:r w:rsidRPr="001256EA">
        <w:rPr>
          <w:rFonts w:ascii="Times New Roman" w:hAnsi="Times New Roman" w:cs="Times New Roman"/>
          <w:sz w:val="24"/>
          <w:szCs w:val="24"/>
        </w:rPr>
        <w:t xml:space="preserve"> in Belgium context evaluated a euthanasia simulation module for nursing students and found it enhanced clinical reasoning and addressed the taboo nature of the topic constructively, although students had mixed responses to the instructional media. </w:t>
      </w:r>
      <w:proofErr w:type="spellStart"/>
      <w:r w:rsidRPr="001256EA">
        <w:rPr>
          <w:rFonts w:ascii="Times New Roman" w:hAnsi="Times New Roman" w:cs="Times New Roman"/>
          <w:sz w:val="24"/>
          <w:szCs w:val="24"/>
        </w:rPr>
        <w:t>Arreciado</w:t>
      </w:r>
      <w:proofErr w:type="spellEnd"/>
      <w:r w:rsidRPr="001256EA">
        <w:rPr>
          <w:rFonts w:ascii="Times New Roman" w:hAnsi="Times New Roman" w:cs="Times New Roman"/>
          <w:sz w:val="24"/>
          <w:szCs w:val="24"/>
        </w:rPr>
        <w:t xml:space="preserve"> </w:t>
      </w:r>
      <w:proofErr w:type="spellStart"/>
      <w:r w:rsidRPr="001256EA">
        <w:rPr>
          <w:rFonts w:ascii="Times New Roman" w:hAnsi="Times New Roman" w:cs="Times New Roman"/>
          <w:sz w:val="24"/>
          <w:szCs w:val="24"/>
        </w:rPr>
        <w:t>Marañón</w:t>
      </w:r>
      <w:proofErr w:type="spellEnd"/>
      <w:r w:rsidRPr="001256EA">
        <w:rPr>
          <w:rFonts w:ascii="Times New Roman" w:hAnsi="Times New Roman" w:cs="Times New Roman"/>
          <w:sz w:val="24"/>
          <w:szCs w:val="24"/>
        </w:rPr>
        <w:t xml:space="preserve"> et al.</w:t>
      </w:r>
      <w:r w:rsidRPr="001256EA">
        <w:rPr>
          <w:rFonts w:ascii="Times New Roman" w:hAnsi="Times New Roman" w:cs="Times New Roman"/>
          <w:sz w:val="24"/>
          <w:szCs w:val="24"/>
          <w:vertAlign w:val="superscript"/>
        </w:rPr>
        <w:footnoteReference w:id="235"/>
      </w:r>
      <w:r w:rsidRPr="001256EA">
        <w:rPr>
          <w:rFonts w:ascii="Times New Roman" w:hAnsi="Times New Roman" w:cs="Times New Roman"/>
          <w:sz w:val="24"/>
          <w:szCs w:val="24"/>
        </w:rPr>
        <w:t xml:space="preserve"> extended this by assessing Spanish nursing students’ attitudes after the 2021 legalization of euthanasia. Their findings revealed growing acceptance among senior students, particularly when complemented by ethics courses and clinical exposure, although religiosity remained a significant moderating factor. On the institutional side, Hesselink et al.</w:t>
      </w:r>
      <w:r w:rsidRPr="001256EA">
        <w:rPr>
          <w:rFonts w:ascii="Times New Roman" w:hAnsi="Times New Roman" w:cs="Times New Roman"/>
          <w:sz w:val="24"/>
          <w:szCs w:val="24"/>
          <w:vertAlign w:val="superscript"/>
        </w:rPr>
        <w:footnoteReference w:id="236"/>
      </w:r>
      <w:r w:rsidRPr="001256EA">
        <w:rPr>
          <w:rFonts w:ascii="Times New Roman" w:hAnsi="Times New Roman" w:cs="Times New Roman"/>
          <w:sz w:val="24"/>
          <w:szCs w:val="24"/>
        </w:rPr>
        <w:t xml:space="preserve"> analyzed euthanasia guidelines in the Netherlands and noted that while responsibility is often assigned to the attending physician, guidelines for nursing homes tend to be more restrictive, revealing sectoral discrepancies in how legal norms are operationalized in practice.</w:t>
      </w:r>
    </w:p>
    <w:p w14:paraId="73EA51F6" w14:textId="678C4C7C" w:rsidR="00293B92" w:rsidRPr="001256EA" w:rsidRDefault="00293B92"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axis also covers the topic of due care and legal discretion in euthanasia, where professional judgments intersect with legal grey zones. Bolt et al.</w:t>
      </w:r>
      <w:r w:rsidRPr="001256EA">
        <w:rPr>
          <w:rFonts w:ascii="Times New Roman" w:hAnsi="Times New Roman" w:cs="Times New Roman"/>
          <w:sz w:val="24"/>
          <w:szCs w:val="24"/>
          <w:vertAlign w:val="superscript"/>
        </w:rPr>
        <w:footnoteReference w:id="237"/>
      </w:r>
      <w:r w:rsidRPr="001256EA">
        <w:rPr>
          <w:rFonts w:ascii="Times New Roman" w:hAnsi="Times New Roman" w:cs="Times New Roman"/>
          <w:sz w:val="24"/>
          <w:szCs w:val="24"/>
        </w:rPr>
        <w:t xml:space="preserve">  surveyed Dutch </w:t>
      </w:r>
      <w:r w:rsidR="00D2668D" w:rsidRPr="001256EA">
        <w:rPr>
          <w:rFonts w:ascii="Times New Roman" w:hAnsi="Times New Roman" w:cs="Times New Roman"/>
          <w:sz w:val="24"/>
          <w:szCs w:val="24"/>
        </w:rPr>
        <w:t>pediatricians</w:t>
      </w:r>
      <w:r w:rsidRPr="001256EA">
        <w:rPr>
          <w:rFonts w:ascii="Times New Roman" w:hAnsi="Times New Roman" w:cs="Times New Roman"/>
          <w:sz w:val="24"/>
          <w:szCs w:val="24"/>
        </w:rPr>
        <w:t>, 81% of whom deemed PAD conceivable even for young children, arguing that suffering relief should take precedence over strict age thresholds. Parental involvement and life expectancy were considered relevant but not decisive, highlighting the discretionary nature of ethical reasoning in pediatric cases. Coers et al.</w:t>
      </w:r>
      <w:r w:rsidRPr="001256EA">
        <w:rPr>
          <w:rFonts w:ascii="Times New Roman" w:hAnsi="Times New Roman" w:cs="Times New Roman"/>
          <w:sz w:val="24"/>
          <w:szCs w:val="24"/>
          <w:vertAlign w:val="superscript"/>
        </w:rPr>
        <w:footnoteReference w:id="238"/>
      </w:r>
      <w:r w:rsidRPr="001256EA">
        <w:rPr>
          <w:rFonts w:ascii="Times New Roman" w:hAnsi="Times New Roman" w:cs="Times New Roman"/>
          <w:sz w:val="24"/>
          <w:szCs w:val="24"/>
        </w:rPr>
        <w:t xml:space="preserve"> addressed the interpretation of AEDs for patients with advanced dementia from the perspective of legal experts. Their findings revealed tensions between respecting prior wishes and current behavior, with physicians ultimately bearing decision-making responsibility amid open legal norms that demand contextual interpretation. This challenge is echoed in Bergman et al.</w:t>
      </w:r>
      <w:r w:rsidRPr="001256EA">
        <w:rPr>
          <w:rFonts w:ascii="Times New Roman" w:hAnsi="Times New Roman" w:cs="Times New Roman"/>
          <w:sz w:val="24"/>
          <w:szCs w:val="24"/>
          <w:vertAlign w:val="superscript"/>
        </w:rPr>
        <w:footnoteReference w:id="239"/>
      </w:r>
      <w:r w:rsidRPr="001256EA">
        <w:rPr>
          <w:rFonts w:ascii="Times New Roman" w:hAnsi="Times New Roman" w:cs="Times New Roman"/>
          <w:sz w:val="24"/>
          <w:szCs w:val="24"/>
        </w:rPr>
        <w:t xml:space="preserve">, who reported that over 20% of SCEN physicians in the Netherlands encountered difficult consultations in euthanasia </w:t>
      </w:r>
      <w:r w:rsidRPr="001256EA">
        <w:rPr>
          <w:rFonts w:ascii="Times New Roman" w:hAnsi="Times New Roman" w:cs="Times New Roman"/>
          <w:sz w:val="24"/>
          <w:szCs w:val="24"/>
        </w:rPr>
        <w:lastRenderedPageBreak/>
        <w:t xml:space="preserve">assessments, particularly in hospital settings or with psychiatric diagnoses. These consultations were often complicated by ambiguities in assessing suffering and fulfilling due care requirements, suggesting a need for ongoing training, supervision, and ethical </w:t>
      </w:r>
      <w:proofErr w:type="spellStart"/>
      <w:r w:rsidRPr="001256EA">
        <w:rPr>
          <w:rFonts w:ascii="Times New Roman" w:hAnsi="Times New Roman" w:cs="Times New Roman"/>
          <w:sz w:val="24"/>
          <w:szCs w:val="24"/>
        </w:rPr>
        <w:t>intervision</w:t>
      </w:r>
      <w:proofErr w:type="spellEnd"/>
      <w:r w:rsidRPr="001256EA">
        <w:rPr>
          <w:rFonts w:ascii="Times New Roman" w:hAnsi="Times New Roman" w:cs="Times New Roman"/>
          <w:sz w:val="24"/>
          <w:szCs w:val="24"/>
        </w:rPr>
        <w:t xml:space="preserve"> structures.</w:t>
      </w:r>
      <w:bookmarkEnd w:id="22"/>
      <w:r w:rsidRPr="001256EA">
        <w:rPr>
          <w:rFonts w:ascii="Times New Roman" w:hAnsi="Times New Roman" w:cs="Times New Roman"/>
          <w:sz w:val="24"/>
          <w:szCs w:val="24"/>
        </w:rPr>
        <w:t xml:space="preserve"> </w:t>
      </w:r>
    </w:p>
    <w:p w14:paraId="3BA61C14" w14:textId="77777777" w:rsidR="008B2230" w:rsidRPr="001256EA" w:rsidRDefault="008B2230" w:rsidP="00D2668D">
      <w:pPr>
        <w:spacing w:after="0" w:line="360" w:lineRule="auto"/>
        <w:ind w:firstLine="851"/>
        <w:jc w:val="both"/>
        <w:rPr>
          <w:rFonts w:ascii="Times New Roman" w:hAnsi="Times New Roman" w:cs="Times New Roman"/>
          <w:sz w:val="24"/>
          <w:szCs w:val="24"/>
        </w:rPr>
      </w:pPr>
    </w:p>
    <w:p w14:paraId="7F574399" w14:textId="19EBBFB0" w:rsidR="00293B92" w:rsidRDefault="001D7DE8" w:rsidP="007857CE">
      <w:pPr>
        <w:pStyle w:val="Heading3"/>
        <w:spacing w:before="0" w:line="360" w:lineRule="auto"/>
        <w:jc w:val="center"/>
        <w:rPr>
          <w:rFonts w:ascii="Times New Roman" w:hAnsi="Times New Roman" w:cs="Times New Roman"/>
          <w:color w:val="000000" w:themeColor="text1"/>
          <w:lang w:bidi="en-US"/>
        </w:rPr>
      </w:pPr>
      <w:r w:rsidRPr="001256EA">
        <w:rPr>
          <w:rFonts w:ascii="Times New Roman" w:hAnsi="Times New Roman" w:cs="Times New Roman"/>
          <w:color w:val="000000" w:themeColor="text1"/>
          <w:lang w:bidi="en-US"/>
        </w:rPr>
        <w:t>1.</w:t>
      </w:r>
      <w:r w:rsidR="00A432AE">
        <w:rPr>
          <w:rFonts w:ascii="Times New Roman" w:hAnsi="Times New Roman" w:cs="Times New Roman"/>
          <w:color w:val="000000" w:themeColor="text1"/>
          <w:lang w:bidi="en-US"/>
        </w:rPr>
        <w:t>3</w:t>
      </w:r>
      <w:r w:rsidRPr="001256EA">
        <w:rPr>
          <w:rFonts w:ascii="Times New Roman" w:hAnsi="Times New Roman" w:cs="Times New Roman"/>
          <w:color w:val="000000" w:themeColor="text1"/>
          <w:lang w:bidi="en-US"/>
        </w:rPr>
        <w:t xml:space="preserve">.3. </w:t>
      </w:r>
      <w:bookmarkStart w:id="23" w:name="_Hlk217761946"/>
      <w:r w:rsidR="00293B92" w:rsidRPr="001256EA">
        <w:rPr>
          <w:rFonts w:ascii="Times New Roman" w:hAnsi="Times New Roman" w:cs="Times New Roman"/>
          <w:color w:val="000000" w:themeColor="text1"/>
          <w:lang w:bidi="en-US"/>
        </w:rPr>
        <w:t>Forward-looking research agenda in Euthanasia law through gap identification</w:t>
      </w:r>
      <w:bookmarkEnd w:id="23"/>
    </w:p>
    <w:p w14:paraId="1076ECF7" w14:textId="77777777" w:rsidR="00A615D8" w:rsidRPr="00A615D8" w:rsidRDefault="00A615D8" w:rsidP="00A615D8">
      <w:pPr>
        <w:rPr>
          <w:lang w:bidi="en-US"/>
        </w:rPr>
      </w:pPr>
    </w:p>
    <w:p w14:paraId="74E770D8" w14:textId="781C1C3B" w:rsidR="0024057B" w:rsidRPr="001256EA" w:rsidRDefault="00293B92" w:rsidP="007857C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00AB084B" w:rsidRPr="001256EA">
        <w:rPr>
          <w:rFonts w:ascii="Times New Roman" w:hAnsi="Times New Roman" w:cs="Times New Roman"/>
          <w:sz w:val="24"/>
          <w:szCs w:val="24"/>
        </w:rPr>
        <w:t xml:space="preserve">appendix </w:t>
      </w:r>
      <w:r w:rsidR="002B5A9C" w:rsidRPr="001256EA">
        <w:rPr>
          <w:rFonts w:ascii="Times New Roman" w:hAnsi="Times New Roman" w:cs="Times New Roman"/>
          <w:sz w:val="24"/>
          <w:szCs w:val="24"/>
        </w:rPr>
        <w:t>3</w:t>
      </w:r>
      <w:r w:rsidRPr="001256EA">
        <w:rPr>
          <w:rFonts w:ascii="Times New Roman" w:hAnsi="Times New Roman" w:cs="Times New Roman"/>
          <w:sz w:val="24"/>
          <w:szCs w:val="24"/>
        </w:rPr>
        <w:t xml:space="preserve"> provides a comprehensive analytical mapping of the main research axes that structure the scholarly landscape on euthanasia law. Each axis is distinguished by a specific research gap, anchored in clearly defined disciplinary domains ranging from legal studies and bioethics to organizational sociology and moral psychology. The framework outlines the core controversies addressed, such as the normative tension between secular and religious systems, the ambiguity of eligibility criteria, and the gap between legal norms and institutional capabilities. It also grounds each axis in actual country cases drawn from empirical studies, thereby avoiding speculative generalizations. The final column identifies concrete research priorities designed to guide future investigations, whether by clarifying legal standards, improving professional training, or refining governance mechanisms. Overall, this structured synthesis is intended to support a coherent research agenda and to inform both academic debates and policy development in the field of assisted dying.</w:t>
      </w:r>
    </w:p>
    <w:p w14:paraId="516F2A42" w14:textId="421C9581" w:rsidR="0024057B" w:rsidRPr="001256EA" w:rsidRDefault="0024057B" w:rsidP="0024057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This theoretical chapter has provided an in-depth understanding of the legal configurations governing euthanasia on an international scale. By applying semantic analysis to a rigorously selected corpus of academic articles, the study offers several major contributions. First, it systematizes the dominant trends in legal scholarship on euthanasia by illustrating how national </w:t>
      </w:r>
      <w:r w:rsidR="00AD7403" w:rsidRPr="001256EA">
        <w:rPr>
          <w:rFonts w:ascii="Times New Roman" w:hAnsi="Times New Roman" w:cs="Times New Roman"/>
          <w:sz w:val="24"/>
          <w:szCs w:val="24"/>
        </w:rPr>
        <w:t>legislation articulates</w:t>
      </w:r>
      <w:r w:rsidRPr="001256EA">
        <w:rPr>
          <w:rFonts w:ascii="Times New Roman" w:hAnsi="Times New Roman" w:cs="Times New Roman"/>
          <w:sz w:val="24"/>
          <w:szCs w:val="24"/>
        </w:rPr>
        <w:t xml:space="preserve"> fundamental principles such as respect for life, personal autonomy, human dignity, and professional responsibility. Second, it reveals the diversity of normative approaches shaped by cultural, religious, and constitutional contexts, highlighting the fault lines between permissive, restrictive, and ambivalent legal regimes. By linking legal theory to regulatory developments, this legal mapping constitutes an original contribution to the critical study of end-of-life regulation.</w:t>
      </w:r>
      <w:r w:rsidR="00D90CA5">
        <w:rPr>
          <w:rFonts w:ascii="Times New Roman" w:hAnsi="Times New Roman" w:cs="Times New Roman"/>
          <w:sz w:val="24"/>
          <w:szCs w:val="24"/>
        </w:rPr>
        <w:t xml:space="preserve"> </w:t>
      </w:r>
      <w:r w:rsidR="00D90CA5" w:rsidRPr="00A615D8">
        <w:rPr>
          <w:rFonts w:ascii="Times New Roman" w:hAnsi="Times New Roman" w:cs="Times New Roman"/>
          <w:sz w:val="24"/>
          <w:szCs w:val="24"/>
        </w:rPr>
        <w:t xml:space="preserve">The results imply that the legal establishment of euthanasia in Lithuania cannot be reduced to a purely normative dichotomy of “permission-prohibition”; it would inevitably require a complex balancing of constitutional values. Lithuanian constitutional doctrine traditionally emphasizes the protection of life as the highest good, therefore any liberalization model should demonstrate that the autonomy and dignity of the person are not subordinated, but rather conceptually compatible with the </w:t>
      </w:r>
      <w:r w:rsidR="00D90CA5" w:rsidRPr="00A615D8">
        <w:rPr>
          <w:rFonts w:ascii="Times New Roman" w:hAnsi="Times New Roman" w:cs="Times New Roman"/>
          <w:sz w:val="24"/>
          <w:szCs w:val="24"/>
        </w:rPr>
        <w:lastRenderedPageBreak/>
        <w:t>imperative of protecting life. This would mean not only legislative changes, but also a possible reinterpretation of constitutional jurisprudence.</w:t>
      </w:r>
      <w:r w:rsidR="00D90CA5" w:rsidRPr="00A615D8">
        <w:t xml:space="preserve"> </w:t>
      </w:r>
      <w:r w:rsidR="00D90CA5" w:rsidRPr="00A615D8">
        <w:rPr>
          <w:rFonts w:ascii="Times New Roman" w:hAnsi="Times New Roman" w:cs="Times New Roman"/>
          <w:sz w:val="24"/>
          <w:szCs w:val="24"/>
        </w:rPr>
        <w:t>The diversity of international models shows that the most stable regimes are based not only on material conditions (e.g., incurable disease), but also on procedural guarantees (multi-level control, independent assessments, ex post supervision). In the Lithuanian context, this implies the need for a large institutional infrastructure, which is currently completely absent: especially in the areas of palliative care, bioethical care and medical liability mechanisms. Without these elements, liberalization would pose a disproportionate risk of abuse and legal uncertainty. The cultural and religious factors identified in the study suggest that an “ambivalent” regulatory model is likely in Lithuania: formally restrictive, but in practice capable of evolving through exceptions (e.g., treatment termination, development of palliative sedation). This suggests that the issue of euthanasia can be addressed incrementally, avoiding direct legalization but expanding the instruments of patient autonomy.</w:t>
      </w:r>
    </w:p>
    <w:p w14:paraId="30B50057" w14:textId="77777777" w:rsidR="0024057B" w:rsidRPr="001256EA" w:rsidRDefault="0024057B" w:rsidP="0024057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From a methodological perspective, the chapter also demonstrates the value of using semantic analysis tools such as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in the field of legal studies. This approach enabled the extraction of coherent thematic structures from article abstracts, making visible the internal dynamics of the literature and supporting the formulation of a structured research agenda. This methodological innovation moves beyond the limitations of traditional reviews, often based on manual or narrative synthesis, by introducing an inductive and replicable framework. It opens the way for a more systematic integration of computational methods in legal research, especially when dealing with large-scale, international, and interdisciplinary corpora.</w:t>
      </w:r>
    </w:p>
    <w:p w14:paraId="2ADAE5B2" w14:textId="47D798BE" w:rsidR="0024057B" w:rsidRPr="00A615D8" w:rsidRDefault="00AD7403" w:rsidP="00D90CA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Regarding</w:t>
      </w:r>
      <w:r w:rsidR="0024057B" w:rsidRPr="001256EA">
        <w:rPr>
          <w:rFonts w:ascii="Times New Roman" w:hAnsi="Times New Roman" w:cs="Times New Roman"/>
          <w:sz w:val="24"/>
          <w:szCs w:val="24"/>
        </w:rPr>
        <w:t xml:space="preserve"> substantive findings, the study identified several areas of tension that traverse the governance of the right to die. It notably underlined the persistent contradictions between universal legal principles and the national modalities of application, particularly concerning mental capacity, psychological suffering, euthanasia for minors, and the use of advance directives. It also showed that control and evaluation mechanisms, though institutionalized in certain jurisdictions, often suffer from a lack of transparency or procedural legitimacy, which weakens the legal safeguards surrounding end-of-life medical acts. By shedding light on these tensions, the chapter contributes to the legal debate on the conditions for an ethical, proportionate, and rights-respecting legal framework.</w:t>
      </w:r>
      <w:r w:rsidR="00D90CA5">
        <w:rPr>
          <w:rFonts w:ascii="Times New Roman" w:hAnsi="Times New Roman" w:cs="Times New Roman"/>
          <w:sz w:val="24"/>
          <w:szCs w:val="24"/>
        </w:rPr>
        <w:t xml:space="preserve"> </w:t>
      </w:r>
      <w:r w:rsidR="00D90CA5" w:rsidRPr="00A615D8">
        <w:rPr>
          <w:rFonts w:ascii="Times New Roman" w:hAnsi="Times New Roman" w:cs="Times New Roman"/>
          <w:sz w:val="24"/>
          <w:szCs w:val="24"/>
        </w:rPr>
        <w:t xml:space="preserve">The results reveal that the legal regulation of euthanasia in Lithuania would face a structural normative tension between declared universal principles (autonomy, dignity) and their practical operationalization. Areas related to psychological suffering and decision-making capacity would be particularly problematic: in Lithuanian law, the assessment of mental state is not sufficiently integrated into </w:t>
      </w:r>
      <w:r w:rsidR="00D90CA5" w:rsidRPr="00A615D8">
        <w:rPr>
          <w:rFonts w:ascii="Times New Roman" w:hAnsi="Times New Roman" w:cs="Times New Roman"/>
          <w:sz w:val="24"/>
          <w:szCs w:val="24"/>
        </w:rPr>
        <w:lastRenderedPageBreak/>
        <w:t>end-of-life decisions, which would result in significant interpretative discretion, posing a risk of legal uncertainty and uneven application. The issues of euthanasia of minors and advance directives show an even deeper collision with constitutional and civil law doctrines. The Lithuanian legal system, based on enhanced protection of minors and limited application of advance directives, would require substantial doctrinal revisions. This would lead to the conclusion that any broader model of euthanasia would inevitably go beyond the limits of the current regulation, rather than being organically incorporated into it. The shortcomings of control and oversight mechanisms identified in other regimes have direct implications for Lithuania: the formal establishment of institutional structures would not in itself ensure the effectiveness of legal guarantees. With limited transparency or procedural legitimacy, there is a risk that oversight institutions would act more declaratively than restricting abuse. This implies that the quality of regulation would depend not only on the content of the norms, but also on the culture of their implementation and institutional maturity.</w:t>
      </w:r>
    </w:p>
    <w:p w14:paraId="2AAA9A35" w14:textId="77777777" w:rsidR="0024057B" w:rsidRPr="00D90CA5" w:rsidRDefault="0024057B" w:rsidP="0024057B">
      <w:pPr>
        <w:spacing w:after="0" w:line="360" w:lineRule="auto"/>
        <w:ind w:firstLine="851"/>
        <w:jc w:val="both"/>
        <w:rPr>
          <w:rFonts w:ascii="Times New Roman" w:hAnsi="Times New Roman" w:cs="Times New Roman"/>
          <w:sz w:val="24"/>
          <w:szCs w:val="24"/>
        </w:rPr>
      </w:pPr>
      <w:r w:rsidRPr="00D90CA5">
        <w:rPr>
          <w:rFonts w:ascii="Times New Roman" w:hAnsi="Times New Roman" w:cs="Times New Roman"/>
          <w:sz w:val="24"/>
          <w:szCs w:val="24"/>
        </w:rPr>
        <w:t>However, some limitations must be acknowledged and carefully framed. First, the analysis is based exclusively on article abstracts published in English and indexed in major databases, which effectively excludes a significant part of legal production from non-Anglophone contexts. This linguistic and geographic restriction limits the comparative scope of the study, particularly in countries where legal documents are published in other languages or are underrepresented in the selected databases. Second, by focusing solely on abstracts, the study could not access the full argumentative depth of the articles, especially doctrinal nuances or complex judicial reasoning that enrich legal debates.</w:t>
      </w:r>
    </w:p>
    <w:p w14:paraId="6DEAB419" w14:textId="77777777" w:rsidR="0024057B" w:rsidRPr="001256EA" w:rsidRDefault="0024057B" w:rsidP="0024057B">
      <w:pPr>
        <w:spacing w:after="0" w:line="360" w:lineRule="auto"/>
        <w:ind w:firstLine="851"/>
        <w:jc w:val="both"/>
        <w:rPr>
          <w:rFonts w:ascii="Times New Roman" w:hAnsi="Times New Roman" w:cs="Times New Roman"/>
          <w:sz w:val="24"/>
          <w:szCs w:val="24"/>
        </w:rPr>
      </w:pPr>
      <w:r w:rsidRPr="00D90CA5">
        <w:rPr>
          <w:rFonts w:ascii="Times New Roman" w:hAnsi="Times New Roman" w:cs="Times New Roman"/>
          <w:sz w:val="24"/>
          <w:szCs w:val="24"/>
        </w:rPr>
        <w:t>Moreover, the use of a purely documentary approach, centered on the analysis of academic texts, did not allow for engagement with the practical realities of law or the perceptions of legal and medical professionals. This limitation is acknowledged, as the aim of the chapter is to offer a strictly theoretical and analytical contribution that may serve as a foundation for future empirical investigations. Finally, while the analysis highlighted several gaps in the literature, it does not claim to be exhaustive.</w:t>
      </w:r>
      <w:r w:rsidRPr="001256EA">
        <w:rPr>
          <w:rFonts w:ascii="Times New Roman" w:hAnsi="Times New Roman" w:cs="Times New Roman"/>
          <w:sz w:val="24"/>
          <w:szCs w:val="24"/>
        </w:rPr>
        <w:t xml:space="preserve"> </w:t>
      </w:r>
    </w:p>
    <w:p w14:paraId="30CB2B7E" w14:textId="4B3FC301" w:rsidR="0024057B" w:rsidRPr="001256EA" w:rsidRDefault="000E616E" w:rsidP="0024057B">
      <w:pPr>
        <w:spacing w:after="0" w:line="360" w:lineRule="auto"/>
        <w:ind w:firstLine="851"/>
        <w:jc w:val="both"/>
        <w:rPr>
          <w:rFonts w:ascii="Times New Roman" w:hAnsi="Times New Roman" w:cs="Times New Roman"/>
          <w:sz w:val="24"/>
          <w:szCs w:val="24"/>
        </w:rPr>
        <w:sectPr w:rsidR="0024057B" w:rsidRPr="001256EA" w:rsidSect="004646AE">
          <w:footerReference w:type="default" r:id="rId15"/>
          <w:pgSz w:w="11906" w:h="16838"/>
          <w:pgMar w:top="1417" w:right="1417" w:bottom="1417" w:left="1417" w:header="720" w:footer="720" w:gutter="0"/>
          <w:cols w:space="720"/>
          <w:titlePg/>
          <w:docGrid w:linePitch="360"/>
        </w:sectPr>
      </w:pPr>
      <w:r w:rsidRPr="001256EA">
        <w:rPr>
          <w:rFonts w:ascii="Times New Roman" w:hAnsi="Times New Roman" w:cs="Times New Roman"/>
          <w:sz w:val="24"/>
          <w:szCs w:val="24"/>
        </w:rPr>
        <w:t xml:space="preserve">The first chapter examined the institutionalization of euthanasia in the context of human rights – the right to life and the right to die. The principles and guidelines established in international law, revealing the tension between the right to life, patient autonomy and the right to choose death, were also discussed. The legal and social consequences of euthanasia in the human rights discourse were also analyzed. At the end of the chapter, based on a computer thematic analysis of legal doctrine, the connections between the right to life and the right to die were reviewed, the applied research methods and the main conclusions were presented, </w:t>
      </w:r>
      <w:r w:rsidRPr="001256EA">
        <w:rPr>
          <w:rFonts w:ascii="Times New Roman" w:hAnsi="Times New Roman" w:cs="Times New Roman"/>
          <w:sz w:val="24"/>
          <w:szCs w:val="24"/>
        </w:rPr>
        <w:lastRenderedPageBreak/>
        <w:t xml:space="preserve">allowing for a systematic assessment of the prevailing scientific positions. </w:t>
      </w:r>
      <w:r w:rsidR="00AD7403" w:rsidRPr="001256EA">
        <w:rPr>
          <w:rFonts w:ascii="Times New Roman" w:hAnsi="Times New Roman" w:cs="Times New Roman"/>
          <w:sz w:val="24"/>
          <w:szCs w:val="24"/>
        </w:rPr>
        <w:t>To</w:t>
      </w:r>
      <w:r w:rsidRPr="001256EA">
        <w:rPr>
          <w:rFonts w:ascii="Times New Roman" w:hAnsi="Times New Roman" w:cs="Times New Roman"/>
          <w:sz w:val="24"/>
          <w:szCs w:val="24"/>
        </w:rPr>
        <w:t xml:space="preserve"> implement the stated research goal and objectives, the second chapter of the work will examine the implementation of the institute of </w:t>
      </w:r>
      <w:r w:rsidR="00AD7403"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in the context of national and international law and identify the main problems related to it</w:t>
      </w:r>
      <w:r w:rsidR="002B600B" w:rsidRPr="001256EA">
        <w:rPr>
          <w:rFonts w:ascii="Times New Roman" w:hAnsi="Times New Roman" w:cs="Times New Roman"/>
          <w:sz w:val="24"/>
          <w:szCs w:val="24"/>
        </w:rPr>
        <w:t>.</w:t>
      </w:r>
    </w:p>
    <w:p w14:paraId="4953568F" w14:textId="5AE64D9F" w:rsidR="00A70645" w:rsidRPr="001256EA" w:rsidRDefault="00CB0C3C" w:rsidP="00ED3976">
      <w:pPr>
        <w:pStyle w:val="Heading1"/>
        <w:jc w:val="center"/>
        <w:rPr>
          <w:rFonts w:ascii="Times New Roman" w:hAnsi="Times New Roman" w:cs="Times New Roman"/>
          <w:b/>
          <w:bCs/>
          <w:color w:val="auto"/>
          <w:sz w:val="28"/>
          <w:szCs w:val="28"/>
        </w:rPr>
      </w:pPr>
      <w:bookmarkStart w:id="24" w:name="_Toc216374390"/>
      <w:r w:rsidRPr="001256EA">
        <w:rPr>
          <w:rFonts w:ascii="Times New Roman" w:hAnsi="Times New Roman" w:cs="Times New Roman"/>
          <w:b/>
          <w:bCs/>
          <w:color w:val="auto"/>
          <w:sz w:val="28"/>
          <w:szCs w:val="28"/>
        </w:rPr>
        <w:lastRenderedPageBreak/>
        <w:t xml:space="preserve">2. </w:t>
      </w:r>
      <w:r w:rsidR="00A70645" w:rsidRPr="001256EA">
        <w:rPr>
          <w:rFonts w:ascii="Times New Roman" w:hAnsi="Times New Roman" w:cs="Times New Roman"/>
          <w:b/>
          <w:bCs/>
          <w:color w:val="auto"/>
          <w:sz w:val="28"/>
          <w:szCs w:val="28"/>
        </w:rPr>
        <w:t>THE IMPLEMENTATION OF THE EUTHANASIA INSTITUTE IN THE CONTEXT OF NATIONAL AND INTERNATIONAL LAW AND IDENTIFICATION OF THE MAIN PROBLEMS</w:t>
      </w:r>
      <w:bookmarkEnd w:id="24"/>
    </w:p>
    <w:p w14:paraId="4D43E409" w14:textId="77777777" w:rsidR="00EF724B" w:rsidRPr="001256EA" w:rsidRDefault="00EF724B" w:rsidP="00EF724B">
      <w:pPr>
        <w:spacing w:after="0" w:line="360" w:lineRule="auto"/>
        <w:ind w:firstLine="851"/>
        <w:jc w:val="both"/>
        <w:rPr>
          <w:rFonts w:ascii="Times New Roman" w:hAnsi="Times New Roman" w:cs="Times New Roman"/>
          <w:sz w:val="24"/>
          <w:szCs w:val="24"/>
        </w:rPr>
      </w:pPr>
    </w:p>
    <w:p w14:paraId="4D03113B" w14:textId="2E865039" w:rsidR="00D2668D" w:rsidRPr="001256EA" w:rsidRDefault="00EF724B" w:rsidP="00EF724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second part of the dissertation examines the implementation of the institution of euthanasia in the context of national and international law, to reveal the main problems related to the legal regulation and practical application of this institution. First, national legal acts regulating euthanasia are analyzed, assessing their content, systemic consistency and compatibility with the principles of human rights protection. Next, international legal acts related to ensuring the right to euthanasia are discussed, separately distinguishing between sources of European Union law and legal models applied outside the European Union. Cases in which the right to euthanasia </w:t>
      </w:r>
      <w:r w:rsidR="0075135C" w:rsidRPr="001256EA">
        <w:rPr>
          <w:rFonts w:ascii="Times New Roman" w:hAnsi="Times New Roman" w:cs="Times New Roman"/>
          <w:sz w:val="24"/>
          <w:szCs w:val="24"/>
        </w:rPr>
        <w:t>are</w:t>
      </w:r>
      <w:r w:rsidRPr="001256EA">
        <w:rPr>
          <w:rFonts w:ascii="Times New Roman" w:hAnsi="Times New Roman" w:cs="Times New Roman"/>
          <w:sz w:val="24"/>
          <w:szCs w:val="24"/>
        </w:rPr>
        <w:t xml:space="preserve"> restricted or limited are also analyzed by examining the legal foundations of such restrictions and their compliance with the principles of proportionality and legality. Finally, the legal consequences and forms of liability arising from the restriction or violation of the right to euthanasia are assessed, to determine the effectiveness of the current regulation and identify its essential shortcomings.</w:t>
      </w:r>
    </w:p>
    <w:p w14:paraId="4DEBF407" w14:textId="77777777" w:rsidR="00ED3976" w:rsidRPr="001256EA" w:rsidRDefault="00ED3976" w:rsidP="00EF724B">
      <w:pPr>
        <w:spacing w:after="0" w:line="360" w:lineRule="auto"/>
        <w:ind w:firstLine="851"/>
        <w:jc w:val="both"/>
        <w:rPr>
          <w:rFonts w:ascii="Times New Roman" w:hAnsi="Times New Roman" w:cs="Times New Roman"/>
          <w:sz w:val="24"/>
          <w:szCs w:val="24"/>
        </w:rPr>
      </w:pPr>
    </w:p>
    <w:p w14:paraId="1D2C8EB5" w14:textId="7152398C" w:rsidR="00A70645" w:rsidRPr="001256EA" w:rsidRDefault="00ED3976" w:rsidP="00ED3976">
      <w:pPr>
        <w:pStyle w:val="Heading2"/>
        <w:ind w:left="780"/>
        <w:jc w:val="center"/>
        <w:rPr>
          <w:rFonts w:ascii="Times New Roman" w:hAnsi="Times New Roman" w:cs="Times New Roman"/>
          <w:b/>
          <w:bCs/>
          <w:color w:val="auto"/>
          <w:sz w:val="24"/>
          <w:szCs w:val="24"/>
        </w:rPr>
      </w:pPr>
      <w:bookmarkStart w:id="25" w:name="_Toc216374391"/>
      <w:r w:rsidRPr="001256EA">
        <w:rPr>
          <w:rFonts w:ascii="Times New Roman" w:hAnsi="Times New Roman" w:cs="Times New Roman"/>
          <w:b/>
          <w:bCs/>
          <w:color w:val="auto"/>
          <w:sz w:val="24"/>
          <w:szCs w:val="24"/>
        </w:rPr>
        <w:t xml:space="preserve">2.1. </w:t>
      </w:r>
      <w:r w:rsidR="00A70645" w:rsidRPr="001256EA">
        <w:rPr>
          <w:rFonts w:ascii="Times New Roman" w:hAnsi="Times New Roman" w:cs="Times New Roman"/>
          <w:b/>
          <w:bCs/>
          <w:color w:val="auto"/>
          <w:sz w:val="24"/>
          <w:szCs w:val="24"/>
        </w:rPr>
        <w:t>National legal acts review in the context of euthanasia institute</w:t>
      </w:r>
      <w:bookmarkEnd w:id="25"/>
    </w:p>
    <w:p w14:paraId="5749D01F" w14:textId="77777777" w:rsidR="00ED3976" w:rsidRPr="001256EA" w:rsidRDefault="00ED3976" w:rsidP="00ED3976"/>
    <w:p w14:paraId="516B78AA" w14:textId="5550F53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Both active and passive euthanasia are prohibited in Lithuania. The Lithuanian legal system does not directly mention the word euthanasia, however, in the Criminal Code of the Republic of Lithuania (hereinafter referred to as the Criminal Code of the R</w:t>
      </w:r>
      <w:r w:rsidR="00D65B83" w:rsidRPr="001256EA">
        <w:rPr>
          <w:rFonts w:ascii="Times New Roman" w:hAnsi="Times New Roman" w:cs="Times New Roman"/>
          <w:sz w:val="24"/>
          <w:szCs w:val="24"/>
        </w:rPr>
        <w:t>L</w:t>
      </w:r>
      <w:r w:rsidRPr="001256EA">
        <w:rPr>
          <w:rFonts w:ascii="Times New Roman" w:hAnsi="Times New Roman" w:cs="Times New Roman"/>
          <w:sz w:val="24"/>
          <w:szCs w:val="24"/>
        </w:rPr>
        <w:t>), acts that are equated with euthanasia are qualified as crimes against human life</w:t>
      </w:r>
      <w:r w:rsidRPr="001256EA">
        <w:rPr>
          <w:rFonts w:ascii="Times New Roman" w:hAnsi="Times New Roman" w:cs="Times New Roman"/>
          <w:sz w:val="24"/>
          <w:szCs w:val="24"/>
          <w:vertAlign w:val="superscript"/>
        </w:rPr>
        <w:footnoteReference w:id="240"/>
      </w:r>
      <w:r w:rsidRPr="001256EA">
        <w:rPr>
          <w:rFonts w:ascii="Times New Roman" w:hAnsi="Times New Roman" w:cs="Times New Roman"/>
          <w:sz w:val="24"/>
          <w:szCs w:val="24"/>
        </w:rPr>
        <w:t xml:space="preserve">. </w:t>
      </w:r>
    </w:p>
    <w:p w14:paraId="2300F377" w14:textId="0CF9A595"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main legal act of the Republic of Lithuania regulating and protecting the right to life is the Constitution of the Republic of Lithuania (hereinafter referred to as the Constitution). Article 19 of the Constitution states that “</w:t>
      </w:r>
      <w:r w:rsidRPr="001256EA">
        <w:rPr>
          <w:rFonts w:ascii="Times New Roman" w:hAnsi="Times New Roman" w:cs="Times New Roman"/>
          <w:i/>
          <w:iCs/>
          <w:sz w:val="24"/>
          <w:szCs w:val="24"/>
        </w:rPr>
        <w:t>the human right to life is inviolable</w:t>
      </w:r>
      <w:r w:rsidRPr="001256EA">
        <w:rPr>
          <w:rFonts w:ascii="Times New Roman" w:hAnsi="Times New Roman" w:cs="Times New Roman"/>
          <w:sz w:val="24"/>
          <w:szCs w:val="24"/>
        </w:rPr>
        <w:t>”. Article 21 of the Constitution protects the inviolability and dignity of the human person. The protection and importance of these values is also emphasized and consistently formed by the case law of the Constitutional Court of the Republic of Lithuania. The case law of the Constitutional Court of the Republic of Lithuania clarifies that “</w:t>
      </w:r>
      <w:r w:rsidRPr="001256EA">
        <w:rPr>
          <w:rFonts w:ascii="Times New Roman" w:hAnsi="Times New Roman" w:cs="Times New Roman"/>
          <w:i/>
          <w:iCs/>
          <w:sz w:val="24"/>
          <w:szCs w:val="24"/>
        </w:rPr>
        <w:t xml:space="preserve">human life and dignity constitute the integrity of the personality, represent the essence of a person. Life and dignity are inalienable human qualities, </w:t>
      </w:r>
      <w:r w:rsidRPr="001256EA">
        <w:rPr>
          <w:rFonts w:ascii="Times New Roman" w:hAnsi="Times New Roman" w:cs="Times New Roman"/>
          <w:i/>
          <w:iCs/>
          <w:sz w:val="24"/>
          <w:szCs w:val="24"/>
        </w:rPr>
        <w:lastRenderedPageBreak/>
        <w:t>therefore they cannot be treated separately</w:t>
      </w:r>
      <w:r w:rsidRPr="001256EA">
        <w:rPr>
          <w:rFonts w:ascii="Times New Roman" w:hAnsi="Times New Roman" w:cs="Times New Roman"/>
          <w:sz w:val="24"/>
          <w:szCs w:val="24"/>
        </w:rPr>
        <w:t>”</w:t>
      </w:r>
      <w:r w:rsidRPr="001256EA">
        <w:rPr>
          <w:rFonts w:ascii="Times New Roman" w:hAnsi="Times New Roman" w:cs="Times New Roman"/>
          <w:sz w:val="24"/>
          <w:szCs w:val="24"/>
          <w:vertAlign w:val="superscript"/>
        </w:rPr>
        <w:footnoteReference w:id="241"/>
      </w:r>
      <w:r w:rsidRPr="001256EA">
        <w:rPr>
          <w:rFonts w:ascii="Times New Roman" w:hAnsi="Times New Roman" w:cs="Times New Roman"/>
          <w:sz w:val="24"/>
          <w:szCs w:val="24"/>
        </w:rPr>
        <w:t>. It can be argued that the absence of legalized euthanasia in Lithuania creates conditions where the forced continuation of suffering is against the person's own will and may constitute a violation of dignity</w:t>
      </w:r>
      <w:r w:rsidRPr="001256EA">
        <w:rPr>
          <w:rFonts w:ascii="Times New Roman" w:hAnsi="Times New Roman" w:cs="Times New Roman"/>
          <w:sz w:val="24"/>
          <w:szCs w:val="24"/>
          <w:vertAlign w:val="superscript"/>
        </w:rPr>
        <w:footnoteReference w:id="242"/>
      </w:r>
      <w:r w:rsidRPr="001256EA">
        <w:rPr>
          <w:rFonts w:ascii="Times New Roman" w:hAnsi="Times New Roman" w:cs="Times New Roman"/>
          <w:sz w:val="24"/>
          <w:szCs w:val="24"/>
        </w:rPr>
        <w:t xml:space="preserve">. Such laws force a person to live with unbearable pain when the disease is predicted without hope of </w:t>
      </w:r>
      <w:r w:rsidR="00ED3976" w:rsidRPr="001256EA">
        <w:rPr>
          <w:rFonts w:ascii="Times New Roman" w:hAnsi="Times New Roman" w:cs="Times New Roman"/>
          <w:sz w:val="24"/>
          <w:szCs w:val="24"/>
        </w:rPr>
        <w:t>improvement and</w:t>
      </w:r>
      <w:r w:rsidRPr="001256EA">
        <w:rPr>
          <w:rFonts w:ascii="Times New Roman" w:hAnsi="Times New Roman" w:cs="Times New Roman"/>
          <w:sz w:val="24"/>
          <w:szCs w:val="24"/>
        </w:rPr>
        <w:t xml:space="preserve"> thus violate the person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right to dignity. On the other hand, the articles of the Constitution protecting the right to life can be understood as the state's duty to protect life in all circumstances and to protect individuals from the decision to euthanize, so that such a decision is not determined by pressure, depression or other extraneous factors</w:t>
      </w:r>
      <w:r w:rsidRPr="001256EA">
        <w:rPr>
          <w:rFonts w:ascii="Times New Roman" w:hAnsi="Times New Roman" w:cs="Times New Roman"/>
          <w:sz w:val="24"/>
          <w:szCs w:val="24"/>
          <w:vertAlign w:val="superscript"/>
        </w:rPr>
        <w:footnoteReference w:id="243"/>
      </w:r>
      <w:r w:rsidRPr="001256EA">
        <w:rPr>
          <w:rFonts w:ascii="Times New Roman" w:hAnsi="Times New Roman" w:cs="Times New Roman"/>
          <w:sz w:val="24"/>
          <w:szCs w:val="24"/>
        </w:rPr>
        <w:t>.</w:t>
      </w:r>
    </w:p>
    <w:p w14:paraId="7688F0AC" w14:textId="4F2F66AF"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Article 134 of the Criminal Code of the </w:t>
      </w:r>
      <w:r w:rsidR="00D65B83" w:rsidRPr="001256EA">
        <w:rPr>
          <w:rFonts w:ascii="Times New Roman" w:hAnsi="Times New Roman" w:cs="Times New Roman"/>
          <w:sz w:val="24"/>
          <w:szCs w:val="24"/>
        </w:rPr>
        <w:t xml:space="preserve">RL </w:t>
      </w:r>
      <w:r w:rsidRPr="001256EA">
        <w:rPr>
          <w:rFonts w:ascii="Times New Roman" w:hAnsi="Times New Roman" w:cs="Times New Roman"/>
          <w:sz w:val="24"/>
          <w:szCs w:val="24"/>
        </w:rPr>
        <w:t>provides that “</w:t>
      </w:r>
      <w:r w:rsidRPr="001256EA">
        <w:rPr>
          <w:rFonts w:ascii="Times New Roman" w:hAnsi="Times New Roman" w:cs="Times New Roman"/>
          <w:i/>
          <w:iCs/>
          <w:sz w:val="24"/>
          <w:szCs w:val="24"/>
        </w:rPr>
        <w:t>A person who, at the request of a terminally ill person, helps him commit suicide shall be punished by</w:t>
      </w:r>
      <w:r w:rsidRPr="001256EA">
        <w:rPr>
          <w:rFonts w:ascii="Times New Roman" w:hAnsi="Times New Roman" w:cs="Times New Roman"/>
          <w:sz w:val="24"/>
          <w:szCs w:val="24"/>
        </w:rPr>
        <w:t xml:space="preserve"> </w:t>
      </w:r>
      <w:r w:rsidRPr="001256EA">
        <w:rPr>
          <w:rFonts w:ascii="Times New Roman" w:hAnsi="Times New Roman" w:cs="Times New Roman"/>
          <w:i/>
          <w:iCs/>
          <w:sz w:val="24"/>
          <w:szCs w:val="24"/>
        </w:rPr>
        <w:t>restriction of liberty or arrest, or imprisonment for up to four years</w:t>
      </w:r>
      <w:r w:rsidRPr="001256EA">
        <w:rPr>
          <w:rFonts w:ascii="Times New Roman" w:hAnsi="Times New Roman" w:cs="Times New Roman"/>
          <w:sz w:val="24"/>
          <w:szCs w:val="24"/>
        </w:rPr>
        <w:t xml:space="preserve">”. This law establishes a ban on cases where a person provides means or advice to a terminally ill person that allows the latter to commit suicide. </w:t>
      </w:r>
      <w:r w:rsidR="0075135C" w:rsidRPr="001256EA">
        <w:rPr>
          <w:rFonts w:ascii="Times New Roman" w:hAnsi="Times New Roman" w:cs="Times New Roman"/>
          <w:sz w:val="24"/>
          <w:szCs w:val="24"/>
        </w:rPr>
        <w:t>So,</w:t>
      </w:r>
      <w:r w:rsidRPr="001256EA">
        <w:rPr>
          <w:rFonts w:ascii="Times New Roman" w:hAnsi="Times New Roman" w:cs="Times New Roman"/>
          <w:sz w:val="24"/>
          <w:szCs w:val="24"/>
        </w:rPr>
        <w:t xml:space="preserve"> if a person creates conditions for a sick person to end their own life. This can be done by handing over deadly drugs, weapons, rope, etc. to a sick person who wants to commit suicide</w:t>
      </w:r>
      <w:r w:rsidRPr="001256EA">
        <w:rPr>
          <w:rFonts w:ascii="Times New Roman" w:hAnsi="Times New Roman" w:cs="Times New Roman"/>
          <w:sz w:val="24"/>
          <w:szCs w:val="24"/>
          <w:vertAlign w:val="superscript"/>
        </w:rPr>
        <w:footnoteReference w:id="244"/>
      </w:r>
      <w:r w:rsidRPr="001256EA">
        <w:rPr>
          <w:rFonts w:ascii="Times New Roman" w:hAnsi="Times New Roman" w:cs="Times New Roman"/>
          <w:sz w:val="24"/>
          <w:szCs w:val="24"/>
        </w:rPr>
        <w:t xml:space="preserve">. The commission of such acts, according to Article 134 of the Criminal Code of the </w:t>
      </w:r>
      <w:r w:rsidR="00D65B83" w:rsidRPr="001256EA">
        <w:rPr>
          <w:rFonts w:ascii="Times New Roman" w:hAnsi="Times New Roman" w:cs="Times New Roman"/>
          <w:sz w:val="24"/>
          <w:szCs w:val="24"/>
        </w:rPr>
        <w:t>RL</w:t>
      </w:r>
      <w:r w:rsidRPr="001256EA">
        <w:rPr>
          <w:rFonts w:ascii="Times New Roman" w:hAnsi="Times New Roman" w:cs="Times New Roman"/>
          <w:sz w:val="24"/>
          <w:szCs w:val="24"/>
        </w:rPr>
        <w:t xml:space="preserve">, entails criminal liability and a person may be sentenced to up to four years in prison by a court decision. This form of criminal offense has been legalized only since the 2003 entry into force of the Criminal Code of the </w:t>
      </w:r>
      <w:r w:rsidR="00D65B83" w:rsidRPr="001256EA">
        <w:rPr>
          <w:rFonts w:ascii="Times New Roman" w:hAnsi="Times New Roman" w:cs="Times New Roman"/>
          <w:sz w:val="24"/>
          <w:szCs w:val="24"/>
        </w:rPr>
        <w:t>RL</w:t>
      </w:r>
      <w:r w:rsidRPr="001256EA">
        <w:rPr>
          <w:rFonts w:ascii="Times New Roman" w:hAnsi="Times New Roman" w:cs="Times New Roman"/>
          <w:sz w:val="24"/>
          <w:szCs w:val="24"/>
        </w:rPr>
        <w:t>, and according to scientists, this was the first step towards softening the euthanasia policy</w:t>
      </w:r>
      <w:r w:rsidRPr="001256EA">
        <w:rPr>
          <w:rFonts w:ascii="Times New Roman" w:hAnsi="Times New Roman" w:cs="Times New Roman"/>
          <w:sz w:val="24"/>
          <w:szCs w:val="24"/>
          <w:vertAlign w:val="superscript"/>
        </w:rPr>
        <w:footnoteReference w:id="245"/>
      </w:r>
      <w:r w:rsidRPr="001256EA">
        <w:rPr>
          <w:rFonts w:ascii="Times New Roman" w:hAnsi="Times New Roman" w:cs="Times New Roman"/>
          <w:sz w:val="24"/>
          <w:szCs w:val="24"/>
        </w:rPr>
        <w:t xml:space="preserve">. However, to this day, euthanasia remains criminalized and carries criminal liability. </w:t>
      </w:r>
    </w:p>
    <w:p w14:paraId="7E85EB85" w14:textId="4540E7F0"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Active euthanasia is not directly prohibited by the Criminal Code of the </w:t>
      </w:r>
      <w:r w:rsidR="00D65B83" w:rsidRPr="001256EA">
        <w:rPr>
          <w:rFonts w:ascii="Times New Roman" w:hAnsi="Times New Roman" w:cs="Times New Roman"/>
          <w:sz w:val="24"/>
          <w:szCs w:val="24"/>
        </w:rPr>
        <w:t>RL</w:t>
      </w:r>
      <w:r w:rsidRPr="001256EA">
        <w:rPr>
          <w:rFonts w:ascii="Times New Roman" w:hAnsi="Times New Roman" w:cs="Times New Roman"/>
          <w:sz w:val="24"/>
          <w:szCs w:val="24"/>
        </w:rPr>
        <w:t xml:space="preserve">, but such an act is considered murder under the laws of the Republic of Lithuania. Article 129 of the Criminal Code of the </w:t>
      </w:r>
      <w:r w:rsidR="00D65B83" w:rsidRPr="001256EA">
        <w:rPr>
          <w:rFonts w:ascii="Times New Roman" w:hAnsi="Times New Roman" w:cs="Times New Roman"/>
          <w:sz w:val="24"/>
          <w:szCs w:val="24"/>
        </w:rPr>
        <w:t xml:space="preserve">RL </w:t>
      </w:r>
      <w:r w:rsidRPr="001256EA">
        <w:rPr>
          <w:rFonts w:ascii="Times New Roman" w:hAnsi="Times New Roman" w:cs="Times New Roman"/>
          <w:sz w:val="24"/>
          <w:szCs w:val="24"/>
        </w:rPr>
        <w:t>provides that intentional taking of another person’s life is punishable by imprisonment for a term of seven years to life. The law does not provide for any mitigating circumstances if the person himself requested to take his life. This shows that the law strictly protects the right to life and it cannot be terminated even with the consent of that person.</w:t>
      </w:r>
    </w:p>
    <w:p w14:paraId="52343CA4" w14:textId="0D60063F" w:rsidR="004116D9"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Article 14 of the Law on Patients</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Rights and Compensation for Damage to Health of the Republic of Lithuania establishes that for persons aged 16 and over </w:t>
      </w:r>
      <w:r w:rsidR="00ED3976" w:rsidRPr="001256EA">
        <w:rPr>
          <w:rFonts w:ascii="Times New Roman" w:hAnsi="Times New Roman" w:cs="Times New Roman"/>
          <w:sz w:val="24"/>
          <w:szCs w:val="24"/>
        </w:rPr>
        <w:t>“</w:t>
      </w:r>
      <w:r w:rsidRPr="001256EA">
        <w:rPr>
          <w:rFonts w:ascii="Times New Roman" w:hAnsi="Times New Roman" w:cs="Times New Roman"/>
          <w:i/>
          <w:iCs/>
          <w:sz w:val="24"/>
          <w:szCs w:val="24"/>
        </w:rPr>
        <w:t>healthcare services shall be provided only with their consent, except in cases of provision of emergency medical services when the patient cannot express his/her will</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This shows that </w:t>
      </w:r>
      <w:r w:rsidR="00ED3976" w:rsidRPr="001256EA">
        <w:rPr>
          <w:rFonts w:ascii="Times New Roman" w:hAnsi="Times New Roman" w:cs="Times New Roman"/>
          <w:sz w:val="24"/>
          <w:szCs w:val="24"/>
        </w:rPr>
        <w:t>people</w:t>
      </w:r>
      <w:r w:rsidRPr="001256EA">
        <w:rPr>
          <w:rFonts w:ascii="Times New Roman" w:hAnsi="Times New Roman" w:cs="Times New Roman"/>
          <w:sz w:val="24"/>
          <w:szCs w:val="24"/>
        </w:rPr>
        <w:t xml:space="preserve"> have the right to decide for themselves whether they wish to continue treatment or can </w:t>
      </w:r>
      <w:r w:rsidR="0075135C" w:rsidRPr="001256EA">
        <w:rPr>
          <w:rFonts w:ascii="Times New Roman" w:hAnsi="Times New Roman" w:cs="Times New Roman"/>
          <w:sz w:val="24"/>
          <w:szCs w:val="24"/>
        </w:rPr>
        <w:t>decide</w:t>
      </w:r>
      <w:r w:rsidRPr="001256EA">
        <w:rPr>
          <w:rFonts w:ascii="Times New Roman" w:hAnsi="Times New Roman" w:cs="Times New Roman"/>
          <w:sz w:val="24"/>
          <w:szCs w:val="24"/>
        </w:rPr>
        <w:t xml:space="preserve"> and the associated risk not to continue treatment. This law is supplemented by the Law on the Determination of Human Death and Critical Conditions of the Republic of Lithuania, which establishes the right not to initiate resuscitation and the right to terminate resuscitation. Article 10, paragraph 2 and Article 11, paragraph 3 of the Law on the Determination of Human Death and Critical Conditions of the Republic of Lithuania provide that it is permitted not to initiate resuscitation and/or terminate resuscitation if the patient has expressed his/her refusal to be resuscitated in writing, and the medical council decides that resuscitation actions would be considered hopeless. This is considered a humane decision, providing the opportunity to die naturally when medicine can no longer </w:t>
      </w:r>
      <w:r w:rsidR="00ED3976" w:rsidRPr="001256EA">
        <w:rPr>
          <w:rFonts w:ascii="Times New Roman" w:hAnsi="Times New Roman" w:cs="Times New Roman"/>
          <w:sz w:val="24"/>
          <w:szCs w:val="24"/>
        </w:rPr>
        <w:t>be cured</w:t>
      </w:r>
      <w:r w:rsidRPr="001256EA">
        <w:rPr>
          <w:rFonts w:ascii="Times New Roman" w:hAnsi="Times New Roman" w:cs="Times New Roman"/>
          <w:sz w:val="24"/>
          <w:szCs w:val="24"/>
        </w:rPr>
        <w:t xml:space="preserve">, and does not fall within the scope of criminal law. Article 2 of the Law of the Republic of Lithuania on the Determination of Human Death and Critical Conditions defines hopeless resuscitation as </w:t>
      </w:r>
      <w:r w:rsidR="00ED3976" w:rsidRPr="001256EA">
        <w:rPr>
          <w:rFonts w:ascii="Times New Roman" w:hAnsi="Times New Roman" w:cs="Times New Roman"/>
          <w:sz w:val="24"/>
          <w:szCs w:val="24"/>
        </w:rPr>
        <w:t>“</w:t>
      </w:r>
      <w:r w:rsidRPr="001256EA">
        <w:rPr>
          <w:rFonts w:ascii="Times New Roman" w:hAnsi="Times New Roman" w:cs="Times New Roman"/>
          <w:i/>
          <w:iCs/>
          <w:sz w:val="24"/>
          <w:szCs w:val="24"/>
        </w:rPr>
        <w:t>resuscitation of a critically ill patient, for whom etiopathogenetic treatment methods are not available or have been exhausted and there are objective signs of irreversible damage to one or more organ systems ensuring vital functions, due to which there is no medically justified probability of improving or restoring the patient</w:t>
      </w:r>
      <w:r w:rsidR="00ED3976" w:rsidRPr="001256EA">
        <w:rPr>
          <w:rFonts w:ascii="Times New Roman" w:hAnsi="Times New Roman" w:cs="Times New Roman"/>
          <w:i/>
          <w:iCs/>
          <w:sz w:val="24"/>
          <w:szCs w:val="24"/>
        </w:rPr>
        <w:t>’</w:t>
      </w:r>
      <w:r w:rsidRPr="001256EA">
        <w:rPr>
          <w:rFonts w:ascii="Times New Roman" w:hAnsi="Times New Roman" w:cs="Times New Roman"/>
          <w:i/>
          <w:iCs/>
          <w:sz w:val="24"/>
          <w:szCs w:val="24"/>
        </w:rPr>
        <w:t>s vital functions of the body that existed before the critical condition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The wording of the </w:t>
      </w:r>
      <w:proofErr w:type="spellStart"/>
      <w:r w:rsidRPr="001256EA">
        <w:rPr>
          <w:rFonts w:ascii="Times New Roman" w:hAnsi="Times New Roman" w:cs="Times New Roman"/>
          <w:sz w:val="24"/>
          <w:szCs w:val="24"/>
        </w:rPr>
        <w:t>law</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shows</w:t>
      </w:r>
      <w:proofErr w:type="spellEnd"/>
      <w:r w:rsidRPr="001256EA">
        <w:rPr>
          <w:rFonts w:ascii="Times New Roman" w:hAnsi="Times New Roman" w:cs="Times New Roman"/>
          <w:sz w:val="24"/>
          <w:szCs w:val="24"/>
        </w:rPr>
        <w:t xml:space="preserve"> that a person's decision is not enough, since the consent of the </w:t>
      </w:r>
      <w:proofErr w:type="spellStart"/>
      <w:proofErr w:type="gramStart"/>
      <w:r w:rsidRPr="001256EA">
        <w:rPr>
          <w:rFonts w:ascii="Times New Roman" w:hAnsi="Times New Roman" w:cs="Times New Roman"/>
          <w:sz w:val="24"/>
          <w:szCs w:val="24"/>
        </w:rPr>
        <w:t>c</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uncil</w:t>
      </w:r>
      <w:proofErr w:type="spellEnd"/>
      <w:proofErr w:type="gramEnd"/>
      <w:r w:rsidRPr="001256EA">
        <w:rPr>
          <w:rFonts w:ascii="Times New Roman" w:hAnsi="Times New Roman" w:cs="Times New Roman"/>
          <w:sz w:val="24"/>
          <w:szCs w:val="24"/>
        </w:rPr>
        <w:t xml:space="preserve"> is also necessary. This law emphasizes that the legal system in Lithuania is oriented towards trying to preserve a person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life under any circumstances. </w:t>
      </w:r>
    </w:p>
    <w:p w14:paraId="627D4B2B" w14:textId="58634B0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0075135C" w:rsidRPr="001256EA">
        <w:rPr>
          <w:rFonts w:ascii="Times New Roman" w:hAnsi="Times New Roman" w:cs="Times New Roman"/>
          <w:sz w:val="24"/>
          <w:szCs w:val="24"/>
        </w:rPr>
        <w:t>right</w:t>
      </w:r>
      <w:r w:rsidRPr="001256EA">
        <w:rPr>
          <w:rFonts w:ascii="Times New Roman" w:hAnsi="Times New Roman" w:cs="Times New Roman"/>
          <w:sz w:val="24"/>
          <w:szCs w:val="24"/>
        </w:rPr>
        <w:t xml:space="preserve"> to refuse treatment in Lithuanian law means that a patient can </w:t>
      </w:r>
      <w:r w:rsidR="0075135C" w:rsidRPr="001256EA">
        <w:rPr>
          <w:rFonts w:ascii="Times New Roman" w:hAnsi="Times New Roman" w:cs="Times New Roman"/>
          <w:sz w:val="24"/>
          <w:szCs w:val="24"/>
        </w:rPr>
        <w:t xml:space="preserve">refuse </w:t>
      </w:r>
      <w:r w:rsidR="00951528">
        <w:rPr>
          <w:rFonts w:ascii="Times New Roman" w:hAnsi="Times New Roman" w:cs="Times New Roman"/>
          <w:sz w:val="24"/>
          <w:szCs w:val="24"/>
        </w:rPr>
        <w:t>t</w:t>
      </w:r>
      <w:r w:rsidR="0075135C" w:rsidRPr="001256EA">
        <w:rPr>
          <w:rFonts w:ascii="Times New Roman" w:hAnsi="Times New Roman" w:cs="Times New Roman"/>
          <w:sz w:val="24"/>
          <w:szCs w:val="24"/>
        </w:rPr>
        <w:t>o</w:t>
      </w:r>
      <w:r w:rsidRPr="001256EA">
        <w:rPr>
          <w:rFonts w:ascii="Times New Roman" w:hAnsi="Times New Roman" w:cs="Times New Roman"/>
          <w:sz w:val="24"/>
          <w:szCs w:val="24"/>
        </w:rPr>
        <w:t xml:space="preserve"> allow medical professionals to apply invasive life-sustaining measures</w:t>
      </w:r>
      <w:r w:rsidRPr="001256EA">
        <w:rPr>
          <w:rFonts w:ascii="Times New Roman" w:hAnsi="Times New Roman" w:cs="Times New Roman"/>
          <w:sz w:val="24"/>
          <w:szCs w:val="24"/>
          <w:vertAlign w:val="superscript"/>
        </w:rPr>
        <w:footnoteReference w:id="246"/>
      </w:r>
      <w:r w:rsidRPr="001256EA">
        <w:rPr>
          <w:rFonts w:ascii="Times New Roman" w:hAnsi="Times New Roman" w:cs="Times New Roman"/>
          <w:sz w:val="24"/>
          <w:szCs w:val="24"/>
        </w:rPr>
        <w:t>. Such a decision is considered an expression of the patient</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autonomy, not a crime, and therefore doctors are not liable for carrying out the patient</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will. It should be noted that the patient</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decision to refuse treatment is not identical to suicide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the patient is simply allowed to die naturally </w:t>
      </w:r>
      <w:r w:rsidR="007D161B" w:rsidRPr="001256EA">
        <w:rPr>
          <w:rFonts w:ascii="Times New Roman" w:hAnsi="Times New Roman" w:cs="Times New Roman"/>
          <w:sz w:val="24"/>
          <w:szCs w:val="24"/>
        </w:rPr>
        <w:t>during</w:t>
      </w:r>
      <w:r w:rsidRPr="001256EA">
        <w:rPr>
          <w:rFonts w:ascii="Times New Roman" w:hAnsi="Times New Roman" w:cs="Times New Roman"/>
          <w:sz w:val="24"/>
          <w:szCs w:val="24"/>
        </w:rPr>
        <w:t xml:space="preserve"> the disease, without artificially prolonging vital functions. However, this may mean that the person will experience unbearable pain before death, and thus the person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right to dignity will be violated. Another law that provides for the protection of dignity and health is the Civil Code of </w:t>
      </w:r>
      <w:r w:rsidRPr="001256EA">
        <w:rPr>
          <w:rFonts w:ascii="Times New Roman" w:hAnsi="Times New Roman" w:cs="Times New Roman"/>
          <w:sz w:val="24"/>
          <w:szCs w:val="24"/>
        </w:rPr>
        <w:lastRenderedPageBreak/>
        <w:t>the Republic of Lithuania (</w:t>
      </w:r>
      <w:r w:rsidR="0075135C" w:rsidRPr="001256EA">
        <w:rPr>
          <w:rFonts w:ascii="Times New Roman" w:hAnsi="Times New Roman" w:cs="Times New Roman"/>
          <w:sz w:val="24"/>
          <w:szCs w:val="24"/>
        </w:rPr>
        <w:t>hereinafter referred</w:t>
      </w:r>
      <w:r w:rsidRPr="001256EA">
        <w:rPr>
          <w:rFonts w:ascii="Times New Roman" w:hAnsi="Times New Roman" w:cs="Times New Roman"/>
          <w:sz w:val="24"/>
          <w:szCs w:val="24"/>
        </w:rPr>
        <w:t xml:space="preserve"> to as the Civil Code of the </w:t>
      </w:r>
      <w:r w:rsidR="000F53EA" w:rsidRPr="001256EA">
        <w:rPr>
          <w:rFonts w:ascii="Times New Roman" w:hAnsi="Times New Roman" w:cs="Times New Roman"/>
          <w:sz w:val="24"/>
          <w:szCs w:val="24"/>
        </w:rPr>
        <w:t>RL</w:t>
      </w:r>
      <w:r w:rsidRPr="001256EA">
        <w:rPr>
          <w:rFonts w:ascii="Times New Roman" w:hAnsi="Times New Roman" w:cs="Times New Roman"/>
          <w:sz w:val="24"/>
          <w:szCs w:val="24"/>
        </w:rPr>
        <w:t xml:space="preserve">). Article 6.729 of the Civil Code of </w:t>
      </w:r>
      <w:r w:rsidR="000F53EA" w:rsidRPr="001256EA">
        <w:rPr>
          <w:rFonts w:ascii="Times New Roman" w:hAnsi="Times New Roman" w:cs="Times New Roman"/>
          <w:sz w:val="24"/>
          <w:szCs w:val="24"/>
        </w:rPr>
        <w:t xml:space="preserve">the </w:t>
      </w:r>
      <w:r w:rsidRPr="001256EA">
        <w:rPr>
          <w:rFonts w:ascii="Times New Roman" w:hAnsi="Times New Roman" w:cs="Times New Roman"/>
          <w:sz w:val="24"/>
          <w:szCs w:val="24"/>
        </w:rPr>
        <w:t>R</w:t>
      </w:r>
      <w:r w:rsidR="000F53EA" w:rsidRPr="001256EA">
        <w:rPr>
          <w:rFonts w:ascii="Times New Roman" w:hAnsi="Times New Roman" w:cs="Times New Roman"/>
          <w:sz w:val="24"/>
          <w:szCs w:val="24"/>
        </w:rPr>
        <w:t xml:space="preserve">L </w:t>
      </w:r>
      <w:r w:rsidRPr="001256EA">
        <w:rPr>
          <w:rFonts w:ascii="Times New Roman" w:hAnsi="Times New Roman" w:cs="Times New Roman"/>
          <w:sz w:val="24"/>
          <w:szCs w:val="24"/>
        </w:rPr>
        <w:t>provides that “</w:t>
      </w:r>
      <w:r w:rsidRPr="001256EA">
        <w:rPr>
          <w:rFonts w:ascii="Times New Roman" w:hAnsi="Times New Roman" w:cs="Times New Roman"/>
          <w:i/>
          <w:iCs/>
          <w:sz w:val="24"/>
          <w:szCs w:val="24"/>
        </w:rPr>
        <w:t>a patient may not be treated or provided with other personal health care or (and) nursing care against his will, unless otherwise provided by law</w:t>
      </w:r>
      <w:r w:rsidRPr="001256EA">
        <w:rPr>
          <w:rFonts w:ascii="Times New Roman" w:hAnsi="Times New Roman" w:cs="Times New Roman"/>
          <w:sz w:val="24"/>
          <w:szCs w:val="24"/>
        </w:rPr>
        <w:t>”. Since the law provides that treatment is prohibited against his will, in such a case it could be argued that a person should also have the right to choose active termination of life.</w:t>
      </w:r>
      <w:r w:rsidRPr="001256EA">
        <w:rPr>
          <w:rFonts w:ascii="Times New Roman" w:hAnsi="Times New Roman" w:cs="Times New Roman"/>
          <w:sz w:val="24"/>
          <w:szCs w:val="24"/>
        </w:rPr>
        <w:tab/>
      </w:r>
    </w:p>
    <w:p w14:paraId="7BB9928D" w14:textId="315F3822"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legal system of the Republic of Lithuania recorded a case that can be equated to euthanasia. In 1998, the Vilnius City District Prosecutor</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Office initiated an investigation into Ž. S. for the murder of her son. The boy suffered severe suffering for a long time after severe burns, was helpless, but conscious and himself asked his mother to end his life. Ž. S., who had </w:t>
      </w:r>
      <w:r w:rsidR="007857CE" w:rsidRPr="001256EA">
        <w:rPr>
          <w:rFonts w:ascii="Times New Roman" w:hAnsi="Times New Roman" w:cs="Times New Roman"/>
          <w:sz w:val="24"/>
          <w:szCs w:val="24"/>
        </w:rPr>
        <w:t>medical</w:t>
      </w:r>
      <w:r w:rsidRPr="001256EA">
        <w:rPr>
          <w:rFonts w:ascii="Times New Roman" w:hAnsi="Times New Roman" w:cs="Times New Roman"/>
          <w:sz w:val="24"/>
          <w:szCs w:val="24"/>
        </w:rPr>
        <w:t xml:space="preserve"> education, understood that her 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condition was incurable, so after long </w:t>
      </w:r>
      <w:r w:rsidR="007D161B" w:rsidRPr="001256EA">
        <w:rPr>
          <w:rFonts w:ascii="Times New Roman" w:hAnsi="Times New Roman" w:cs="Times New Roman"/>
          <w:sz w:val="24"/>
          <w:szCs w:val="24"/>
        </w:rPr>
        <w:t>persuasion</w:t>
      </w:r>
      <w:r w:rsidRPr="001256EA">
        <w:rPr>
          <w:rFonts w:ascii="Times New Roman" w:hAnsi="Times New Roman" w:cs="Times New Roman"/>
          <w:sz w:val="24"/>
          <w:szCs w:val="24"/>
        </w:rPr>
        <w:t>, she injected him with a lethal dose of medication. After her 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death, she attempted </w:t>
      </w:r>
      <w:r w:rsidR="007D161B" w:rsidRPr="001256EA">
        <w:rPr>
          <w:rFonts w:ascii="Times New Roman" w:hAnsi="Times New Roman" w:cs="Times New Roman"/>
          <w:sz w:val="24"/>
          <w:szCs w:val="24"/>
        </w:rPr>
        <w:t>suicide but</w:t>
      </w:r>
      <w:r w:rsidRPr="001256EA">
        <w:rPr>
          <w:rFonts w:ascii="Times New Roman" w:hAnsi="Times New Roman" w:cs="Times New Roman"/>
          <w:sz w:val="24"/>
          <w:szCs w:val="24"/>
        </w:rPr>
        <w:t xml:space="preserve"> was saved. The investigation found that the woman acted in a </w:t>
      </w:r>
      <w:r w:rsidR="00951528" w:rsidRPr="00A615D8">
        <w:rPr>
          <w:rFonts w:ascii="Times New Roman" w:hAnsi="Times New Roman" w:cs="Times New Roman"/>
          <w:sz w:val="24"/>
          <w:szCs w:val="24"/>
        </w:rPr>
        <w:t>state of temporary mental disturbance</w:t>
      </w:r>
      <w:r w:rsidRPr="001256EA">
        <w:rPr>
          <w:rFonts w:ascii="Times New Roman" w:hAnsi="Times New Roman" w:cs="Times New Roman"/>
          <w:sz w:val="24"/>
          <w:szCs w:val="24"/>
        </w:rPr>
        <w:t>, not realizing her</w:t>
      </w:r>
      <w:r w:rsidR="0075135C">
        <w:rPr>
          <w:rFonts w:ascii="Times New Roman" w:hAnsi="Times New Roman" w:cs="Times New Roman"/>
          <w:sz w:val="24"/>
          <w:szCs w:val="24"/>
        </w:rPr>
        <w:t xml:space="preserve"> actions</w:t>
      </w:r>
      <w:r w:rsidRPr="001256EA">
        <w:rPr>
          <w:rFonts w:ascii="Times New Roman" w:hAnsi="Times New Roman" w:cs="Times New Roman"/>
          <w:sz w:val="24"/>
          <w:szCs w:val="24"/>
        </w:rPr>
        <w:t>, so the case was dismissed due t</w:t>
      </w:r>
      <w:r w:rsidR="0075135C">
        <w:rPr>
          <w:rFonts w:ascii="Times New Roman" w:hAnsi="Times New Roman" w:cs="Times New Roman"/>
          <w:sz w:val="24"/>
          <w:szCs w:val="24"/>
        </w:rPr>
        <w:t>o</w:t>
      </w:r>
      <w:r w:rsidRPr="001256EA">
        <w:rPr>
          <w:rFonts w:ascii="Times New Roman" w:hAnsi="Times New Roman" w:cs="Times New Roman"/>
          <w:sz w:val="24"/>
          <w:szCs w:val="24"/>
        </w:rPr>
        <w:t xml:space="preserve"> </w:t>
      </w:r>
      <w:r w:rsidR="00951528" w:rsidRPr="00A615D8">
        <w:rPr>
          <w:rFonts w:ascii="Times New Roman" w:hAnsi="Times New Roman" w:cs="Times New Roman"/>
          <w:sz w:val="24"/>
          <w:szCs w:val="24"/>
        </w:rPr>
        <w:t>lack of criminal intent</w:t>
      </w:r>
      <w:r w:rsidRPr="001256EA">
        <w:rPr>
          <w:rFonts w:ascii="Times New Roman" w:hAnsi="Times New Roman" w:cs="Times New Roman"/>
          <w:sz w:val="24"/>
          <w:szCs w:val="24"/>
        </w:rPr>
        <w:t xml:space="preserve">. The prosecutor's office decided that the criminal act was committed to alleviate </w:t>
      </w:r>
      <w:r w:rsidR="0075135C" w:rsidRPr="001256EA">
        <w:rPr>
          <w:rFonts w:ascii="Times New Roman" w:hAnsi="Times New Roman" w:cs="Times New Roman"/>
          <w:sz w:val="24"/>
          <w:szCs w:val="24"/>
        </w:rPr>
        <w:t>suffering</w:t>
      </w:r>
      <w:r w:rsidRPr="001256EA">
        <w:rPr>
          <w:rFonts w:ascii="Times New Roman" w:hAnsi="Times New Roman" w:cs="Times New Roman"/>
          <w:sz w:val="24"/>
          <w:szCs w:val="24"/>
        </w:rPr>
        <w:t>, and not because of her son's helpless condition</w:t>
      </w:r>
      <w:r w:rsidRPr="001256EA">
        <w:rPr>
          <w:rFonts w:ascii="Times New Roman" w:hAnsi="Times New Roman" w:cs="Times New Roman"/>
          <w:sz w:val="24"/>
          <w:szCs w:val="24"/>
          <w:vertAlign w:val="superscript"/>
        </w:rPr>
        <w:footnoteReference w:id="247"/>
      </w:r>
      <w:r w:rsidRPr="001256EA">
        <w:rPr>
          <w:rFonts w:ascii="Times New Roman" w:hAnsi="Times New Roman" w:cs="Times New Roman"/>
          <w:sz w:val="24"/>
          <w:szCs w:val="24"/>
        </w:rPr>
        <w:t>.</w:t>
      </w:r>
    </w:p>
    <w:p w14:paraId="19381493" w14:textId="6A843C1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w:t>
      </w:r>
      <w:r w:rsidR="0075135C" w:rsidRPr="001256EA">
        <w:rPr>
          <w:rFonts w:ascii="Times New Roman" w:hAnsi="Times New Roman" w:cs="Times New Roman"/>
          <w:sz w:val="24"/>
          <w:szCs w:val="24"/>
        </w:rPr>
        <w:t>introduction</w:t>
      </w:r>
      <w:r w:rsidRPr="001256EA">
        <w:rPr>
          <w:rFonts w:ascii="Times New Roman" w:hAnsi="Times New Roman" w:cs="Times New Roman"/>
          <w:sz w:val="24"/>
          <w:szCs w:val="24"/>
        </w:rPr>
        <w:t xml:space="preserve"> of euthanasia has been discussed in Lithuania several times, but</w:t>
      </w:r>
      <w:r w:rsidR="0075135C">
        <w:rPr>
          <w:rFonts w:ascii="Times New Roman" w:hAnsi="Times New Roman" w:cs="Times New Roman"/>
          <w:sz w:val="24"/>
          <w:szCs w:val="24"/>
        </w:rPr>
        <w:t xml:space="preserve"> </w:t>
      </w:r>
      <w:r w:rsidRPr="001256EA">
        <w:rPr>
          <w:rFonts w:ascii="Times New Roman" w:hAnsi="Times New Roman" w:cs="Times New Roman"/>
          <w:sz w:val="24"/>
          <w:szCs w:val="24"/>
        </w:rPr>
        <w:t>this law did not receive support and was not introduced. The last time the law on euthanasia was discussed was in 2015. This law specifies the conditions under which euthanasia would be possible. The explanatory note to the draft law on euthanasia states that the human right to independently decide on issues of one</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personal life is established not only in Lithuanian law, but also in international documents that Lithuania has signed and ratified</w:t>
      </w:r>
      <w:r w:rsidRPr="001256EA">
        <w:rPr>
          <w:rFonts w:ascii="Times New Roman" w:hAnsi="Times New Roman" w:cs="Times New Roman"/>
          <w:sz w:val="24"/>
          <w:szCs w:val="24"/>
          <w:vertAlign w:val="superscript"/>
        </w:rPr>
        <w:footnoteReference w:id="248"/>
      </w:r>
      <w:r w:rsidRPr="001256EA">
        <w:rPr>
          <w:rFonts w:ascii="Times New Roman" w:hAnsi="Times New Roman" w:cs="Times New Roman"/>
          <w:sz w:val="24"/>
          <w:szCs w:val="24"/>
        </w:rPr>
        <w:t>. Among these are the European Convention for the Prote</w:t>
      </w:r>
      <w:r w:rsidR="0075135C">
        <w:rPr>
          <w:rFonts w:ascii="Times New Roman" w:hAnsi="Times New Roman" w:cs="Times New Roman"/>
          <w:sz w:val="24"/>
          <w:szCs w:val="24"/>
        </w:rPr>
        <w:t>c</w:t>
      </w:r>
      <w:r w:rsidRPr="001256EA">
        <w:rPr>
          <w:rFonts w:ascii="Times New Roman" w:hAnsi="Times New Roman" w:cs="Times New Roman"/>
          <w:sz w:val="24"/>
          <w:szCs w:val="24"/>
        </w:rPr>
        <w:t>tion of Human Rights and Fundamental Freedoms, the Charter of Fundamental Rights of the European Union, the Universal Declaration of Human Rights, etc. It can be argued that legalizing euthanasia in Lithuania would be a step towards strengthening a person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right to choose, as well as ensuring human dignity and creating the possibility of avoiding unbearable physical or psychological suffering.</w:t>
      </w:r>
    </w:p>
    <w:p w14:paraId="177A0DDE" w14:textId="508EB6F5"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the planned draft law on euthanasia, Article 2, paragraph 2, euthanasia is defined as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the deliberate termination of the life of a terminally ill patient, in accordance with the requirements of this law, when, at the patient</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request, another person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a doctor with the right </w:t>
      </w:r>
      <w:r w:rsidRPr="001256EA">
        <w:rPr>
          <w:rFonts w:ascii="Times New Roman" w:hAnsi="Times New Roman" w:cs="Times New Roman"/>
          <w:sz w:val="24"/>
          <w:szCs w:val="24"/>
        </w:rPr>
        <w:lastRenderedPageBreak/>
        <w:t xml:space="preserve">to perform euthanasia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actively terminates the life by taking action</w:t>
      </w:r>
      <w:r w:rsidR="00ED3976" w:rsidRPr="001256EA">
        <w:rPr>
          <w:rFonts w:ascii="Times New Roman" w:hAnsi="Times New Roman" w:cs="Times New Roman"/>
          <w:sz w:val="24"/>
          <w:szCs w:val="24"/>
        </w:rPr>
        <w:t>”</w:t>
      </w:r>
      <w:r w:rsidRPr="001256EA">
        <w:rPr>
          <w:rFonts w:ascii="Times New Roman" w:hAnsi="Times New Roman" w:cs="Times New Roman"/>
          <w:sz w:val="24"/>
          <w:szCs w:val="24"/>
          <w:vertAlign w:val="superscript"/>
        </w:rPr>
        <w:footnoteReference w:id="249"/>
      </w:r>
      <w:r w:rsidRPr="001256EA">
        <w:rPr>
          <w:rFonts w:ascii="Times New Roman" w:hAnsi="Times New Roman" w:cs="Times New Roman"/>
          <w:sz w:val="24"/>
          <w:szCs w:val="24"/>
        </w:rPr>
        <w:t>. This means that only active euthanasia, where a doctor ends a person</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s life, was planned. The draft Euthanasia Law did not provide for the possibility of passive euthanasia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assisted suicide, where a person drinks or injects themselves with a lethal dose of medication. </w:t>
      </w:r>
    </w:p>
    <w:p w14:paraId="4072B58C" w14:textId="7A38254C"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draft law on euthanasia stipulated that </w:t>
      </w:r>
      <w:r w:rsidR="00802402"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could only be performed on an </w:t>
      </w:r>
      <w:r w:rsidR="007D161B" w:rsidRPr="001256EA">
        <w:rPr>
          <w:rFonts w:ascii="Times New Roman" w:hAnsi="Times New Roman" w:cs="Times New Roman"/>
          <w:sz w:val="24"/>
          <w:szCs w:val="24"/>
        </w:rPr>
        <w:t>adult</w:t>
      </w:r>
      <w:r w:rsidRPr="001256EA">
        <w:rPr>
          <w:rFonts w:ascii="Times New Roman" w:hAnsi="Times New Roman" w:cs="Times New Roman"/>
          <w:sz w:val="24"/>
          <w:szCs w:val="24"/>
        </w:rPr>
        <w:t xml:space="preserve"> capable person whose condition was recognized as terminal. A terminal condition is understood as </w:t>
      </w:r>
    </w:p>
    <w:p w14:paraId="0BAB82AC" w14:textId="77777777" w:rsidR="00A70645" w:rsidRPr="001256EA" w:rsidRDefault="00A70645" w:rsidP="00D2668D">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“a medically hopeless health condition of a person suffering from an incurable and progressive disease or serious injury, which:</w:t>
      </w:r>
    </w:p>
    <w:p w14:paraId="4DC0A68C" w14:textId="024F6906" w:rsidR="00A70645" w:rsidRPr="001256EA" w:rsidRDefault="00A70645" w:rsidP="00D2668D">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 xml:space="preserve">1) in cases where the patient is conscious, </w:t>
      </w:r>
      <w:r w:rsidR="007D161B" w:rsidRPr="001256EA">
        <w:rPr>
          <w:rFonts w:ascii="Times New Roman" w:hAnsi="Times New Roman" w:cs="Times New Roman"/>
          <w:i/>
          <w:iCs/>
          <w:sz w:val="24"/>
          <w:szCs w:val="24"/>
        </w:rPr>
        <w:t>it results</w:t>
      </w:r>
      <w:r w:rsidRPr="001256EA">
        <w:rPr>
          <w:rFonts w:ascii="Times New Roman" w:hAnsi="Times New Roman" w:cs="Times New Roman"/>
          <w:i/>
          <w:iCs/>
          <w:sz w:val="24"/>
          <w:szCs w:val="24"/>
        </w:rPr>
        <w:t xml:space="preserve"> in continuous and unbearable physical and/or mental suffering caused by a serious and incurable disorder due to </w:t>
      </w:r>
      <w:r w:rsidR="00802402" w:rsidRPr="001256EA">
        <w:rPr>
          <w:rFonts w:ascii="Times New Roman" w:hAnsi="Times New Roman" w:cs="Times New Roman"/>
          <w:i/>
          <w:iCs/>
          <w:sz w:val="24"/>
          <w:szCs w:val="24"/>
        </w:rPr>
        <w:t>disease</w:t>
      </w:r>
      <w:r w:rsidRPr="001256EA">
        <w:rPr>
          <w:rFonts w:ascii="Times New Roman" w:hAnsi="Times New Roman" w:cs="Times New Roman"/>
          <w:i/>
          <w:iCs/>
          <w:sz w:val="24"/>
          <w:szCs w:val="24"/>
        </w:rPr>
        <w:t xml:space="preserve"> or </w:t>
      </w:r>
      <w:r w:rsidR="00802402" w:rsidRPr="001256EA">
        <w:rPr>
          <w:rFonts w:ascii="Times New Roman" w:hAnsi="Times New Roman" w:cs="Times New Roman"/>
          <w:i/>
          <w:iCs/>
          <w:sz w:val="24"/>
          <w:szCs w:val="24"/>
        </w:rPr>
        <w:t>injury.</w:t>
      </w:r>
    </w:p>
    <w:p w14:paraId="72C22D30"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i/>
          <w:iCs/>
          <w:sz w:val="24"/>
          <w:szCs w:val="24"/>
        </w:rPr>
        <w:t>2) in cases where the patient is unconscious, there is no medically justified probability that the person will become conscious in the future”</w:t>
      </w:r>
      <w:r w:rsidRPr="001256EA">
        <w:rPr>
          <w:rFonts w:ascii="Times New Roman" w:hAnsi="Times New Roman" w:cs="Times New Roman"/>
          <w:sz w:val="24"/>
          <w:szCs w:val="24"/>
          <w:vertAlign w:val="superscript"/>
        </w:rPr>
        <w:footnoteReference w:id="250"/>
      </w:r>
      <w:r w:rsidRPr="001256EA">
        <w:rPr>
          <w:rFonts w:ascii="Times New Roman" w:hAnsi="Times New Roman" w:cs="Times New Roman"/>
          <w:sz w:val="24"/>
          <w:szCs w:val="24"/>
        </w:rPr>
        <w:t>.</w:t>
      </w:r>
    </w:p>
    <w:p w14:paraId="1E4C6C99" w14:textId="729C6C4E"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patient must submit a request for euthanasia in writing, freely and in the presence of a bailiff. The presence of a bailiff is necessary to establish the factual circumstance that the request was filled out freely, by a capable, adult, conscious person. It is also necessary to have a psychiatrist</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s certificate, no older than 3 days, stating that the patient is conscious. Euthanasia can only be performed at least 3 weeks after the request. A report of approval from the consulting physician is also necessary for the decision on euthanasia. The patient can also submit a prior request for euthanasia, which is valid for 5 years. The patient has the right to revoke the request and advance directive for euthanasia at any time</w:t>
      </w:r>
      <w:r w:rsidRPr="001256EA">
        <w:rPr>
          <w:rFonts w:ascii="Times New Roman" w:hAnsi="Times New Roman" w:cs="Times New Roman"/>
          <w:sz w:val="24"/>
          <w:szCs w:val="24"/>
          <w:vertAlign w:val="superscript"/>
        </w:rPr>
        <w:footnoteReference w:id="251"/>
      </w:r>
      <w:r w:rsidRPr="001256EA">
        <w:rPr>
          <w:rFonts w:ascii="Times New Roman" w:hAnsi="Times New Roman" w:cs="Times New Roman"/>
          <w:sz w:val="24"/>
          <w:szCs w:val="24"/>
        </w:rPr>
        <w:t>.</w:t>
      </w:r>
    </w:p>
    <w:p w14:paraId="74EEDB42" w14:textId="2805D00E"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draft law on euthanasia established a ban on the use of organs or tissues for transplantation after euthanasia. Doctors are provided with the freedom to decide whether they want to participate in such activities. It is also planned to establish an institution that will control the provision of euthanasia services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the Euthanasia Control and Evaluation Commission. Legally, the death of a patient due to euthanasia would be considered a natural death. As can be seen from the information provided above, it can be stated that strict regulation was provided for, but the law was not adopted, therefore euthanasia is still prohibited.</w:t>
      </w:r>
    </w:p>
    <w:p w14:paraId="0A5E5D3A" w14:textId="39C53A90"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Palliative care is offered as an alternative to euthanasia in Lithuania. Point 2 of the description of requirements for the provision of inpatient palliative care services for adults and children prepared by the Ministry of Health of the Republic of Lithuania states that </w:t>
      </w:r>
      <w:r w:rsidR="00ED3976" w:rsidRPr="001256EA">
        <w:rPr>
          <w:rFonts w:ascii="Times New Roman" w:hAnsi="Times New Roman" w:cs="Times New Roman"/>
          <w:sz w:val="24"/>
          <w:szCs w:val="24"/>
        </w:rPr>
        <w:t>“</w:t>
      </w:r>
      <w:r w:rsidRPr="009D5BDE">
        <w:rPr>
          <w:rFonts w:ascii="Times New Roman" w:hAnsi="Times New Roman" w:cs="Times New Roman"/>
          <w:i/>
          <w:iCs/>
          <w:sz w:val="24"/>
          <w:szCs w:val="24"/>
        </w:rPr>
        <w:t>palliative care is measures to improve the quality of life of a patient with a life-threatening illness and their relatives, including the relief of suffering, the management and prevention of symptoms caused by the illness and other diseases, and helping to solve other physical, psychosocial and spiritual problems</w:t>
      </w:r>
      <w:r w:rsidR="00ED3976" w:rsidRPr="001256EA">
        <w:rPr>
          <w:rFonts w:ascii="Times New Roman" w:hAnsi="Times New Roman" w:cs="Times New Roman"/>
          <w:sz w:val="24"/>
          <w:szCs w:val="24"/>
        </w:rPr>
        <w:t>”</w:t>
      </w:r>
      <w:r w:rsidRPr="001256EA">
        <w:rPr>
          <w:rFonts w:ascii="Times New Roman" w:hAnsi="Times New Roman" w:cs="Times New Roman"/>
          <w:sz w:val="24"/>
          <w:szCs w:val="24"/>
          <w:vertAlign w:val="superscript"/>
        </w:rPr>
        <w:footnoteReference w:id="252"/>
      </w:r>
      <w:r w:rsidRPr="001256EA">
        <w:rPr>
          <w:rFonts w:ascii="Times New Roman" w:hAnsi="Times New Roman" w:cs="Times New Roman"/>
          <w:sz w:val="24"/>
          <w:szCs w:val="24"/>
        </w:rPr>
        <w:t>. Legal acts oblige healthcare institutions to relieve patients</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pain, ensure symptomatic treatment, and provide psychological support to the patient and their relatives. The establishment of hospices and the development of palliative care at home are also encouraged. The aim of these measures is to prevent the patient from experiencing great suffering and to feel a dignified attitude, so that a </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good death</w:t>
      </w:r>
      <w:r w:rsidR="00ED3976" w:rsidRPr="001256EA">
        <w:rPr>
          <w:rFonts w:ascii="Times New Roman" w:hAnsi="Times New Roman" w:cs="Times New Roman"/>
          <w:sz w:val="24"/>
          <w:szCs w:val="24"/>
        </w:rPr>
        <w:t>”</w:t>
      </w:r>
      <w:r w:rsidRPr="001256EA">
        <w:rPr>
          <w:rFonts w:ascii="Times New Roman" w:hAnsi="Times New Roman" w:cs="Times New Roman"/>
          <w:sz w:val="24"/>
          <w:szCs w:val="24"/>
        </w:rPr>
        <w:t xml:space="preserve"> is achieved not through euthanasia, but through the alleviation of suffering. However, the real situation of palliative care is not yet ideal: studies show that Lithuania lacks palliative care beds and specialists, especially in the regions, due to insufficient funding, and therefore not all terminally ill patients have access to quality care</w:t>
      </w:r>
      <w:r w:rsidRPr="001256EA">
        <w:rPr>
          <w:rFonts w:ascii="Times New Roman" w:hAnsi="Times New Roman" w:cs="Times New Roman"/>
          <w:sz w:val="24"/>
          <w:szCs w:val="24"/>
          <w:vertAlign w:val="superscript"/>
        </w:rPr>
        <w:footnoteReference w:id="253"/>
      </w:r>
      <w:r w:rsidRPr="001256EA">
        <w:rPr>
          <w:rFonts w:ascii="Times New Roman" w:hAnsi="Times New Roman" w:cs="Times New Roman"/>
          <w:sz w:val="24"/>
          <w:szCs w:val="24"/>
        </w:rPr>
        <w:t xml:space="preserve">. State institutions are urged to strengthen this area so that every seriously ill patient </w:t>
      </w:r>
      <w:r w:rsidR="00802402" w:rsidRPr="001256EA">
        <w:rPr>
          <w:rFonts w:ascii="Times New Roman" w:hAnsi="Times New Roman" w:cs="Times New Roman"/>
          <w:sz w:val="24"/>
          <w:szCs w:val="24"/>
        </w:rPr>
        <w:t>can</w:t>
      </w:r>
      <w:r w:rsidRPr="001256EA">
        <w:rPr>
          <w:rFonts w:ascii="Times New Roman" w:hAnsi="Times New Roman" w:cs="Times New Roman"/>
          <w:sz w:val="24"/>
          <w:szCs w:val="24"/>
        </w:rPr>
        <w:t xml:space="preserve"> receive maximum pain relief and care. This is important to emphasize, because civilized discussions about euthanasia always emphasize that euthanasia cannot be an alternative to proper care and treatment, but only a last resort when all other options have been exhausted. Therefore, Lithuanian law is currently focused on reducing the suffering of patients by legal medical means, without going beyond the limits of “active killing”. Article 3, paragraph 3 of the Law of the Republic of Lithuania on Patients’ Rights and Compensation for Damage to Health provides that “</w:t>
      </w:r>
      <w:r w:rsidRPr="001256EA">
        <w:rPr>
          <w:rFonts w:ascii="Times New Roman" w:hAnsi="Times New Roman" w:cs="Times New Roman"/>
          <w:i/>
          <w:iCs/>
          <w:sz w:val="24"/>
          <w:szCs w:val="24"/>
        </w:rPr>
        <w:t>a patient has the right to conditions that do not degrade his or her honor and dignity and respectful treatment by healthcare professionals. The patient must be provided with scientifically based pain relief measures so that he or she does not suffer from his or her health problems. The patient has the right to be cared for and to die with respect</w:t>
      </w:r>
      <w:r w:rsidRPr="001256EA">
        <w:rPr>
          <w:rFonts w:ascii="Times New Roman" w:hAnsi="Times New Roman" w:cs="Times New Roman"/>
          <w:sz w:val="24"/>
          <w:szCs w:val="24"/>
        </w:rPr>
        <w:t>”. According to Lithuanian law, a patient has the right not to suffer and to die with respect. Since in some health conditions medical measures can no longer eliminate suffering, euthanasia could be understood as the realization of this right.</w:t>
      </w:r>
    </w:p>
    <w:p w14:paraId="612B436C" w14:textId="7DBB4EED" w:rsidR="00A70645" w:rsidRPr="001256EA" w:rsidRDefault="00ED3976" w:rsidP="00ED3976">
      <w:pPr>
        <w:pStyle w:val="Heading2"/>
        <w:ind w:left="780"/>
        <w:jc w:val="center"/>
        <w:rPr>
          <w:rFonts w:ascii="Times New Roman" w:hAnsi="Times New Roman" w:cs="Times New Roman"/>
          <w:b/>
          <w:bCs/>
          <w:color w:val="auto"/>
          <w:sz w:val="24"/>
          <w:szCs w:val="24"/>
        </w:rPr>
      </w:pPr>
      <w:bookmarkStart w:id="28" w:name="_Toc216374392"/>
      <w:r w:rsidRPr="001256EA">
        <w:rPr>
          <w:rFonts w:ascii="Times New Roman" w:hAnsi="Times New Roman" w:cs="Times New Roman"/>
          <w:b/>
          <w:bCs/>
          <w:color w:val="auto"/>
          <w:sz w:val="24"/>
          <w:szCs w:val="24"/>
        </w:rPr>
        <w:lastRenderedPageBreak/>
        <w:t xml:space="preserve">2.2. </w:t>
      </w:r>
      <w:r w:rsidR="00A70645" w:rsidRPr="001256EA">
        <w:rPr>
          <w:rFonts w:ascii="Times New Roman" w:hAnsi="Times New Roman" w:cs="Times New Roman"/>
          <w:b/>
          <w:bCs/>
          <w:color w:val="auto"/>
          <w:sz w:val="24"/>
          <w:szCs w:val="24"/>
        </w:rPr>
        <w:t xml:space="preserve">International legal acts in the context of ensuring </w:t>
      </w:r>
      <w:r w:rsidRPr="001256EA">
        <w:rPr>
          <w:rFonts w:ascii="Times New Roman" w:hAnsi="Times New Roman" w:cs="Times New Roman"/>
          <w:b/>
          <w:bCs/>
          <w:color w:val="auto"/>
          <w:sz w:val="24"/>
          <w:szCs w:val="24"/>
        </w:rPr>
        <w:t>rights</w:t>
      </w:r>
      <w:r w:rsidR="00A70645" w:rsidRPr="001256EA">
        <w:rPr>
          <w:rFonts w:ascii="Times New Roman" w:hAnsi="Times New Roman" w:cs="Times New Roman"/>
          <w:b/>
          <w:bCs/>
          <w:color w:val="auto"/>
          <w:sz w:val="24"/>
          <w:szCs w:val="24"/>
        </w:rPr>
        <w:t xml:space="preserve"> to euthanasia</w:t>
      </w:r>
      <w:bookmarkEnd w:id="28"/>
    </w:p>
    <w:p w14:paraId="07DCC309" w14:textId="77777777" w:rsidR="00D2668D" w:rsidRPr="001256EA" w:rsidRDefault="00D2668D" w:rsidP="00A70645">
      <w:pPr>
        <w:spacing w:line="360" w:lineRule="auto"/>
        <w:jc w:val="both"/>
        <w:rPr>
          <w:rFonts w:ascii="Times New Roman" w:hAnsi="Times New Roman" w:cs="Times New Roman"/>
          <w:sz w:val="24"/>
          <w:szCs w:val="24"/>
        </w:rPr>
      </w:pPr>
    </w:p>
    <w:p w14:paraId="53C67FC4" w14:textId="6CA558A6"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regulation of euthanasia in international law is uneven and raises debates among legal professionals, doctors, human rights defenders and academics. International human rights instruments, such as the United Nations International Covenant on Civil and Political Rights or the </w:t>
      </w:r>
      <w:r w:rsidR="00600701" w:rsidRPr="00A615D8">
        <w:rPr>
          <w:rFonts w:ascii="Times New Roman" w:eastAsia="Calibri" w:hAnsi="Times New Roman" w:cs="Times New Roman"/>
          <w:sz w:val="24"/>
          <w:szCs w:val="24"/>
        </w:rPr>
        <w:t>Convention</w:t>
      </w:r>
      <w:r w:rsidRPr="001256EA">
        <w:rPr>
          <w:rFonts w:ascii="Times New Roman" w:hAnsi="Times New Roman" w:cs="Times New Roman"/>
          <w:sz w:val="24"/>
          <w:szCs w:val="24"/>
        </w:rPr>
        <w:t xml:space="preserve">, uniformly recognize the right to life and prohibit degrading treatment. However, no international legal instrument directly enshrines the right to euthanasia. In its case law, the </w:t>
      </w:r>
      <w:r w:rsidR="0002739E" w:rsidRPr="00A615D8">
        <w:rPr>
          <w:rFonts w:ascii="Times New Roman" w:eastAsia="Calibri" w:hAnsi="Times New Roman" w:cs="Times New Roman"/>
          <w:sz w:val="24"/>
          <w:szCs w:val="24"/>
        </w:rPr>
        <w:t>ECtHR</w:t>
      </w:r>
      <w:r w:rsidR="0002739E" w:rsidRPr="001256EA">
        <w:rPr>
          <w:rFonts w:ascii="Times New Roman" w:hAnsi="Times New Roman" w:cs="Times New Roman"/>
          <w:sz w:val="24"/>
          <w:szCs w:val="24"/>
        </w:rPr>
        <w:t xml:space="preserve"> </w:t>
      </w:r>
      <w:r w:rsidRPr="001256EA">
        <w:rPr>
          <w:rFonts w:ascii="Times New Roman" w:hAnsi="Times New Roman" w:cs="Times New Roman"/>
          <w:sz w:val="24"/>
          <w:szCs w:val="24"/>
        </w:rPr>
        <w:t>emphasizes that the regulation of euthanasia falls within the competence of states, therefore each country may establish its own regulation.</w:t>
      </w:r>
    </w:p>
    <w:p w14:paraId="012073E0" w14:textId="786A7BE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Member States of the European Union are united in a common legal area, which is influenced not only by the </w:t>
      </w:r>
      <w:r w:rsidR="00600701" w:rsidRPr="00A615D8">
        <w:rPr>
          <w:rFonts w:ascii="Times New Roman" w:eastAsia="Calibri" w:hAnsi="Times New Roman" w:cs="Times New Roman"/>
          <w:sz w:val="24"/>
          <w:szCs w:val="24"/>
        </w:rPr>
        <w:t>Convention</w:t>
      </w:r>
      <w:r w:rsidRPr="001256EA">
        <w:rPr>
          <w:rFonts w:ascii="Times New Roman" w:hAnsi="Times New Roman" w:cs="Times New Roman"/>
          <w:sz w:val="24"/>
          <w:szCs w:val="24"/>
        </w:rPr>
        <w:t>, but also by the Charter of Fundamental Rights of the European Union. These legal acts emphasize the inviolability of human dignity and the right to life. The countries of the European Union are united by a common view of the importance of life as a value, but the European Union does not have a unified policy on euthanasia</w:t>
      </w:r>
      <w:r w:rsidRPr="001256EA">
        <w:rPr>
          <w:rFonts w:ascii="Times New Roman" w:hAnsi="Times New Roman" w:cs="Times New Roman"/>
          <w:sz w:val="24"/>
          <w:szCs w:val="24"/>
          <w:vertAlign w:val="superscript"/>
        </w:rPr>
        <w:footnoteReference w:id="254"/>
      </w:r>
      <w:r w:rsidRPr="001256EA">
        <w:rPr>
          <w:rFonts w:ascii="Times New Roman" w:hAnsi="Times New Roman" w:cs="Times New Roman"/>
          <w:sz w:val="24"/>
          <w:szCs w:val="24"/>
        </w:rPr>
        <w:t xml:space="preserve">. Each country decides on the issue of euthanasia individually. Therefore, the European Union countries have different views on euthanasia. In some member states, euthanasia is fully legal, while in others it is strictly prohibited. </w:t>
      </w:r>
    </w:p>
    <w:p w14:paraId="5509FA8B"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other countries outside the European Union, the legal regulation of euthanasia is also uneven. Countries such as Canada or Colombia have established detailed legal mechanisms with strictly defined conditions under which euthanasia is possible. The opposite situation is found in countries where religion is strongly influential and the concept of the inviolability of life is firmly established</w:t>
      </w:r>
      <w:r w:rsidRPr="001256EA">
        <w:rPr>
          <w:rFonts w:ascii="Times New Roman" w:hAnsi="Times New Roman" w:cs="Times New Roman"/>
          <w:sz w:val="24"/>
          <w:szCs w:val="24"/>
          <w:vertAlign w:val="superscript"/>
        </w:rPr>
        <w:footnoteReference w:id="255"/>
      </w:r>
      <w:r w:rsidRPr="001256EA">
        <w:rPr>
          <w:rFonts w:ascii="Times New Roman" w:hAnsi="Times New Roman" w:cs="Times New Roman"/>
          <w:sz w:val="24"/>
          <w:szCs w:val="24"/>
        </w:rPr>
        <w:t>. In such countries, euthanasia is categorically prohibited. Such different attitudes towards euthanasia show that the issue of euthanasia is not only a legal issue, but is also influenced by societal attitudes, traditions and culture.</w:t>
      </w:r>
    </w:p>
    <w:p w14:paraId="7ADD79BD" w14:textId="52474F7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Figure </w:t>
      </w:r>
      <w:r w:rsidR="003522C7" w:rsidRPr="001256EA">
        <w:rPr>
          <w:rFonts w:ascii="Times New Roman" w:hAnsi="Times New Roman" w:cs="Times New Roman"/>
          <w:sz w:val="24"/>
          <w:szCs w:val="24"/>
        </w:rPr>
        <w:t>8</w:t>
      </w:r>
      <w:r w:rsidRPr="001256EA">
        <w:rPr>
          <w:rFonts w:ascii="Times New Roman" w:hAnsi="Times New Roman" w:cs="Times New Roman"/>
          <w:sz w:val="24"/>
          <w:szCs w:val="24"/>
        </w:rPr>
        <w:t xml:space="preserve"> shows which countries have adopted euthanasia laws and which are planning to introduce laws to legalize euthanasia. Countries </w:t>
      </w:r>
      <w:r w:rsidR="007D161B" w:rsidRPr="001256EA">
        <w:rPr>
          <w:rFonts w:ascii="Times New Roman" w:hAnsi="Times New Roman" w:cs="Times New Roman"/>
          <w:sz w:val="24"/>
          <w:szCs w:val="24"/>
        </w:rPr>
        <w:t>marked</w:t>
      </w:r>
      <w:r w:rsidRPr="001256EA">
        <w:rPr>
          <w:rFonts w:ascii="Times New Roman" w:hAnsi="Times New Roman" w:cs="Times New Roman"/>
          <w:sz w:val="24"/>
          <w:szCs w:val="24"/>
        </w:rPr>
        <w:t xml:space="preserve"> green have already enacted euthanasia </w:t>
      </w:r>
      <w:r w:rsidR="007D161B" w:rsidRPr="001256EA">
        <w:rPr>
          <w:rFonts w:ascii="Times New Roman" w:hAnsi="Times New Roman" w:cs="Times New Roman"/>
          <w:sz w:val="24"/>
          <w:szCs w:val="24"/>
        </w:rPr>
        <w:t>laws,</w:t>
      </w:r>
      <w:r w:rsidRPr="001256EA">
        <w:rPr>
          <w:rFonts w:ascii="Times New Roman" w:hAnsi="Times New Roman" w:cs="Times New Roman"/>
          <w:sz w:val="24"/>
          <w:szCs w:val="24"/>
        </w:rPr>
        <w:t xml:space="preserve"> and it is </w:t>
      </w:r>
      <w:r w:rsidR="007D161B" w:rsidRPr="001256EA">
        <w:rPr>
          <w:rFonts w:ascii="Times New Roman" w:hAnsi="Times New Roman" w:cs="Times New Roman"/>
          <w:sz w:val="24"/>
          <w:szCs w:val="24"/>
        </w:rPr>
        <w:t>permitted;</w:t>
      </w:r>
      <w:r w:rsidRPr="001256EA">
        <w:rPr>
          <w:rFonts w:ascii="Times New Roman" w:hAnsi="Times New Roman" w:cs="Times New Roman"/>
          <w:sz w:val="24"/>
          <w:szCs w:val="24"/>
        </w:rPr>
        <w:t xml:space="preserve"> countries marked in white prohibit euthanasia, and countries marked in peach are in progress to adopt euthanasia laws.</w:t>
      </w:r>
    </w:p>
    <w:p w14:paraId="0304A17A" w14:textId="3059AB04" w:rsidR="007857CE" w:rsidRPr="001256EA" w:rsidRDefault="007857CE" w:rsidP="007857CE">
      <w:pPr>
        <w:spacing w:line="240" w:lineRule="auto"/>
        <w:rPr>
          <w:rFonts w:ascii="Times New Roman" w:hAnsi="Times New Roman" w:cs="Times New Roman"/>
          <w:b/>
          <w:bCs/>
        </w:rPr>
      </w:pPr>
    </w:p>
    <w:p w14:paraId="1D944BC3" w14:textId="7B028D7E" w:rsidR="00A70645" w:rsidRPr="001256EA" w:rsidRDefault="007857CE" w:rsidP="007857CE">
      <w:pPr>
        <w:spacing w:line="240" w:lineRule="auto"/>
        <w:jc w:val="both"/>
        <w:rPr>
          <w:rFonts w:ascii="Times New Roman" w:hAnsi="Times New Roman" w:cs="Times New Roman"/>
        </w:rPr>
      </w:pPr>
      <w:r w:rsidRPr="001256EA">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2303BB6B" wp14:editId="4A5477DD">
            <wp:simplePos x="0" y="0"/>
            <wp:positionH relativeFrom="column">
              <wp:posOffset>11430</wp:posOffset>
            </wp:positionH>
            <wp:positionV relativeFrom="paragraph">
              <wp:posOffset>373380</wp:posOffset>
            </wp:positionV>
            <wp:extent cx="5939786" cy="4356101"/>
            <wp:effectExtent l="0" t="0" r="4445" b="6350"/>
            <wp:wrapTopAndBottom/>
            <wp:docPr id="6" name="Picture 6" descr="A map of the world with different colored countries/regio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39786" cy="4356101"/>
                    </a:xfrm>
                    <a:prstGeom prst="rect">
                      <a:avLst/>
                    </a:prstGeom>
                    <a:noFill/>
                    <a:ln>
                      <a:noFill/>
                      <a:prstDash/>
                    </a:ln>
                  </pic:spPr>
                </pic:pic>
              </a:graphicData>
            </a:graphic>
          </wp:anchor>
        </w:drawing>
      </w:r>
      <w:r w:rsidR="00A70645" w:rsidRPr="001256EA">
        <w:rPr>
          <w:rFonts w:ascii="Times New Roman" w:hAnsi="Times New Roman" w:cs="Times New Roman"/>
          <w:b/>
          <w:bCs/>
          <w:sz w:val="24"/>
          <w:szCs w:val="24"/>
        </w:rPr>
        <w:t xml:space="preserve">Figure </w:t>
      </w:r>
      <w:r w:rsidR="003522C7" w:rsidRPr="001256EA">
        <w:rPr>
          <w:rFonts w:ascii="Times New Roman" w:hAnsi="Times New Roman" w:cs="Times New Roman"/>
          <w:b/>
          <w:bCs/>
          <w:sz w:val="24"/>
          <w:szCs w:val="24"/>
        </w:rPr>
        <w:t>8</w:t>
      </w:r>
      <w:r w:rsidR="00A70645" w:rsidRPr="001256EA">
        <w:rPr>
          <w:rFonts w:ascii="Times New Roman" w:hAnsi="Times New Roman" w:cs="Times New Roman"/>
          <w:b/>
          <w:bCs/>
          <w:sz w:val="24"/>
          <w:szCs w:val="24"/>
        </w:rPr>
        <w:t xml:space="preserve">. </w:t>
      </w:r>
      <w:r w:rsidR="00A70645" w:rsidRPr="001256EA">
        <w:rPr>
          <w:rFonts w:ascii="Times New Roman" w:hAnsi="Times New Roman" w:cs="Times New Roman"/>
          <w:sz w:val="24"/>
          <w:szCs w:val="24"/>
        </w:rPr>
        <w:t>Countries around the world that have euthanasia laws. Based on The World Federation of Right to Die Societies</w:t>
      </w:r>
      <w:r w:rsidR="00A70645" w:rsidRPr="001256EA">
        <w:rPr>
          <w:rFonts w:ascii="Times New Roman" w:hAnsi="Times New Roman" w:cs="Times New Roman"/>
          <w:sz w:val="24"/>
          <w:szCs w:val="24"/>
          <w:vertAlign w:val="superscript"/>
        </w:rPr>
        <w:footnoteReference w:id="256"/>
      </w:r>
      <w:r w:rsidR="00A70645" w:rsidRPr="001256EA">
        <w:rPr>
          <w:rFonts w:ascii="Times New Roman" w:hAnsi="Times New Roman" w:cs="Times New Roman"/>
          <w:sz w:val="24"/>
          <w:szCs w:val="24"/>
        </w:rPr>
        <w:t>.</w:t>
      </w:r>
    </w:p>
    <w:p w14:paraId="5D2B344E" w14:textId="279A5B81" w:rsidR="00A70645" w:rsidRDefault="00F0481E" w:rsidP="00D2668D">
      <w:pPr>
        <w:spacing w:after="0" w:line="360" w:lineRule="auto"/>
        <w:ind w:firstLine="851"/>
        <w:jc w:val="both"/>
        <w:rPr>
          <w:rFonts w:ascii="Times New Roman" w:hAnsi="Times New Roman" w:cs="Times New Roman"/>
          <w:sz w:val="24"/>
          <w:szCs w:val="24"/>
        </w:rPr>
      </w:pPr>
      <w:r w:rsidRPr="00A615D8">
        <w:rPr>
          <w:rFonts w:ascii="Times New Roman" w:hAnsi="Times New Roman" w:cs="Times New Roman"/>
          <w:sz w:val="24"/>
          <w:szCs w:val="24"/>
        </w:rPr>
        <w:t>Summarizing the international legal discourse, it can be concluded that there is currently a gap between universal human rights standards and their national interpretation. Although the provisions of the United Nations and the European Convention on Human Rights unambiguously establish the right to life as an absolute value, the jurisprudential development of the EC</w:t>
      </w:r>
      <w:r w:rsidR="00BE2A51" w:rsidRPr="00A615D8">
        <w:rPr>
          <w:rFonts w:ascii="Times New Roman" w:hAnsi="Times New Roman" w:cs="Times New Roman"/>
          <w:sz w:val="24"/>
          <w:szCs w:val="24"/>
        </w:rPr>
        <w:t>t</w:t>
      </w:r>
      <w:r w:rsidRPr="00A615D8">
        <w:rPr>
          <w:rFonts w:ascii="Times New Roman" w:hAnsi="Times New Roman" w:cs="Times New Roman"/>
          <w:sz w:val="24"/>
          <w:szCs w:val="24"/>
        </w:rPr>
        <w:t xml:space="preserve">HR shows a gradual shift away from the assessment of state discretion. This means that international law does not prohibit euthanasia, but it remains in the “gray zone” of states, where legal regulation becomes an expression not only of law, but also of national identity, cultural and ethical values. Such legal fragmentation indicates that a consensus is being formed at the international level not on the recognition of the right to die itself, but on the procedural obligations of states to ensure the autonomy of the individual when it does not directly conflict with the rights of other </w:t>
      </w:r>
      <w:r w:rsidR="00A615D8" w:rsidRPr="00A615D8">
        <w:rPr>
          <w:rFonts w:ascii="Times New Roman" w:hAnsi="Times New Roman" w:cs="Times New Roman"/>
          <w:sz w:val="24"/>
          <w:szCs w:val="24"/>
        </w:rPr>
        <w:t>people</w:t>
      </w:r>
      <w:r w:rsidRPr="00A615D8">
        <w:rPr>
          <w:rFonts w:ascii="Times New Roman" w:hAnsi="Times New Roman" w:cs="Times New Roman"/>
          <w:sz w:val="24"/>
          <w:szCs w:val="24"/>
        </w:rPr>
        <w:t>.</w:t>
      </w:r>
    </w:p>
    <w:p w14:paraId="2D5DC776" w14:textId="77777777" w:rsidR="00A615D8" w:rsidRPr="00F0481E" w:rsidRDefault="00A615D8" w:rsidP="00D2668D">
      <w:pPr>
        <w:spacing w:after="0" w:line="360" w:lineRule="auto"/>
        <w:ind w:firstLine="851"/>
        <w:jc w:val="both"/>
        <w:rPr>
          <w:rFonts w:ascii="Times New Roman" w:hAnsi="Times New Roman" w:cs="Times New Roman"/>
          <w:sz w:val="24"/>
          <w:szCs w:val="24"/>
        </w:rPr>
      </w:pPr>
    </w:p>
    <w:p w14:paraId="5D828494" w14:textId="5957ED89" w:rsidR="00A70645" w:rsidRPr="001256EA" w:rsidRDefault="00A70645" w:rsidP="00D2668D">
      <w:pPr>
        <w:pStyle w:val="Heading3"/>
        <w:jc w:val="center"/>
        <w:rPr>
          <w:rFonts w:ascii="Times New Roman" w:hAnsi="Times New Roman" w:cs="Times New Roman"/>
          <w:color w:val="auto"/>
          <w:sz w:val="28"/>
          <w:szCs w:val="28"/>
        </w:rPr>
      </w:pPr>
      <w:bookmarkStart w:id="30" w:name="_Toc216374393"/>
      <w:r w:rsidRPr="00CB036C">
        <w:rPr>
          <w:rFonts w:ascii="Times New Roman" w:hAnsi="Times New Roman" w:cs="Times New Roman"/>
          <w:b/>
          <w:bCs/>
          <w:color w:val="auto"/>
        </w:rPr>
        <w:lastRenderedPageBreak/>
        <w:t>2.2.1</w:t>
      </w:r>
      <w:r w:rsidR="00572B4D" w:rsidRPr="00CB036C">
        <w:rPr>
          <w:rFonts w:ascii="Times New Roman" w:hAnsi="Times New Roman" w:cs="Times New Roman"/>
          <w:b/>
          <w:bCs/>
          <w:color w:val="auto"/>
        </w:rPr>
        <w:t xml:space="preserve"> </w:t>
      </w:r>
      <w:bookmarkEnd w:id="30"/>
      <w:r w:rsidR="00572B4D" w:rsidRPr="00CB036C">
        <w:rPr>
          <w:rFonts w:ascii="Times New Roman" w:hAnsi="Times New Roman" w:cs="Times New Roman"/>
          <w:b/>
          <w:bCs/>
          <w:color w:val="auto"/>
        </w:rPr>
        <w:t>Legal aspects of ensuring the right to euthanasia in different countries of the European Union</w:t>
      </w:r>
    </w:p>
    <w:p w14:paraId="77D437A4" w14:textId="77777777" w:rsidR="00D2668D" w:rsidRPr="001256EA" w:rsidRDefault="00D2668D" w:rsidP="00A70645">
      <w:pPr>
        <w:spacing w:line="360" w:lineRule="auto"/>
        <w:jc w:val="both"/>
        <w:rPr>
          <w:rFonts w:ascii="Times New Roman" w:hAnsi="Times New Roman" w:cs="Times New Roman"/>
          <w:sz w:val="24"/>
          <w:szCs w:val="24"/>
        </w:rPr>
      </w:pPr>
    </w:p>
    <w:p w14:paraId="7324FF59" w14:textId="09B4CAC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very first country in the European Union and in the world to officially legalize voluntary active euthanasia and physician-assisted suicide is the Netherlands. In 2001, the Netherlands introduced the Act on Ending Life at the Request of a Patient and Assisted Suicide (Dutch: </w:t>
      </w:r>
      <w:r w:rsidRPr="00CB036C">
        <w:rPr>
          <w:rFonts w:ascii="Times New Roman" w:hAnsi="Times New Roman" w:cs="Times New Roman"/>
          <w:i/>
          <w:iCs/>
          <w:sz w:val="24"/>
          <w:szCs w:val="24"/>
        </w:rPr>
        <w:t xml:space="preserve">Wet </w:t>
      </w:r>
      <w:proofErr w:type="spellStart"/>
      <w:r w:rsidRPr="00CB036C">
        <w:rPr>
          <w:rFonts w:ascii="Times New Roman" w:hAnsi="Times New Roman" w:cs="Times New Roman"/>
          <w:i/>
          <w:iCs/>
          <w:sz w:val="24"/>
          <w:szCs w:val="24"/>
        </w:rPr>
        <w:t>toetsting</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levensbeëindiging</w:t>
      </w:r>
      <w:proofErr w:type="spellEnd"/>
      <w:r w:rsidRPr="00CB036C">
        <w:rPr>
          <w:rFonts w:ascii="Times New Roman" w:hAnsi="Times New Roman" w:cs="Times New Roman"/>
          <w:i/>
          <w:iCs/>
          <w:sz w:val="24"/>
          <w:szCs w:val="24"/>
        </w:rPr>
        <w:t xml:space="preserve"> op </w:t>
      </w:r>
      <w:proofErr w:type="spellStart"/>
      <w:r w:rsidRPr="00CB036C">
        <w:rPr>
          <w:rFonts w:ascii="Times New Roman" w:hAnsi="Times New Roman" w:cs="Times New Roman"/>
          <w:i/>
          <w:iCs/>
          <w:sz w:val="24"/>
          <w:szCs w:val="24"/>
        </w:rPr>
        <w:t>verzoek</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en</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hulp</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bij</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zelfdoding</w:t>
      </w:r>
      <w:proofErr w:type="spellEnd"/>
      <w:r w:rsidRPr="001256EA">
        <w:rPr>
          <w:rFonts w:ascii="Times New Roman" w:hAnsi="Times New Roman" w:cs="Times New Roman"/>
          <w:sz w:val="24"/>
          <w:szCs w:val="24"/>
        </w:rPr>
        <w:t>), which strictly defines the conditions and measures that doctors must take when performing euthanasia</w:t>
      </w:r>
      <w:r w:rsidRPr="001256EA">
        <w:rPr>
          <w:rFonts w:ascii="Times New Roman" w:hAnsi="Times New Roman" w:cs="Times New Roman"/>
          <w:vertAlign w:val="superscript"/>
        </w:rPr>
        <w:footnoteReference w:id="257"/>
      </w:r>
      <w:r w:rsidRPr="001256EA">
        <w:rPr>
          <w:rFonts w:ascii="Times New Roman" w:hAnsi="Times New Roman" w:cs="Times New Roman"/>
          <w:sz w:val="24"/>
          <w:szCs w:val="24"/>
        </w:rPr>
        <w:t>. Ending life at the request of a person and assisted suicide will not be considered a criminal offense</w:t>
      </w:r>
      <w:r w:rsidRPr="001256EA">
        <w:rPr>
          <w:rFonts w:ascii="Times New Roman" w:hAnsi="Times New Roman" w:cs="Times New Roman"/>
          <w:vertAlign w:val="superscript"/>
        </w:rPr>
        <w:footnoteReference w:id="258"/>
      </w:r>
      <w:r w:rsidRPr="001256EA">
        <w:rPr>
          <w:rFonts w:ascii="Times New Roman" w:hAnsi="Times New Roman" w:cs="Times New Roman"/>
          <w:sz w:val="24"/>
          <w:szCs w:val="24"/>
        </w:rPr>
        <w:t xml:space="preserve"> in the Netherlands, only if the procedure is performed by a doctor who has previously fulfilled the statutory due diligence criteria. The due diligence criteria include:</w:t>
      </w:r>
    </w:p>
    <w:p w14:paraId="6D64F483" w14:textId="7C6BFE4B"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Check whether the patient's request is made voluntarily and after careful </w:t>
      </w:r>
      <w:r w:rsidR="009C39E3" w:rsidRPr="001256EA">
        <w:rPr>
          <w:rFonts w:ascii="Times New Roman" w:hAnsi="Times New Roman" w:cs="Times New Roman"/>
          <w:sz w:val="24"/>
          <w:szCs w:val="24"/>
        </w:rPr>
        <w:t>consideration.</w:t>
      </w:r>
    </w:p>
    <w:p w14:paraId="5505371B" w14:textId="765F4625"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Assess whether the suffering experienced by the patient is unbearable and whether there is no realistic prospect of </w:t>
      </w:r>
      <w:r w:rsidR="009C39E3" w:rsidRPr="001256EA">
        <w:rPr>
          <w:rFonts w:ascii="Times New Roman" w:hAnsi="Times New Roman" w:cs="Times New Roman"/>
          <w:sz w:val="24"/>
          <w:szCs w:val="24"/>
        </w:rPr>
        <w:t>improvement.</w:t>
      </w:r>
    </w:p>
    <w:p w14:paraId="441FE7D7" w14:textId="33929A2B"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Provide the patient with detailed information about his or her state of health and possible </w:t>
      </w:r>
      <w:r w:rsidR="009C39E3" w:rsidRPr="001256EA">
        <w:rPr>
          <w:rFonts w:ascii="Times New Roman" w:hAnsi="Times New Roman" w:cs="Times New Roman"/>
          <w:sz w:val="24"/>
          <w:szCs w:val="24"/>
        </w:rPr>
        <w:t>prognosis.</w:t>
      </w:r>
    </w:p>
    <w:p w14:paraId="170E0590" w14:textId="6D54D1F1"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Reach a common conclusion with the patient that there is no reasonable alternative to the chosen outcome in his or her </w:t>
      </w:r>
      <w:r w:rsidR="009C39E3" w:rsidRPr="001256EA">
        <w:rPr>
          <w:rFonts w:ascii="Times New Roman" w:hAnsi="Times New Roman" w:cs="Times New Roman"/>
          <w:sz w:val="24"/>
          <w:szCs w:val="24"/>
        </w:rPr>
        <w:t>situation.</w:t>
      </w:r>
    </w:p>
    <w:p w14:paraId="0FF832B7" w14:textId="2B0941BA"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Consult with at least one independent physician, who must examine the patient and provide a written conclusion as to whether the requirements of care and diligence set out in the first four points have been </w:t>
      </w:r>
      <w:r w:rsidR="009C39E3" w:rsidRPr="001256EA">
        <w:rPr>
          <w:rFonts w:ascii="Times New Roman" w:hAnsi="Times New Roman" w:cs="Times New Roman"/>
          <w:sz w:val="24"/>
          <w:szCs w:val="24"/>
        </w:rPr>
        <w:t>met.</w:t>
      </w:r>
    </w:p>
    <w:p w14:paraId="3FBE624F" w14:textId="77777777" w:rsidR="00A70645" w:rsidRPr="001256EA" w:rsidRDefault="00A70645" w:rsidP="00D2668D">
      <w:pPr>
        <w:numPr>
          <w:ilvl w:val="0"/>
          <w:numId w:val="19"/>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Ensure appropriate medical care and attention at the time of termination of life or assistance to the patient in suicide</w:t>
      </w:r>
      <w:r w:rsidRPr="001256EA">
        <w:rPr>
          <w:rFonts w:ascii="Times New Roman" w:hAnsi="Times New Roman" w:cs="Times New Roman"/>
          <w:vertAlign w:val="superscript"/>
        </w:rPr>
        <w:footnoteReference w:id="259"/>
      </w:r>
      <w:r w:rsidRPr="001256EA">
        <w:rPr>
          <w:rFonts w:ascii="Times New Roman" w:hAnsi="Times New Roman" w:cs="Times New Roman"/>
          <w:sz w:val="24"/>
          <w:szCs w:val="24"/>
        </w:rPr>
        <w:t>.</w:t>
      </w:r>
    </w:p>
    <w:p w14:paraId="05CE43A6" w14:textId="730DD998"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Dutch legal system excludes liability for a doctor who causes the death of a patient who has given his consent or who assists in suicide, provided that the criteria of responsibility and care are met. The decision to use euthanasia must come from the patient himself and must be a voluntary and well-considered decision. According to the current Dutch euthanasia law, the patient must request euthanasia himself. The patient's decision must be independent, deliberate, and not influenced by other </w:t>
      </w:r>
      <w:r w:rsidR="009C39E3" w:rsidRPr="001256EA">
        <w:rPr>
          <w:rFonts w:ascii="Times New Roman" w:hAnsi="Times New Roman" w:cs="Times New Roman"/>
          <w:sz w:val="24"/>
          <w:szCs w:val="24"/>
        </w:rPr>
        <w:t>people</w:t>
      </w:r>
      <w:r w:rsidRPr="001256EA">
        <w:rPr>
          <w:rFonts w:ascii="Times New Roman" w:hAnsi="Times New Roman" w:cs="Times New Roman"/>
          <w:sz w:val="24"/>
          <w:szCs w:val="24"/>
        </w:rPr>
        <w:t xml:space="preserve">. A person who wants euthanasia must be in </w:t>
      </w:r>
      <w:r w:rsidRPr="001256EA">
        <w:rPr>
          <w:rFonts w:ascii="Times New Roman" w:hAnsi="Times New Roman" w:cs="Times New Roman"/>
          <w:sz w:val="24"/>
          <w:szCs w:val="24"/>
        </w:rPr>
        <w:lastRenderedPageBreak/>
        <w:t>unbearable pain and have no hope of recovery or improvement in their health</w:t>
      </w:r>
      <w:r w:rsidRPr="001256EA">
        <w:rPr>
          <w:rFonts w:ascii="Times New Roman" w:hAnsi="Times New Roman" w:cs="Times New Roman"/>
          <w:vertAlign w:val="superscript"/>
        </w:rPr>
        <w:footnoteReference w:id="260"/>
      </w:r>
      <w:r w:rsidRPr="001256EA">
        <w:rPr>
          <w:rFonts w:ascii="Times New Roman" w:hAnsi="Times New Roman" w:cs="Times New Roman"/>
          <w:sz w:val="24"/>
          <w:szCs w:val="24"/>
        </w:rPr>
        <w:t xml:space="preserve">. The Dutch Act on Ending Life at the Patient's Request and Assisted Suicide provides that euthanasia is permitted for persons with incurable physical illnesses </w:t>
      </w:r>
      <w:r w:rsidR="00802402" w:rsidRPr="001256EA">
        <w:rPr>
          <w:rFonts w:ascii="Times New Roman" w:hAnsi="Times New Roman" w:cs="Times New Roman"/>
          <w:sz w:val="24"/>
          <w:szCs w:val="24"/>
        </w:rPr>
        <w:t>and</w:t>
      </w:r>
      <w:r w:rsidRPr="001256EA">
        <w:rPr>
          <w:rFonts w:ascii="Times New Roman" w:hAnsi="Times New Roman" w:cs="Times New Roman"/>
          <w:sz w:val="24"/>
          <w:szCs w:val="24"/>
        </w:rPr>
        <w:t xml:space="preserve"> incurable mental illnesses such as dementia, if it causes unbearable pain. It is important that the patient is experiencing unbearable suffering without any prospect of improvement, and this condition has a medical aspect. It is important to emphasize that the patient can only submit a request for euthanasia himself. Another person cannot submit such a request on behalf of the patient. The patient's decision to euthanasia must be made independently and without any influence from other people. The doctor must ensure that the patient has made the decision voluntarily and has thought everything through. Since in the progression of some diseases a person can no longer control his actions and does not understand their essence, the law provides for the possibility for the patient to submit such a request in advance. It is important that such an expression of will is discussed with the doctor, and such information is included in the patient's medical records. Another important aspect is that the patient must indicate how he or she wants euthanasia to be performed. The patient has two choices for how euthanasia is performed. The first method is when a doctor injects substances, or the other method is when the patient is given a lethal substance that the patient swallows.</w:t>
      </w:r>
    </w:p>
    <w:p w14:paraId="5505EDB4"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Euthanasia is usually performed in the Netherlands on adults. However, the Dutch Act on Ending Life at the Patient's Request and Assisted Suicide provides for the possibility of euthanasia for minors aged 12 and over. However, additional requirements apply in this case</w:t>
      </w:r>
      <w:r w:rsidRPr="001256EA">
        <w:rPr>
          <w:rFonts w:ascii="Times New Roman" w:hAnsi="Times New Roman" w:cs="Times New Roman"/>
          <w:vertAlign w:val="superscript"/>
        </w:rPr>
        <w:footnoteReference w:id="261"/>
      </w:r>
      <w:r w:rsidRPr="001256EA">
        <w:rPr>
          <w:rFonts w:ascii="Times New Roman" w:hAnsi="Times New Roman" w:cs="Times New Roman"/>
          <w:sz w:val="24"/>
          <w:szCs w:val="24"/>
        </w:rPr>
        <w:t>. First, the child must be able to understand and evaluate what solutions would be most appropriate for him in his situation. For patients between the ages of 12 and 15, parental or guardian consent is required, without which euthanasia cannot be performed. For patients between the ages of 16 and 17, it is necessary to consult with parents or guardians, but their consent is not required.</w:t>
      </w:r>
    </w:p>
    <w:p w14:paraId="5F7CE748"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Although the Netherlands legalizes the possibility of ending life through euthanasia, this possibility is not absolute, the law does not guarantee the right to euthanasia. This means that even if all the criteria of due care are met, the treating doctor has the right to refuse to </w:t>
      </w:r>
      <w:r w:rsidRPr="001256EA">
        <w:rPr>
          <w:rFonts w:ascii="Times New Roman" w:hAnsi="Times New Roman" w:cs="Times New Roman"/>
          <w:sz w:val="24"/>
          <w:szCs w:val="24"/>
        </w:rPr>
        <w:lastRenderedPageBreak/>
        <w:t>perform euthanasia. In such a case, the patient can contact another doctor</w:t>
      </w:r>
      <w:r w:rsidRPr="001256EA">
        <w:rPr>
          <w:rFonts w:ascii="Times New Roman" w:hAnsi="Times New Roman" w:cs="Times New Roman"/>
          <w:vertAlign w:val="superscript"/>
        </w:rPr>
        <w:footnoteReference w:id="262"/>
      </w:r>
      <w:r w:rsidRPr="001256EA">
        <w:rPr>
          <w:rFonts w:ascii="Times New Roman" w:hAnsi="Times New Roman" w:cs="Times New Roman"/>
          <w:sz w:val="24"/>
          <w:szCs w:val="24"/>
        </w:rPr>
        <w:t>. It also happens in practice that a doctor who refuses to perform euthanasia refers the patient to another colleague.</w:t>
      </w:r>
    </w:p>
    <w:p w14:paraId="55C1ADA4"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doctor who performed the euthanasia must notify the municipal pathologist and submit a detailed written report</w:t>
      </w:r>
      <w:r w:rsidRPr="001256EA">
        <w:rPr>
          <w:rFonts w:ascii="Times New Roman" w:hAnsi="Times New Roman" w:cs="Times New Roman"/>
          <w:vertAlign w:val="superscript"/>
        </w:rPr>
        <w:footnoteReference w:id="263"/>
      </w:r>
      <w:r w:rsidRPr="001256EA">
        <w:rPr>
          <w:rFonts w:ascii="Times New Roman" w:hAnsi="Times New Roman" w:cs="Times New Roman"/>
          <w:sz w:val="24"/>
          <w:szCs w:val="24"/>
        </w:rPr>
        <w:t>. The pathologist investigates the circumstances of the death and submits a report, together with all the documents received, to one of the five regional euthanasia oversight committees operating in the Netherlands. The committee examines the report and the procedure performed and assesses whether the doctor complied with all the due diligence criteria set out in the law.</w:t>
      </w:r>
    </w:p>
    <w:p w14:paraId="022F496B" w14:textId="3D56079D"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If it is determined that at least one of these criteria has not been met, the committee must submit its findings to the Prosecutor's Office and the Health and Youth Welfare Inspectorate. These authorities decide on further measures: disciplinary proceedings may be initiated against the </w:t>
      </w:r>
      <w:r w:rsidR="00802402" w:rsidRPr="001256EA">
        <w:rPr>
          <w:rFonts w:ascii="Times New Roman" w:hAnsi="Times New Roman" w:cs="Times New Roman"/>
          <w:sz w:val="24"/>
          <w:szCs w:val="24"/>
        </w:rPr>
        <w:t>doctor,</w:t>
      </w:r>
      <w:r w:rsidRPr="001256EA">
        <w:rPr>
          <w:rFonts w:ascii="Times New Roman" w:hAnsi="Times New Roman" w:cs="Times New Roman"/>
          <w:sz w:val="24"/>
          <w:szCs w:val="24"/>
        </w:rPr>
        <w:t xml:space="preserve"> or a decision may be made on criminal liability.</w:t>
      </w:r>
    </w:p>
    <w:p w14:paraId="6B20435E"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According to current legislation, a doctor who illegally performs euthanasia may be punished:</w:t>
      </w:r>
    </w:p>
    <w:p w14:paraId="4FC56184" w14:textId="25873DD8" w:rsidR="00A70645" w:rsidRPr="001256EA" w:rsidRDefault="00A70645" w:rsidP="00D2668D">
      <w:pPr>
        <w:numPr>
          <w:ilvl w:val="0"/>
          <w:numId w:val="18"/>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 xml:space="preserve">for taking the life of a patient at his request – imprisonment for up to 12 years or a </w:t>
      </w:r>
      <w:r w:rsidR="00B27F0A" w:rsidRPr="001256EA">
        <w:rPr>
          <w:rFonts w:ascii="Times New Roman" w:hAnsi="Times New Roman" w:cs="Times New Roman"/>
          <w:sz w:val="24"/>
          <w:szCs w:val="24"/>
        </w:rPr>
        <w:t>fine.</w:t>
      </w:r>
    </w:p>
    <w:p w14:paraId="623AD2CD" w14:textId="77777777" w:rsidR="00A70645" w:rsidRPr="001256EA" w:rsidRDefault="00A70645" w:rsidP="00D2668D">
      <w:pPr>
        <w:numPr>
          <w:ilvl w:val="0"/>
          <w:numId w:val="18"/>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for incitement to suicide - imprisonment for up to 3 years or a fine.</w:t>
      </w:r>
    </w:p>
    <w:p w14:paraId="05B5F81D"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Dutch Act on Ending Life at the Patient's Request and Assisted Suicide does not explicitly prohibit the application of the law to non-Dutch residents. However, additional obstacles hinder its implementation. The strict provisions of the Act require a doctor to assess the patient's condition, long-term suffering and alternatives, require a long doctor-patient relationship and a detailed medical history. For this reason, it is difficult for patients living outside the Netherlands to find a doctor who would agree to perform euthanasia. Another reason is that the specialized Euthanasia Expertise Centre operating in the Netherlands only accepts persons who have a place of residence in the country, are registered with a Dutch health institution and are insured by Dutch health insurance.</w:t>
      </w:r>
    </w:p>
    <w:p w14:paraId="30FC2AC1" w14:textId="43F6BA15"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summary, the Dutch euthanasia model emphasizes a careful process and a long-term patient-physician </w:t>
      </w:r>
      <w:r w:rsidR="009C39E3" w:rsidRPr="001256EA">
        <w:rPr>
          <w:rFonts w:ascii="Times New Roman" w:hAnsi="Times New Roman" w:cs="Times New Roman"/>
          <w:sz w:val="24"/>
          <w:szCs w:val="24"/>
        </w:rPr>
        <w:t>relationship and</w:t>
      </w:r>
      <w:r w:rsidRPr="001256EA">
        <w:rPr>
          <w:rFonts w:ascii="Times New Roman" w:hAnsi="Times New Roman" w:cs="Times New Roman"/>
          <w:sz w:val="24"/>
          <w:szCs w:val="24"/>
        </w:rPr>
        <w:t xml:space="preserve"> is therefore considered one of the most regulated systems. This system is considered an example of how to combine the protection of personal autonomy with strict regulation to protect vulnerable individuals.</w:t>
      </w:r>
    </w:p>
    <w:p w14:paraId="55010D1F" w14:textId="3F9B81B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Another European country that has legalized euthanasia is Belgium, where it has been allowed since 2002. The Belgian euthanasia law states that euthanasia is the intentional termination of a patient's life by the action of another person (a doctor), at the patient's request</w:t>
      </w:r>
      <w:r w:rsidRPr="001256EA">
        <w:rPr>
          <w:rFonts w:ascii="Times New Roman" w:hAnsi="Times New Roman" w:cs="Times New Roman"/>
          <w:vertAlign w:val="superscript"/>
        </w:rPr>
        <w:footnoteReference w:id="264"/>
      </w:r>
      <w:r w:rsidRPr="001256EA">
        <w:rPr>
          <w:rFonts w:ascii="Times New Roman" w:hAnsi="Times New Roman" w:cs="Times New Roman"/>
          <w:sz w:val="24"/>
          <w:szCs w:val="24"/>
        </w:rPr>
        <w:t>. Unlike in the Netherlands, Belgian law does not explicitly mention assisted suicide, where a patient is given a life-threatening medication and the act itself is carried out by the patient. However, the Federal Commission for the Control of Euthanasia has clarified that assisted suicide is also considered euthanasia if the same conditions as those set out in the Belgian euthanasia law are met. It is worth noting that in Belgium there is no legal distinction between euthanasia and physician-assisted suicide, although in practice euthanasia is much more common</w:t>
      </w:r>
      <w:r w:rsidRPr="001256EA">
        <w:rPr>
          <w:rFonts w:ascii="Times New Roman" w:hAnsi="Times New Roman" w:cs="Times New Roman"/>
          <w:vertAlign w:val="superscript"/>
        </w:rPr>
        <w:footnoteReference w:id="265"/>
      </w:r>
      <w:r w:rsidRPr="001256EA">
        <w:rPr>
          <w:rFonts w:ascii="Times New Roman" w:hAnsi="Times New Roman" w:cs="Times New Roman"/>
          <w:sz w:val="24"/>
          <w:szCs w:val="24"/>
        </w:rPr>
        <w:t xml:space="preserve">. The physician performing euthanasia must comply with the law and the established conditions and procedures for performing euthanasia, discuss the patient's request for euthanasia and present all possible treatment options </w:t>
      </w:r>
      <w:r w:rsidR="00802402" w:rsidRPr="001256EA">
        <w:rPr>
          <w:rFonts w:ascii="Times New Roman" w:hAnsi="Times New Roman" w:cs="Times New Roman"/>
          <w:sz w:val="24"/>
          <w:szCs w:val="24"/>
        </w:rPr>
        <w:t>to</w:t>
      </w:r>
      <w:r w:rsidRPr="001256EA">
        <w:rPr>
          <w:rFonts w:ascii="Times New Roman" w:hAnsi="Times New Roman" w:cs="Times New Roman"/>
          <w:sz w:val="24"/>
          <w:szCs w:val="24"/>
        </w:rPr>
        <w:t xml:space="preserve"> preserve the person's life. The physician must also discuss with the patient the options provided by palliative care and their effects</w:t>
      </w:r>
      <w:r w:rsidRPr="001256EA">
        <w:rPr>
          <w:rFonts w:ascii="Times New Roman" w:hAnsi="Times New Roman" w:cs="Times New Roman"/>
          <w:vertAlign w:val="superscript"/>
        </w:rPr>
        <w:footnoteReference w:id="266"/>
      </w:r>
      <w:r w:rsidRPr="001256EA">
        <w:rPr>
          <w:rFonts w:ascii="Times New Roman" w:hAnsi="Times New Roman" w:cs="Times New Roman"/>
          <w:sz w:val="24"/>
          <w:szCs w:val="24"/>
        </w:rPr>
        <w:t>.</w:t>
      </w:r>
    </w:p>
    <w:p w14:paraId="24614464" w14:textId="57DBE32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Belgian euthanasia law strictly defines when euthanasia is not considered a crime. Euthanasia can only be performed by a doctor. Euthanasia is performed on adults or emancipated minors who are capable and conscious at the time of the request. The request must be voluntary and not obtained under </w:t>
      </w:r>
      <w:r w:rsidR="00802402" w:rsidRPr="001256EA">
        <w:rPr>
          <w:rFonts w:ascii="Times New Roman" w:hAnsi="Times New Roman" w:cs="Times New Roman"/>
          <w:sz w:val="24"/>
          <w:szCs w:val="24"/>
        </w:rPr>
        <w:t>duration</w:t>
      </w:r>
      <w:r w:rsidRPr="001256EA">
        <w:rPr>
          <w:rFonts w:ascii="Times New Roman" w:hAnsi="Times New Roman" w:cs="Times New Roman"/>
          <w:sz w:val="24"/>
          <w:szCs w:val="24"/>
        </w:rPr>
        <w:t xml:space="preserve">. Euthanasia can be performed on patients who are terminally ill, seriously ill or have suffered an injury that results in </w:t>
      </w:r>
      <w:proofErr w:type="gramStart"/>
      <w:r w:rsidRPr="001256EA">
        <w:rPr>
          <w:rFonts w:ascii="Times New Roman" w:hAnsi="Times New Roman" w:cs="Times New Roman"/>
          <w:sz w:val="24"/>
          <w:szCs w:val="24"/>
        </w:rPr>
        <w:t>a hopeless</w:t>
      </w:r>
      <w:proofErr w:type="gramEnd"/>
      <w:r w:rsidRPr="001256EA">
        <w:rPr>
          <w:rFonts w:ascii="Times New Roman" w:hAnsi="Times New Roman" w:cs="Times New Roman"/>
          <w:sz w:val="24"/>
          <w:szCs w:val="24"/>
        </w:rPr>
        <w:t xml:space="preserve"> medical condition, with constant and unbearable physical or mental pain. All other procedural requirements must also be met. In 2014, changes were made to the Belgian euthanasia law. Belgium was the first country to remove the age limit for euthanasia. This means that all people, regardless of age, can seek euthanasia in Belgium. Additional restrictions apply to minors seeking euthanasia</w:t>
      </w:r>
      <w:r w:rsidRPr="001256EA">
        <w:rPr>
          <w:rFonts w:ascii="Times New Roman" w:hAnsi="Times New Roman" w:cs="Times New Roman"/>
          <w:vertAlign w:val="superscript"/>
        </w:rPr>
        <w:footnoteReference w:id="267"/>
      </w:r>
      <w:r w:rsidRPr="001256EA">
        <w:rPr>
          <w:rFonts w:ascii="Times New Roman" w:hAnsi="Times New Roman" w:cs="Times New Roman"/>
          <w:sz w:val="24"/>
          <w:szCs w:val="24"/>
        </w:rPr>
        <w:t>. The minor patient must have a terminal or terminal illness, be near death, or suffer from chronic pain and must always have parental and health care professional consent. Additionally, the minor patient must be evaluated by a child psychiatrist to confirm that he or she has the understanding to proceed with the procedure, and this must be documented in writing.</w:t>
      </w:r>
    </w:p>
    <w:p w14:paraId="428979E8"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lastRenderedPageBreak/>
        <w:t>Before performing euthanasia, the doctor must:</w:t>
      </w:r>
    </w:p>
    <w:p w14:paraId="2F16A15C"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Inform the patient about their health condition, prognosis, alternative treatment options and palliative care.</w:t>
      </w:r>
    </w:p>
    <w:p w14:paraId="1239055D"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To make sure that the pain is persistent. The doctor must conduct several interviews within the time limit prescribed by law.</w:t>
      </w:r>
    </w:p>
    <w:p w14:paraId="308F8A71"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Consult with an independent doctor who reviews the documentation, examines the patient, and prepares a conclusion. </w:t>
      </w:r>
    </w:p>
    <w:p w14:paraId="0DBED9BC"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If the patient does not die soon, a second consultation with a specialist (psychiatrist or doctor in the relevant field) and at least 1 month between the request and the procedure are necessary.</w:t>
      </w:r>
    </w:p>
    <w:p w14:paraId="6DB3BC1D"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The request must be in writing, signed by the patient (or their authorized representative if the patient is unable to sign). The request can be withdrawn at any time.</w:t>
      </w:r>
    </w:p>
    <w:p w14:paraId="234494EE" w14:textId="77777777" w:rsidR="00A70645" w:rsidRPr="001256EA" w:rsidRDefault="00A70645" w:rsidP="00DD7887">
      <w:pPr>
        <w:numPr>
          <w:ilvl w:val="0"/>
          <w:numId w:val="17"/>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All actions must be documented in the medical record.</w:t>
      </w:r>
    </w:p>
    <w:p w14:paraId="1912339F" w14:textId="3E83C7B1"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Belgium, the opinion of two doctors is required for euthanasia, except in urgent cases. Another prerequisite is that at least one month must have passed between the patient's written request and the euthanasia procedure. In 2014, the Belgian Euthanasia Law was extended to include terminally ill minors</w:t>
      </w:r>
      <w:r w:rsidRPr="001256EA">
        <w:rPr>
          <w:rFonts w:ascii="Times New Roman" w:hAnsi="Times New Roman" w:cs="Times New Roman"/>
          <w:vertAlign w:val="superscript"/>
        </w:rPr>
        <w:footnoteReference w:id="268"/>
      </w:r>
      <w:r w:rsidRPr="001256EA">
        <w:rPr>
          <w:rFonts w:ascii="Times New Roman" w:hAnsi="Times New Roman" w:cs="Times New Roman"/>
          <w:sz w:val="24"/>
          <w:szCs w:val="24"/>
        </w:rPr>
        <w:t xml:space="preserve">. The Constitutional Court ruled on the issue of terminally ill minors in 2015. In its ruling, the court required that an independent psychiatrist or child psychologist be involved in the case of minors. The </w:t>
      </w:r>
      <w:r w:rsidR="00BF416D" w:rsidRPr="001256EA">
        <w:rPr>
          <w:rFonts w:ascii="Times New Roman" w:hAnsi="Times New Roman" w:cs="Times New Roman"/>
          <w:sz w:val="24"/>
          <w:szCs w:val="24"/>
        </w:rPr>
        <w:t>persons</w:t>
      </w:r>
      <w:r w:rsidRPr="001256EA">
        <w:rPr>
          <w:rFonts w:ascii="Times New Roman" w:hAnsi="Times New Roman" w:cs="Times New Roman"/>
          <w:sz w:val="24"/>
          <w:szCs w:val="24"/>
        </w:rPr>
        <w:t xml:space="preserve"> should make decisions independently, without the opinion of the treating physician, the patient and their legal representatives. Such protective measures were taken </w:t>
      </w:r>
      <w:r w:rsidR="00BF416D" w:rsidRPr="001256EA">
        <w:rPr>
          <w:rFonts w:ascii="Times New Roman" w:hAnsi="Times New Roman" w:cs="Times New Roman"/>
          <w:sz w:val="24"/>
          <w:szCs w:val="24"/>
        </w:rPr>
        <w:t>to</w:t>
      </w:r>
      <w:r w:rsidRPr="001256EA">
        <w:rPr>
          <w:rFonts w:ascii="Times New Roman" w:hAnsi="Times New Roman" w:cs="Times New Roman"/>
          <w:sz w:val="24"/>
          <w:szCs w:val="24"/>
        </w:rPr>
        <w:t xml:space="preserve"> protect the most vulnerable groups of </w:t>
      </w:r>
      <w:r w:rsidR="00B27F0A" w:rsidRPr="001256EA">
        <w:rPr>
          <w:rFonts w:ascii="Times New Roman" w:hAnsi="Times New Roman" w:cs="Times New Roman"/>
          <w:sz w:val="24"/>
          <w:szCs w:val="24"/>
        </w:rPr>
        <w:t>people</w:t>
      </w:r>
      <w:r w:rsidRPr="001256EA">
        <w:rPr>
          <w:rFonts w:ascii="Times New Roman" w:hAnsi="Times New Roman" w:cs="Times New Roman"/>
          <w:sz w:val="24"/>
          <w:szCs w:val="24"/>
        </w:rPr>
        <w:t>, preventing violence and the implementation of the right to life</w:t>
      </w:r>
      <w:r w:rsidRPr="001256EA">
        <w:rPr>
          <w:rFonts w:ascii="Times New Roman" w:hAnsi="Times New Roman" w:cs="Times New Roman"/>
          <w:vertAlign w:val="superscript"/>
        </w:rPr>
        <w:footnoteReference w:id="269"/>
      </w:r>
      <w:r w:rsidRPr="001256EA">
        <w:rPr>
          <w:rFonts w:ascii="Times New Roman" w:hAnsi="Times New Roman" w:cs="Times New Roman"/>
          <w:sz w:val="24"/>
          <w:szCs w:val="24"/>
        </w:rPr>
        <w:t>.</w:t>
      </w:r>
    </w:p>
    <w:p w14:paraId="6A532756"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Belgium, as in the Netherlands, it is possible to express a wish for euthanasia in advance if the patient is in unbearable suffering due to an incurable disease and is no longer conscious. Such a wish must be in writing and must have been made less than 5 years before the patient's condition changed. Two witnesses must be present during the advance declaration for euthanasia, and one or more trustees may also be appointed to convey the patient's wishes. An independent medical opinion and a discussion with the medical team are also required.</w:t>
      </w:r>
    </w:p>
    <w:p w14:paraId="13190083" w14:textId="064F6A3A"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After performing euthanasia, the doctor must submit a detailed report to the Federal Control and Evaluation Commission within 4 working days. The Commission, consisting of 16 members, checks whether </w:t>
      </w:r>
      <w:r w:rsidR="00BF416D"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was carried out in accordance with the law. However, if there is any doubt that the procedures for performing euthanasia provided for in the law were not followed, the case is referred to the prosecutor's office. The Belgian euthanasia law also stipulates that the Commission must submit a statistical and analytical report to Parliament every two years on the </w:t>
      </w:r>
      <w:r w:rsidR="00BF416D" w:rsidRPr="001256EA">
        <w:rPr>
          <w:rFonts w:ascii="Times New Roman" w:hAnsi="Times New Roman" w:cs="Times New Roman"/>
          <w:sz w:val="24"/>
          <w:szCs w:val="24"/>
        </w:rPr>
        <w:t>euthanasia</w:t>
      </w:r>
      <w:r w:rsidRPr="001256EA">
        <w:rPr>
          <w:rFonts w:ascii="Times New Roman" w:hAnsi="Times New Roman" w:cs="Times New Roman"/>
          <w:sz w:val="24"/>
          <w:szCs w:val="24"/>
        </w:rPr>
        <w:t xml:space="preserve"> carried out during that period.</w:t>
      </w:r>
    </w:p>
    <w:p w14:paraId="41355524" w14:textId="482DB39F"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Belgian euthanasia law does not impose an obligation on a doctor to perform euthanasia. This means that a doctor may refuse to perform euthanasia. Such refusal must be justified and recorded in the medical file, and all documentation may be transferred to another doctor </w:t>
      </w:r>
      <w:r w:rsidR="00BF416D" w:rsidRPr="001256EA">
        <w:rPr>
          <w:rFonts w:ascii="Times New Roman" w:hAnsi="Times New Roman" w:cs="Times New Roman"/>
          <w:sz w:val="24"/>
          <w:szCs w:val="24"/>
        </w:rPr>
        <w:t>at</w:t>
      </w:r>
      <w:r w:rsidRPr="001256EA">
        <w:rPr>
          <w:rFonts w:ascii="Times New Roman" w:hAnsi="Times New Roman" w:cs="Times New Roman"/>
          <w:sz w:val="24"/>
          <w:szCs w:val="24"/>
        </w:rPr>
        <w:t xml:space="preserve"> the patient's request. Death by euthanasia is recognized as a natural death. This is important when handling legal documents after death, such as inheritance. The law stipulates that confidentiality provisions must be observed, and doctors are subject to professional secrecy rules.</w:t>
      </w:r>
    </w:p>
    <w:p w14:paraId="36101EB8"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Belgian euthanasia law does not stipulate that euthanasia can only be performed on Belgian residents. There is a trend that Belgian hospitals are starting to perform more euthanasia on foreigners</w:t>
      </w:r>
      <w:r w:rsidRPr="001256EA">
        <w:rPr>
          <w:rFonts w:ascii="Times New Roman" w:hAnsi="Times New Roman" w:cs="Times New Roman"/>
          <w:vertAlign w:val="superscript"/>
        </w:rPr>
        <w:footnoteReference w:id="270"/>
      </w:r>
      <w:r w:rsidRPr="001256EA">
        <w:rPr>
          <w:rFonts w:ascii="Times New Roman" w:hAnsi="Times New Roman" w:cs="Times New Roman"/>
          <w:sz w:val="24"/>
          <w:szCs w:val="24"/>
        </w:rPr>
        <w:t>. However, some Belgian hospitals have begun to limit the admission of foreigners due to growing demand from neighboring countries.</w:t>
      </w:r>
    </w:p>
    <w:p w14:paraId="23774E1D"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Luxembourg law on euthanasia and assisted suicide has been in force since 2009. Euthanasia is defined in the law as assisted suicide. This means that a doctor knowingly helps another person to commit suicide or provides the means for another person to do so, following a clear and voluntary request from that person</w:t>
      </w:r>
      <w:r w:rsidRPr="001256EA">
        <w:rPr>
          <w:rFonts w:ascii="Times New Roman" w:hAnsi="Times New Roman" w:cs="Times New Roman"/>
          <w:vertAlign w:val="superscript"/>
        </w:rPr>
        <w:footnoteReference w:id="271"/>
      </w:r>
      <w:r w:rsidRPr="001256EA">
        <w:rPr>
          <w:rFonts w:ascii="Times New Roman" w:hAnsi="Times New Roman" w:cs="Times New Roman"/>
          <w:sz w:val="24"/>
          <w:szCs w:val="24"/>
        </w:rPr>
        <w:t xml:space="preserve">. </w:t>
      </w:r>
    </w:p>
    <w:p w14:paraId="32FC7D23" w14:textId="2F9D8C3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Under the current Luxembourg law on euthanasia and assisted suicide, a doctor will not be held criminally liable if the conditions laid down in the law are met. Unlike in the Netherlands and Belgium, euthanasia in Luxembourg is only performed on adults who are competent and conscious. This is to strike a balance between the individual's right to a dignified death and the protection of vulnerable patients. It is important that the patient submits a written request voluntarily, thoughtfully </w:t>
      </w:r>
      <w:r w:rsidR="00BF416D" w:rsidRPr="001256EA">
        <w:rPr>
          <w:rFonts w:ascii="Times New Roman" w:hAnsi="Times New Roman" w:cs="Times New Roman"/>
          <w:sz w:val="24"/>
          <w:szCs w:val="24"/>
        </w:rPr>
        <w:t>and</w:t>
      </w:r>
      <w:r w:rsidRPr="001256EA">
        <w:rPr>
          <w:rFonts w:ascii="Times New Roman" w:hAnsi="Times New Roman" w:cs="Times New Roman"/>
          <w:sz w:val="24"/>
          <w:szCs w:val="24"/>
        </w:rPr>
        <w:t xml:space="preserve"> most importantly, that such a decision is made without external influence. That is, this decision cannot be made under the influence of another person. </w:t>
      </w:r>
      <w:r w:rsidRPr="001256EA">
        <w:rPr>
          <w:rFonts w:ascii="Times New Roman" w:hAnsi="Times New Roman" w:cs="Times New Roman"/>
          <w:sz w:val="24"/>
          <w:szCs w:val="24"/>
        </w:rPr>
        <w:lastRenderedPageBreak/>
        <w:t xml:space="preserve">The person seeking euthanasia must be in a hopeless medical situation and complain of persistent and unbearable physical or psychological suffering with no prospect of improvement. Such a state can be caused by both </w:t>
      </w:r>
      <w:r w:rsidR="00802402" w:rsidRPr="001256EA">
        <w:rPr>
          <w:rFonts w:ascii="Times New Roman" w:hAnsi="Times New Roman" w:cs="Times New Roman"/>
          <w:sz w:val="24"/>
          <w:szCs w:val="24"/>
        </w:rPr>
        <w:t>accidental</w:t>
      </w:r>
      <w:r w:rsidRPr="001256EA">
        <w:rPr>
          <w:rFonts w:ascii="Times New Roman" w:hAnsi="Times New Roman" w:cs="Times New Roman"/>
          <w:sz w:val="24"/>
          <w:szCs w:val="24"/>
        </w:rPr>
        <w:t xml:space="preserve"> and </w:t>
      </w:r>
      <w:r w:rsidR="009D5BDE" w:rsidRPr="001256EA">
        <w:rPr>
          <w:rFonts w:ascii="Times New Roman" w:hAnsi="Times New Roman" w:cs="Times New Roman"/>
          <w:sz w:val="24"/>
          <w:szCs w:val="24"/>
        </w:rPr>
        <w:t>pathological</w:t>
      </w:r>
      <w:r w:rsidRPr="001256EA">
        <w:rPr>
          <w:rFonts w:ascii="Times New Roman" w:hAnsi="Times New Roman" w:cs="Times New Roman"/>
          <w:sz w:val="24"/>
          <w:szCs w:val="24"/>
        </w:rPr>
        <w:t xml:space="preserve"> condition. </w:t>
      </w:r>
    </w:p>
    <w:p w14:paraId="1B596FF3" w14:textId="77777777" w:rsidR="00A70645" w:rsidRPr="001256EA" w:rsidRDefault="00A70645" w:rsidP="00D2668D">
      <w:pPr>
        <w:spacing w:after="0" w:line="360" w:lineRule="auto"/>
        <w:ind w:firstLine="851"/>
        <w:rPr>
          <w:rFonts w:ascii="Times New Roman" w:hAnsi="Times New Roman" w:cs="Times New Roman"/>
          <w:sz w:val="24"/>
          <w:szCs w:val="24"/>
        </w:rPr>
      </w:pPr>
      <w:r w:rsidRPr="001256EA">
        <w:rPr>
          <w:rFonts w:ascii="Times New Roman" w:hAnsi="Times New Roman" w:cs="Times New Roman"/>
          <w:sz w:val="24"/>
          <w:szCs w:val="24"/>
        </w:rPr>
        <w:t>The doctor must perform the following procedural steps before performing euthanasia:</w:t>
      </w:r>
    </w:p>
    <w:p w14:paraId="512874A6" w14:textId="77777777" w:rsidR="00A70645" w:rsidRPr="001256EA" w:rsidRDefault="00A70645" w:rsidP="00D2668D">
      <w:pPr>
        <w:numPr>
          <w:ilvl w:val="0"/>
          <w:numId w:val="16"/>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The doctor must inform the patient about his/her health condition and expected life expectancy. Offer and present treatment options, including palliative care. The doctor must also ensure that the request for euthanasia is accepted voluntarily. It is important that the doctor documents these conversations in the medical file so that it can later serve as evidence that the procedural steps have been performed.</w:t>
      </w:r>
    </w:p>
    <w:p w14:paraId="180FE710" w14:textId="618B80C3" w:rsidR="00A70645" w:rsidRPr="001256EA" w:rsidRDefault="00A70645" w:rsidP="00D2668D">
      <w:pPr>
        <w:numPr>
          <w:ilvl w:val="0"/>
          <w:numId w:val="16"/>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 xml:space="preserve">The doctor should conduct interviews with the patient several times, with a reasonable amount of time between them, </w:t>
      </w:r>
      <w:r w:rsidR="00BF416D" w:rsidRPr="001256EA">
        <w:rPr>
          <w:rFonts w:ascii="Times New Roman" w:hAnsi="Times New Roman" w:cs="Times New Roman"/>
          <w:sz w:val="24"/>
          <w:szCs w:val="24"/>
        </w:rPr>
        <w:t>considering</w:t>
      </w:r>
      <w:r w:rsidRPr="001256EA">
        <w:rPr>
          <w:rFonts w:ascii="Times New Roman" w:hAnsi="Times New Roman" w:cs="Times New Roman"/>
          <w:sz w:val="24"/>
          <w:szCs w:val="24"/>
        </w:rPr>
        <w:t xml:space="preserve"> the development of the patient's condition. This procedure ensures that the patient has made a well-considered decision and is not guided solely by the emotional impulse of the moment.</w:t>
      </w:r>
    </w:p>
    <w:p w14:paraId="352013B9" w14:textId="77777777" w:rsidR="00A70645" w:rsidRPr="001256EA" w:rsidRDefault="00A70645" w:rsidP="00D2668D">
      <w:pPr>
        <w:numPr>
          <w:ilvl w:val="0"/>
          <w:numId w:val="16"/>
        </w:numPr>
        <w:spacing w:after="0" w:line="360" w:lineRule="auto"/>
        <w:ind w:left="0" w:firstLine="851"/>
        <w:contextualSpacing/>
        <w:jc w:val="both"/>
        <w:rPr>
          <w:rFonts w:ascii="Times New Roman" w:hAnsi="Times New Roman" w:cs="Times New Roman"/>
          <w:sz w:val="24"/>
          <w:szCs w:val="24"/>
        </w:rPr>
      </w:pPr>
      <w:r w:rsidRPr="001256EA">
        <w:rPr>
          <w:rFonts w:ascii="Times New Roman" w:hAnsi="Times New Roman" w:cs="Times New Roman"/>
          <w:sz w:val="24"/>
          <w:szCs w:val="24"/>
        </w:rPr>
        <w:t>The treating physician must consult with another physician regarding the nature of the serious and incurable condition, stating the reasons for the consultation. The consulting physician must be impartial to both the patient and the treating physician and be competent in the relevant pathology. Everything must be recorded in the patient's medical file</w:t>
      </w:r>
      <w:r w:rsidRPr="001256EA">
        <w:rPr>
          <w:rFonts w:ascii="Times New Roman" w:hAnsi="Times New Roman" w:cs="Times New Roman"/>
          <w:vertAlign w:val="superscript"/>
        </w:rPr>
        <w:footnoteReference w:id="272"/>
      </w:r>
      <w:r w:rsidRPr="001256EA">
        <w:rPr>
          <w:rFonts w:ascii="Times New Roman" w:hAnsi="Times New Roman" w:cs="Times New Roman"/>
          <w:sz w:val="24"/>
          <w:szCs w:val="24"/>
        </w:rPr>
        <w:t>.</w:t>
      </w:r>
    </w:p>
    <w:p w14:paraId="2AA181EA"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patient may change his/her mind at any time and withdraw his/her request at any time, in which case the document is removed from the medical file and returned to the patient. The patient may express his/her will regarding euthanasia in advance. Competent adults may indicate in advance in writing the circumstances in which he/she would prefer euthanasia if he/she were no longer able to express his/her will in the future. All this must be recorded in the patient’s medical file.</w:t>
      </w:r>
    </w:p>
    <w:p w14:paraId="1101C275"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After performing euthanasia, the doctor must submit the official declaration form provided for by law to the National Control and Evaluation Commission. The commission is made up of nine members who assess the doctor's declaration to determine whether the conditions and procedures provided for in the Luxembourg law on euthanasia and assisted suicide have been complied with.</w:t>
      </w:r>
    </w:p>
    <w:p w14:paraId="0B8DAAD2"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It is worth noting that the Luxembourg law on euthanasia and assisted suicide stipulates that it is only allowed for patients who have a legitimate connection to the country's health system. This means that the person seeking euthanasia must be a resident of the country </w:t>
      </w:r>
      <w:r w:rsidRPr="001256EA">
        <w:rPr>
          <w:rFonts w:ascii="Times New Roman" w:hAnsi="Times New Roman" w:cs="Times New Roman"/>
          <w:sz w:val="24"/>
          <w:szCs w:val="24"/>
        </w:rPr>
        <w:lastRenderedPageBreak/>
        <w:t>or have the right to receive medical care in Luxembourg. The Luxembourg law on euthanasia and assisted suicide respects the freedom of conscience of doctors</w:t>
      </w:r>
      <w:r w:rsidRPr="001256EA">
        <w:rPr>
          <w:rFonts w:ascii="Times New Roman" w:hAnsi="Times New Roman" w:cs="Times New Roman"/>
          <w:vertAlign w:val="superscript"/>
        </w:rPr>
        <w:footnoteReference w:id="273"/>
      </w:r>
      <w:r w:rsidRPr="001256EA">
        <w:rPr>
          <w:rFonts w:ascii="Times New Roman" w:hAnsi="Times New Roman" w:cs="Times New Roman"/>
          <w:sz w:val="24"/>
          <w:szCs w:val="24"/>
        </w:rPr>
        <w:t>, therefore, no doctor is obligated to perform euthanasia if it goes against their beliefs.</w:t>
      </w:r>
    </w:p>
    <w:p w14:paraId="54DEE320" w14:textId="281EDEE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2021, the Organic Law on the Regulation of Euthanasia in Spain came into force. Euthanasia can be performed both by administering a lethal dose by a doctor and by injecting a lethal dose by the patient himself. The Organic Law on the Regulation of Euthanasia differs from the euthanasia laws of other European Union countries discussed so far in that it enshrines the right to medical assistance in dying. The preamble to the Organic Law on the Regulation of Euthanasia provides that “</w:t>
      </w:r>
      <w:r w:rsidRPr="009D5BDE">
        <w:rPr>
          <w:rFonts w:ascii="Times New Roman" w:hAnsi="Times New Roman" w:cs="Times New Roman"/>
          <w:i/>
          <w:iCs/>
          <w:sz w:val="24"/>
          <w:szCs w:val="24"/>
        </w:rPr>
        <w:t>the legalization and regulation of euthanasia are based on the compatibility of the fundamental principles on which human rights are based, as enshrined in the Spanish Constitution. These are, on the one hand, the fundamental rights to life and physical and moral integrity, and, on the other hand, constitutionally protected rights such as dignity, freedom and voluntary autonomy</w:t>
      </w:r>
      <w:r w:rsidR="009D5BDE">
        <w:rPr>
          <w:rFonts w:ascii="Times New Roman" w:hAnsi="Times New Roman" w:cs="Times New Roman"/>
          <w:sz w:val="24"/>
          <w:szCs w:val="24"/>
        </w:rPr>
        <w:t>”</w:t>
      </w:r>
      <w:r w:rsidRPr="001256EA">
        <w:rPr>
          <w:rFonts w:ascii="Times New Roman" w:hAnsi="Times New Roman" w:cs="Times New Roman"/>
          <w:vertAlign w:val="superscript"/>
        </w:rPr>
        <w:footnoteReference w:id="274"/>
      </w:r>
      <w:r w:rsidRPr="001256EA">
        <w:rPr>
          <w:rFonts w:ascii="Times New Roman" w:hAnsi="Times New Roman" w:cs="Times New Roman"/>
          <w:sz w:val="24"/>
          <w:szCs w:val="24"/>
        </w:rPr>
        <w:t xml:space="preserve">. Doctors have the right to refuse to participate in the euthanasia procedure on the grounds of personal or religious beliefs. Such refusal must be made in advance and in writing, and such refusal </w:t>
      </w:r>
      <w:r w:rsidR="00BF416D" w:rsidRPr="001256EA">
        <w:rPr>
          <w:rFonts w:ascii="Times New Roman" w:hAnsi="Times New Roman" w:cs="Times New Roman"/>
          <w:sz w:val="24"/>
          <w:szCs w:val="24"/>
        </w:rPr>
        <w:t>should</w:t>
      </w:r>
      <w:r w:rsidRPr="001256EA">
        <w:rPr>
          <w:rFonts w:ascii="Times New Roman" w:hAnsi="Times New Roman" w:cs="Times New Roman"/>
          <w:sz w:val="24"/>
          <w:szCs w:val="24"/>
        </w:rPr>
        <w:t xml:space="preserve"> be recorded in a special register, which shall be confidential. However, the State shall ensure that a patient who meets all the conditions of the law may exercise the right to euthanasia by a doctor who agrees to the performance of euthanasia.</w:t>
      </w:r>
    </w:p>
    <w:p w14:paraId="05BC1C3E"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Euthanasia in Spain can only be performed on an adult who submits a written, dated and signed request for euthanasia. The patient must have a serious incurable disease or a serious, chronic, debilitating condition that causes unbearable physical or psychological suffering without any possibility of relief.</w:t>
      </w:r>
    </w:p>
    <w:p w14:paraId="1C94334B" w14:textId="42CA2FE8"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 patient seeking euthanasia must be competent, conscious and able to make such a decision independently. The patient must express such a will at least twice, with a minimum interval of 15 days between them. The request is first assessed by the treating physician, who must consult with another physician, who must be a specialist in the patient's illness. This means that such a request must be assessed by two different physicians. The treating physician must discuss the diagnosis, treatment options and expected outcomes, as well as possible palliative care, with the </w:t>
      </w:r>
      <w:r w:rsidR="00802402" w:rsidRPr="001256EA">
        <w:rPr>
          <w:rFonts w:ascii="Times New Roman" w:hAnsi="Times New Roman" w:cs="Times New Roman"/>
          <w:sz w:val="24"/>
          <w:szCs w:val="24"/>
        </w:rPr>
        <w:t>requested</w:t>
      </w:r>
      <w:r w:rsidRPr="001256EA">
        <w:rPr>
          <w:rFonts w:ascii="Times New Roman" w:hAnsi="Times New Roman" w:cs="Times New Roman"/>
          <w:sz w:val="24"/>
          <w:szCs w:val="24"/>
        </w:rPr>
        <w:t xml:space="preserve"> patient, ensuring that the patient understands the information provided. </w:t>
      </w:r>
      <w:r w:rsidRPr="001256EA">
        <w:rPr>
          <w:rFonts w:ascii="Times New Roman" w:hAnsi="Times New Roman" w:cs="Times New Roman"/>
          <w:sz w:val="24"/>
          <w:szCs w:val="24"/>
        </w:rPr>
        <w:lastRenderedPageBreak/>
        <w:t xml:space="preserve">When everything is done, the request with the accompanying documents is forwarded to the Guarantees and Assessment Commission, which makes the decision on euthanasia. </w:t>
      </w:r>
    </w:p>
    <w:p w14:paraId="7C8083A2" w14:textId="0946C834"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Spain, euthanasia can only be performed on Spanish citizens or persons who have been legally resident in the country for at least 12 months. This service is included in the general package of services of </w:t>
      </w:r>
      <w:bookmarkStart w:id="41" w:name="_Hlk207569449"/>
      <w:r w:rsidRPr="001256EA">
        <w:rPr>
          <w:rFonts w:ascii="Times New Roman" w:hAnsi="Times New Roman" w:cs="Times New Roman"/>
          <w:sz w:val="24"/>
          <w:szCs w:val="24"/>
        </w:rPr>
        <w:t xml:space="preserve">the Spanish National Health System </w:t>
      </w:r>
      <w:bookmarkEnd w:id="41"/>
      <w:r w:rsidRPr="001256EA">
        <w:rPr>
          <w:rFonts w:ascii="Times New Roman" w:hAnsi="Times New Roman" w:cs="Times New Roman"/>
          <w:sz w:val="24"/>
          <w:szCs w:val="24"/>
        </w:rPr>
        <w:t xml:space="preserve">and is financed by the state. Euthanasia can be performed in public, private or in the patient's home. All information related to euthanasia is considered sensitive data under the </w:t>
      </w:r>
      <w:r w:rsidR="00BF416D" w:rsidRPr="001256EA">
        <w:rPr>
          <w:rFonts w:ascii="Times New Roman" w:hAnsi="Times New Roman" w:cs="Times New Roman"/>
          <w:sz w:val="24"/>
          <w:szCs w:val="24"/>
        </w:rPr>
        <w:t>GDPR;</w:t>
      </w:r>
      <w:r w:rsidRPr="001256EA">
        <w:rPr>
          <w:rFonts w:ascii="Times New Roman" w:hAnsi="Times New Roman" w:cs="Times New Roman"/>
          <w:sz w:val="24"/>
          <w:szCs w:val="24"/>
        </w:rPr>
        <w:t xml:space="preserve"> </w:t>
      </w:r>
      <w:r w:rsidR="00802402" w:rsidRPr="001256EA">
        <w:rPr>
          <w:rFonts w:ascii="Times New Roman" w:hAnsi="Times New Roman" w:cs="Times New Roman"/>
          <w:sz w:val="24"/>
          <w:szCs w:val="24"/>
        </w:rPr>
        <w:t>therefore,</w:t>
      </w:r>
      <w:r w:rsidRPr="001256EA">
        <w:rPr>
          <w:rFonts w:ascii="Times New Roman" w:hAnsi="Times New Roman" w:cs="Times New Roman"/>
          <w:sz w:val="24"/>
          <w:szCs w:val="24"/>
        </w:rPr>
        <w:t xml:space="preserve"> a high level of data protection and confidentiality is ensured.</w:t>
      </w:r>
    </w:p>
    <w:p w14:paraId="6946D150"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2022, Austria passed a law on advance directives</w:t>
      </w:r>
      <w:r w:rsidRPr="001256EA">
        <w:rPr>
          <w:rFonts w:ascii="Times New Roman" w:hAnsi="Times New Roman" w:cs="Times New Roman"/>
          <w:sz w:val="24"/>
          <w:szCs w:val="24"/>
          <w:vertAlign w:val="superscript"/>
        </w:rPr>
        <w:t xml:space="preserve"> </w:t>
      </w:r>
      <w:r w:rsidRPr="001256EA">
        <w:rPr>
          <w:rFonts w:ascii="Times New Roman" w:hAnsi="Times New Roman" w:cs="Times New Roman"/>
          <w:vertAlign w:val="superscript"/>
        </w:rPr>
        <w:footnoteReference w:id="275"/>
      </w:r>
      <w:r w:rsidRPr="001256EA">
        <w:rPr>
          <w:rFonts w:ascii="Times New Roman" w:hAnsi="Times New Roman" w:cs="Times New Roman"/>
          <w:sz w:val="24"/>
          <w:szCs w:val="24"/>
        </w:rPr>
        <w:t>. Only one form of euthanasia is permitted in Austria. It is permitted to help a person commit suicide on their own by providing lethal substances and informational or logistical support. This means that active euthanasia is prohibited.</w:t>
      </w:r>
    </w:p>
    <w:p w14:paraId="5CD8E6D1" w14:textId="6CF4F375"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 person seeking euthanasia must submit a notarized advance </w:t>
      </w:r>
      <w:r w:rsidR="00BF416D" w:rsidRPr="001256EA">
        <w:rPr>
          <w:rFonts w:ascii="Times New Roman" w:hAnsi="Times New Roman" w:cs="Times New Roman"/>
          <w:sz w:val="24"/>
          <w:szCs w:val="24"/>
        </w:rPr>
        <w:t>directive</w:t>
      </w:r>
      <w:r w:rsidRPr="001256EA">
        <w:rPr>
          <w:rFonts w:ascii="Times New Roman" w:hAnsi="Times New Roman" w:cs="Times New Roman"/>
          <w:sz w:val="24"/>
          <w:szCs w:val="24"/>
        </w:rPr>
        <w:t xml:space="preserve"> written personally by the person with the appropriate health conditions and independently. A person is allowed to euthanize only if they have an incurable disease or irreversible condition. It is also important that the person makes the decision without psychological pressure. Before the document is drawn up at a notary, the interested person must have two separate interviews with a psychiatrist and a palliative medicine doctor</w:t>
      </w:r>
      <w:r w:rsidRPr="001256EA">
        <w:rPr>
          <w:rFonts w:ascii="Times New Roman" w:hAnsi="Times New Roman" w:cs="Times New Roman"/>
          <w:vertAlign w:val="superscript"/>
        </w:rPr>
        <w:footnoteReference w:id="276"/>
      </w:r>
      <w:r w:rsidRPr="001256EA">
        <w:rPr>
          <w:rFonts w:ascii="Times New Roman" w:hAnsi="Times New Roman" w:cs="Times New Roman"/>
          <w:sz w:val="24"/>
          <w:szCs w:val="24"/>
        </w:rPr>
        <w:t>. Both doctors must be independent of each other and confirm the patient's autonomy and understanding of responsibility. Such a document can only be drawn up by an adult who is permanently resident in Austria.</w:t>
      </w:r>
    </w:p>
    <w:p w14:paraId="081BCA54"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Another country with a euthanasia law is Portugal. In May 2023, the Portuguese parliament finally passed a law legalizing medically assisted death, despite opposition from the president</w:t>
      </w:r>
      <w:r w:rsidRPr="001256EA">
        <w:rPr>
          <w:rFonts w:ascii="Times New Roman" w:hAnsi="Times New Roman" w:cs="Times New Roman"/>
          <w:vertAlign w:val="superscript"/>
        </w:rPr>
        <w:footnoteReference w:id="277"/>
      </w:r>
      <w:r w:rsidRPr="001256EA">
        <w:rPr>
          <w:rFonts w:ascii="Times New Roman" w:hAnsi="Times New Roman" w:cs="Times New Roman"/>
          <w:sz w:val="24"/>
          <w:szCs w:val="24"/>
        </w:rPr>
        <w:t xml:space="preserve">. The Portuguese euthanasia model is currently considered one of the most cautious in Europe due to its strict conditions. Euthanasia is defined in law as the administration of lethal medication by a doctor or a healthcare professional who is appropriately qualified to do so. In the euthanasia process, physician-assisted suicide (where the patient takes the lethal medication themselves) must be considered first, while active euthanasia (the administration of a lethal injection by a doctor) is only permitted if the patient is physically unable to perform the act on </w:t>
      </w:r>
      <w:r w:rsidRPr="001256EA">
        <w:rPr>
          <w:rFonts w:ascii="Times New Roman" w:hAnsi="Times New Roman" w:cs="Times New Roman"/>
          <w:sz w:val="24"/>
          <w:szCs w:val="24"/>
        </w:rPr>
        <w:lastRenderedPageBreak/>
        <w:t>their own. Portugal has chosen a model that prioritizes patient autonomy. Only adults who suffer from an incurable and irreversible illness or who are experiencing severe, ongoing and unbearable suffering have the right to request euthanasia.</w:t>
      </w:r>
    </w:p>
    <w:p w14:paraId="2D2DA94C" w14:textId="0CEF54A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submitted request for euthanasia must be submitted voluntarily, thoughtfully and repeatedly. </w:t>
      </w:r>
      <w:proofErr w:type="gramStart"/>
      <w:r w:rsidRPr="001256EA">
        <w:rPr>
          <w:rFonts w:ascii="Times New Roman" w:hAnsi="Times New Roman" w:cs="Times New Roman"/>
          <w:sz w:val="24"/>
          <w:szCs w:val="24"/>
        </w:rPr>
        <w:t>The</w:t>
      </w:r>
      <w:proofErr w:type="gramEnd"/>
      <w:r w:rsidRPr="001256EA">
        <w:rPr>
          <w:rFonts w:ascii="Times New Roman" w:hAnsi="Times New Roman" w:cs="Times New Roman"/>
          <w:sz w:val="24"/>
          <w:szCs w:val="24"/>
        </w:rPr>
        <w:t xml:space="preserve"> attending physician, upon receiving such a request, must contact a specialist </w:t>
      </w:r>
      <w:r w:rsidR="00802402" w:rsidRPr="001256EA">
        <w:rPr>
          <w:rFonts w:ascii="Times New Roman" w:hAnsi="Times New Roman" w:cs="Times New Roman"/>
          <w:sz w:val="24"/>
          <w:szCs w:val="24"/>
        </w:rPr>
        <w:t>to</w:t>
      </w:r>
      <w:r w:rsidRPr="001256EA">
        <w:rPr>
          <w:rFonts w:ascii="Times New Roman" w:hAnsi="Times New Roman" w:cs="Times New Roman"/>
          <w:sz w:val="24"/>
          <w:szCs w:val="24"/>
        </w:rPr>
        <w:t xml:space="preserve"> </w:t>
      </w:r>
      <w:r w:rsidR="009D5BDE" w:rsidRPr="001256EA">
        <w:rPr>
          <w:rFonts w:ascii="Times New Roman" w:hAnsi="Times New Roman" w:cs="Times New Roman"/>
          <w:sz w:val="24"/>
          <w:szCs w:val="24"/>
        </w:rPr>
        <w:t>the conclusion</w:t>
      </w:r>
      <w:r w:rsidRPr="001256EA">
        <w:rPr>
          <w:rFonts w:ascii="Times New Roman" w:hAnsi="Times New Roman" w:cs="Times New Roman"/>
          <w:sz w:val="24"/>
          <w:szCs w:val="24"/>
        </w:rPr>
        <w:t xml:space="preserve"> that the patient complies with the provisions of the law. If there are doubts about the patient's psychological state, the patient also needs a favorable conclusion from a psychologist. When all the documents are prepared, then all this is transferred to the Committee for the Inspection and Evaluation of Clinical Procedures for Medically Assisted Death, which </w:t>
      </w:r>
      <w:r w:rsidR="00802402" w:rsidRPr="001256EA">
        <w:rPr>
          <w:rFonts w:ascii="Times New Roman" w:hAnsi="Times New Roman" w:cs="Times New Roman"/>
          <w:sz w:val="24"/>
          <w:szCs w:val="24"/>
        </w:rPr>
        <w:t>decides</w:t>
      </w:r>
      <w:r w:rsidRPr="001256EA">
        <w:rPr>
          <w:rFonts w:ascii="Times New Roman" w:hAnsi="Times New Roman" w:cs="Times New Roman"/>
          <w:sz w:val="24"/>
          <w:szCs w:val="24"/>
        </w:rPr>
        <w:t xml:space="preserve"> on euthanasia. After the doctor receives a favorable decision from the committee, the patient is informed of the decision and is asked again whether this is the patient's will. Everything must be recorded in writing in the patient's medical file.</w:t>
      </w:r>
    </w:p>
    <w:p w14:paraId="19C07156" w14:textId="0723DD26" w:rsidR="003473D2" w:rsidRPr="001256EA" w:rsidRDefault="00A70645" w:rsidP="00A5471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Portuguese law on medically assisted death stipulates that only Portuguese citizens and legal residents have the right to request euthanasia. Under the current legal order in Portugal, the law enters into force 30 days after the publication of the regulatory legal acts. However, they have not yet been adopted in Portugal and therefore the provision cannot yet be implemented. The Portuguese Constitutional Court has ruled that some articles of the law on medically assisted death are unconstitutional. The court noted that, in its current version, euthanasia is only permitted if the patient is physically unable to administer the lethal drug themselves. In other words, it highlights one of the features of the Portuguese law that was fundamental to its approval: the subsidiarity of euthanasia compared to assisted suicide. Likewise, the Portuguese Constitutional Court, in its decision No. 307/2025, disagreed with the procedure provided for in the law, according to which a doctor who refuses to perform euthanasia must justify his decision. The Court considers this to be an inappropriate, unnecessary and disproportionate restriction on freedom of conscience</w:t>
      </w:r>
      <w:r w:rsidRPr="001256EA">
        <w:rPr>
          <w:rFonts w:ascii="Times New Roman" w:hAnsi="Times New Roman" w:cs="Times New Roman"/>
          <w:vertAlign w:val="superscript"/>
        </w:rPr>
        <w:footnoteReference w:id="278"/>
      </w:r>
      <w:r w:rsidR="00BF416D" w:rsidRPr="001256EA">
        <w:rPr>
          <w:rFonts w:ascii="Times New Roman" w:hAnsi="Times New Roman" w:cs="Times New Roman"/>
          <w:sz w:val="24"/>
          <w:szCs w:val="24"/>
        </w:rPr>
        <w:t>.</w:t>
      </w:r>
      <w:r w:rsidR="00BF416D" w:rsidRPr="001256EA">
        <w:rPr>
          <w:rFonts w:ascii="Times New Roman" w:hAnsi="Times New Roman" w:cs="Times New Roman"/>
          <w:b/>
          <w:bCs/>
          <w:sz w:val="24"/>
          <w:szCs w:val="24"/>
        </w:rPr>
        <w:t xml:space="preserve"> </w:t>
      </w:r>
      <w:r w:rsidR="00BF416D" w:rsidRPr="001256EA">
        <w:rPr>
          <w:rFonts w:ascii="Times New Roman" w:hAnsi="Times New Roman" w:cs="Times New Roman"/>
          <w:sz w:val="24"/>
          <w:szCs w:val="24"/>
        </w:rPr>
        <w:t>Appendix</w:t>
      </w:r>
      <w:r w:rsidR="00F91D5E" w:rsidRPr="001256EA">
        <w:rPr>
          <w:rFonts w:ascii="Times New Roman" w:hAnsi="Times New Roman" w:cs="Times New Roman"/>
          <w:sz w:val="24"/>
          <w:szCs w:val="24"/>
        </w:rPr>
        <w:t xml:space="preserve"> </w:t>
      </w:r>
      <w:r w:rsidR="002B5A9C" w:rsidRPr="001256EA">
        <w:rPr>
          <w:rFonts w:ascii="Times New Roman" w:hAnsi="Times New Roman" w:cs="Times New Roman"/>
          <w:sz w:val="24"/>
          <w:szCs w:val="24"/>
        </w:rPr>
        <w:t>4</w:t>
      </w:r>
      <w:r w:rsidR="003473D2" w:rsidRPr="001256EA">
        <w:rPr>
          <w:rFonts w:ascii="Times New Roman" w:hAnsi="Times New Roman" w:cs="Times New Roman"/>
          <w:sz w:val="24"/>
          <w:szCs w:val="24"/>
        </w:rPr>
        <w:t xml:space="preserve"> shows the </w:t>
      </w:r>
      <w:r w:rsidR="00802402" w:rsidRPr="001256EA">
        <w:rPr>
          <w:rFonts w:ascii="Times New Roman" w:hAnsi="Times New Roman" w:cs="Times New Roman"/>
          <w:sz w:val="24"/>
          <w:szCs w:val="24"/>
        </w:rPr>
        <w:t>euthanasia</w:t>
      </w:r>
      <w:r w:rsidR="003473D2" w:rsidRPr="001256EA">
        <w:rPr>
          <w:rFonts w:ascii="Times New Roman" w:hAnsi="Times New Roman" w:cs="Times New Roman"/>
          <w:sz w:val="24"/>
          <w:szCs w:val="24"/>
        </w:rPr>
        <w:t xml:space="preserve"> in all the European Union countries discussed.</w:t>
      </w:r>
      <w:r w:rsidR="00A54715" w:rsidRPr="001256EA">
        <w:rPr>
          <w:rFonts w:ascii="Times New Roman" w:hAnsi="Times New Roman" w:cs="Times New Roman"/>
          <w:sz w:val="24"/>
          <w:szCs w:val="24"/>
        </w:rPr>
        <w:t xml:space="preserve"> </w:t>
      </w:r>
    </w:p>
    <w:p w14:paraId="42E1F664" w14:textId="6AA93494"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Some European Union countries do not have legal euthanasia laws, but people can choose when to die in a different way. Denmark has developed a balanced system for end-of-life issues, based on respect for the implementation of patient rights and autonomy, and focused on protecting life. In 1998, Denmark passed the Living Will Act (</w:t>
      </w:r>
      <w:r w:rsidRPr="00CB036C">
        <w:rPr>
          <w:rFonts w:ascii="Times New Roman" w:hAnsi="Times New Roman" w:cs="Times New Roman"/>
          <w:i/>
          <w:iCs/>
          <w:sz w:val="24"/>
          <w:szCs w:val="24"/>
        </w:rPr>
        <w:t xml:space="preserve">Lov om </w:t>
      </w:r>
      <w:proofErr w:type="spellStart"/>
      <w:r w:rsidRPr="00CB036C">
        <w:rPr>
          <w:rFonts w:ascii="Times New Roman" w:hAnsi="Times New Roman" w:cs="Times New Roman"/>
          <w:i/>
          <w:iCs/>
          <w:sz w:val="24"/>
          <w:szCs w:val="24"/>
        </w:rPr>
        <w:t>patienters</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retsstilling</w:t>
      </w:r>
      <w:proofErr w:type="spellEnd"/>
      <w:r w:rsidRPr="001256EA">
        <w:rPr>
          <w:rFonts w:ascii="Times New Roman" w:hAnsi="Times New Roman" w:cs="Times New Roman"/>
          <w:sz w:val="24"/>
          <w:szCs w:val="24"/>
        </w:rPr>
        <w:t xml:space="preserve">). Under this law, Danish citizens have the right to express their wishes regarding medical </w:t>
      </w:r>
      <w:r w:rsidRPr="001256EA">
        <w:rPr>
          <w:rFonts w:ascii="Times New Roman" w:hAnsi="Times New Roman" w:cs="Times New Roman"/>
          <w:sz w:val="24"/>
          <w:szCs w:val="24"/>
        </w:rPr>
        <w:lastRenderedPageBreak/>
        <w:t>treatment. Denmark has created an electronic database called the Patient Register or eHealth, which stores citizens' advance wishes</w:t>
      </w:r>
      <w:r w:rsidRPr="001256EA">
        <w:rPr>
          <w:rFonts w:ascii="Times New Roman" w:hAnsi="Times New Roman" w:cs="Times New Roman"/>
          <w:sz w:val="24"/>
          <w:szCs w:val="24"/>
          <w:vertAlign w:val="superscript"/>
        </w:rPr>
        <w:footnoteReference w:id="279"/>
      </w:r>
      <w:r w:rsidRPr="001256EA">
        <w:rPr>
          <w:rFonts w:ascii="Times New Roman" w:hAnsi="Times New Roman" w:cs="Times New Roman"/>
          <w:sz w:val="24"/>
          <w:szCs w:val="24"/>
        </w:rPr>
        <w:t xml:space="preserve">. Under the </w:t>
      </w:r>
      <w:r w:rsidR="00BF416D" w:rsidRPr="001256EA">
        <w:rPr>
          <w:rFonts w:ascii="Times New Roman" w:hAnsi="Times New Roman" w:cs="Times New Roman"/>
          <w:sz w:val="24"/>
          <w:szCs w:val="24"/>
        </w:rPr>
        <w:t>law</w:t>
      </w:r>
      <w:r w:rsidRPr="001256EA">
        <w:rPr>
          <w:rFonts w:ascii="Times New Roman" w:hAnsi="Times New Roman" w:cs="Times New Roman"/>
          <w:sz w:val="24"/>
          <w:szCs w:val="24"/>
        </w:rPr>
        <w:t>, Danes can apply for the termination of medical care and life-sustaining treatment. Euthanasia can only be applied in cases of incurable illness or serious accident. In the case of incurable illness, the patient's wishes are binding on the healthcare staff. Euthanasia cannot be applied due to old age or accidents</w:t>
      </w:r>
      <w:r w:rsidRPr="001256EA">
        <w:rPr>
          <w:rFonts w:ascii="Times New Roman" w:hAnsi="Times New Roman" w:cs="Times New Roman"/>
          <w:sz w:val="24"/>
          <w:szCs w:val="24"/>
          <w:vertAlign w:val="superscript"/>
        </w:rPr>
        <w:footnoteReference w:id="280"/>
      </w:r>
      <w:r w:rsidRPr="001256EA">
        <w:rPr>
          <w:rFonts w:ascii="Times New Roman" w:hAnsi="Times New Roman" w:cs="Times New Roman"/>
          <w:sz w:val="24"/>
          <w:szCs w:val="24"/>
        </w:rPr>
        <w:t>. Danish doctors are guided by the code of ethics "</w:t>
      </w:r>
      <w:proofErr w:type="spellStart"/>
      <w:r w:rsidRPr="00CB036C">
        <w:rPr>
          <w:rFonts w:ascii="Times New Roman" w:hAnsi="Times New Roman" w:cs="Times New Roman"/>
          <w:i/>
          <w:iCs/>
          <w:sz w:val="24"/>
          <w:szCs w:val="24"/>
        </w:rPr>
        <w:t>Lægeforeningens</w:t>
      </w:r>
      <w:proofErr w:type="spellEnd"/>
      <w:r w:rsidRPr="00CB036C">
        <w:rPr>
          <w:rFonts w:ascii="Times New Roman" w:hAnsi="Times New Roman" w:cs="Times New Roman"/>
          <w:i/>
          <w:iCs/>
          <w:sz w:val="24"/>
          <w:szCs w:val="24"/>
        </w:rPr>
        <w:t xml:space="preserve"> </w:t>
      </w:r>
      <w:proofErr w:type="spellStart"/>
      <w:r w:rsidRPr="00CB036C">
        <w:rPr>
          <w:rFonts w:ascii="Times New Roman" w:hAnsi="Times New Roman" w:cs="Times New Roman"/>
          <w:i/>
          <w:iCs/>
          <w:sz w:val="24"/>
          <w:szCs w:val="24"/>
        </w:rPr>
        <w:t>Etiske</w:t>
      </w:r>
      <w:proofErr w:type="spellEnd"/>
      <w:r w:rsidRPr="00CB036C">
        <w:rPr>
          <w:rFonts w:ascii="Times New Roman" w:hAnsi="Times New Roman" w:cs="Times New Roman"/>
          <w:i/>
          <w:iCs/>
          <w:sz w:val="24"/>
          <w:szCs w:val="24"/>
        </w:rPr>
        <w:t xml:space="preserve"> Regler</w:t>
      </w:r>
      <w:r w:rsidRPr="001256EA">
        <w:rPr>
          <w:rFonts w:ascii="Times New Roman" w:hAnsi="Times New Roman" w:cs="Times New Roman"/>
          <w:sz w:val="24"/>
          <w:szCs w:val="24"/>
        </w:rPr>
        <w:t xml:space="preserve">", which sets out the ethical principles of doctors. The code prohibits active euthanasia. </w:t>
      </w:r>
    </w:p>
    <w:p w14:paraId="71B62FE5" w14:textId="256EC250"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On 26 February 2020, the German Federal Constitutional Court (</w:t>
      </w:r>
      <w:proofErr w:type="spellStart"/>
      <w:r w:rsidRPr="00CB036C">
        <w:rPr>
          <w:rFonts w:ascii="Times New Roman" w:hAnsi="Times New Roman" w:cs="Times New Roman"/>
          <w:i/>
          <w:iCs/>
          <w:sz w:val="24"/>
          <w:szCs w:val="24"/>
        </w:rPr>
        <w:t>Bundesverfassungsgericht</w:t>
      </w:r>
      <w:proofErr w:type="spellEnd"/>
      <w:r w:rsidRPr="001256EA">
        <w:rPr>
          <w:rFonts w:ascii="Times New Roman" w:hAnsi="Times New Roman" w:cs="Times New Roman"/>
          <w:sz w:val="24"/>
          <w:szCs w:val="24"/>
        </w:rPr>
        <w:t xml:space="preserve">) ruled (2 </w:t>
      </w:r>
      <w:proofErr w:type="spellStart"/>
      <w:r w:rsidRPr="001256EA">
        <w:rPr>
          <w:rFonts w:ascii="Times New Roman" w:hAnsi="Times New Roman" w:cs="Times New Roman"/>
          <w:sz w:val="24"/>
          <w:szCs w:val="24"/>
        </w:rPr>
        <w:t>BvR</w:t>
      </w:r>
      <w:proofErr w:type="spellEnd"/>
      <w:r w:rsidRPr="001256EA">
        <w:rPr>
          <w:rFonts w:ascii="Times New Roman" w:hAnsi="Times New Roman" w:cs="Times New Roman"/>
          <w:sz w:val="24"/>
          <w:szCs w:val="24"/>
        </w:rPr>
        <w:t xml:space="preserve"> 2347/15) that §217 </w:t>
      </w:r>
      <w:proofErr w:type="spellStart"/>
      <w:r w:rsidRPr="001256EA">
        <w:rPr>
          <w:rFonts w:ascii="Times New Roman" w:hAnsi="Times New Roman" w:cs="Times New Roman"/>
          <w:sz w:val="24"/>
          <w:szCs w:val="24"/>
        </w:rPr>
        <w:t>StGB</w:t>
      </w:r>
      <w:proofErr w:type="spellEnd"/>
      <w:r w:rsidRPr="001256EA">
        <w:rPr>
          <w:rFonts w:ascii="Times New Roman" w:hAnsi="Times New Roman" w:cs="Times New Roman"/>
          <w:sz w:val="24"/>
          <w:szCs w:val="24"/>
        </w:rPr>
        <w:t xml:space="preserve"> violates citizens’ right to autonomy and is therefore unconstitutional and invalid. This means that assisted suicide, when not done for business purposes, is not punishable. The court argued that the right to an independent death is an expression of personal autonomy. Although assisted suicide is now legally permitted, the availability of medication remains very limited, as drug laws and restrictions on medical practice currently hinder the implementation of such procedures. Attempts have been made to introduce new laws to regulate assisted suicide, but they have not yet been adopted by the German Bundestag. It is currently legally possible for an adult, critically ill person to receive medical assistance in committing suicide, </w:t>
      </w:r>
      <w:r w:rsidR="00802402" w:rsidRPr="001256EA">
        <w:rPr>
          <w:rFonts w:ascii="Times New Roman" w:hAnsi="Times New Roman" w:cs="Times New Roman"/>
          <w:sz w:val="24"/>
          <w:szCs w:val="24"/>
        </w:rPr>
        <w:t>if</w:t>
      </w:r>
      <w:r w:rsidRPr="001256EA">
        <w:rPr>
          <w:rFonts w:ascii="Times New Roman" w:hAnsi="Times New Roman" w:cs="Times New Roman"/>
          <w:sz w:val="24"/>
          <w:szCs w:val="24"/>
        </w:rPr>
        <w:t xml:space="preserve"> it is not done for selfish purposes.</w:t>
      </w:r>
    </w:p>
    <w:p w14:paraId="75584EA9"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Italy, active euthanasia is legal and can be classified as murder under Article 579 of the Penal Code, with a penalty of 6 to 15 years in prison</w:t>
      </w:r>
      <w:r w:rsidRPr="001256EA">
        <w:rPr>
          <w:rFonts w:ascii="Times New Roman" w:hAnsi="Times New Roman" w:cs="Times New Roman"/>
          <w:sz w:val="24"/>
          <w:szCs w:val="24"/>
          <w:vertAlign w:val="superscript"/>
        </w:rPr>
        <w:footnoteReference w:id="281"/>
      </w:r>
      <w:r w:rsidRPr="001256EA">
        <w:rPr>
          <w:rFonts w:ascii="Times New Roman" w:hAnsi="Times New Roman" w:cs="Times New Roman"/>
          <w:sz w:val="24"/>
          <w:szCs w:val="24"/>
        </w:rPr>
        <w:t>. A 2019 ruling by the Italian Constitutional Court (242/2019) decriminalized assisted suicide in cases where the patient has an irreversible illness, is experiencing unbearable physical or psychological suffering, is dependent on life support, and is fully competent to make an informed decision</w:t>
      </w:r>
      <w:r w:rsidRPr="001256EA">
        <w:rPr>
          <w:rFonts w:ascii="Times New Roman" w:hAnsi="Times New Roman" w:cs="Times New Roman"/>
          <w:sz w:val="24"/>
          <w:szCs w:val="24"/>
          <w:vertAlign w:val="superscript"/>
        </w:rPr>
        <w:footnoteReference w:id="282"/>
      </w:r>
      <w:r w:rsidRPr="001256EA">
        <w:rPr>
          <w:rFonts w:ascii="Times New Roman" w:hAnsi="Times New Roman" w:cs="Times New Roman"/>
          <w:sz w:val="24"/>
          <w:szCs w:val="24"/>
        </w:rPr>
        <w:t xml:space="preserve">. </w:t>
      </w:r>
    </w:p>
    <w:p w14:paraId="57CEADF1" w14:textId="30FED232"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The Italian government has not yet adopted a national law to regulate this procedure. In 2025, Tuscany became the first region to adopt a regional law on </w:t>
      </w:r>
      <w:r w:rsidR="00BF416D" w:rsidRPr="001256EA">
        <w:rPr>
          <w:rFonts w:ascii="Times New Roman" w:hAnsi="Times New Roman" w:cs="Times New Roman"/>
          <w:sz w:val="24"/>
          <w:szCs w:val="24"/>
        </w:rPr>
        <w:t>medical</w:t>
      </w:r>
      <w:r w:rsidRPr="001256EA">
        <w:rPr>
          <w:rFonts w:ascii="Times New Roman" w:hAnsi="Times New Roman" w:cs="Times New Roman"/>
          <w:sz w:val="24"/>
          <w:szCs w:val="24"/>
        </w:rPr>
        <w:t xml:space="preserve"> assisted suicide</w:t>
      </w:r>
      <w:r w:rsidRPr="001256EA">
        <w:rPr>
          <w:rFonts w:ascii="Times New Roman" w:hAnsi="Times New Roman" w:cs="Times New Roman"/>
          <w:sz w:val="24"/>
          <w:szCs w:val="24"/>
          <w:vertAlign w:val="superscript"/>
        </w:rPr>
        <w:footnoteReference w:id="283"/>
      </w:r>
      <w:r w:rsidRPr="001256EA">
        <w:rPr>
          <w:rFonts w:ascii="Times New Roman" w:hAnsi="Times New Roman" w:cs="Times New Roman"/>
          <w:sz w:val="24"/>
          <w:szCs w:val="24"/>
        </w:rPr>
        <w:t xml:space="preserve">. The procedure applies only to those </w:t>
      </w:r>
      <w:r w:rsidR="00B27F0A" w:rsidRPr="001256EA">
        <w:rPr>
          <w:rFonts w:ascii="Times New Roman" w:hAnsi="Times New Roman" w:cs="Times New Roman"/>
          <w:sz w:val="24"/>
          <w:szCs w:val="24"/>
        </w:rPr>
        <w:t>people</w:t>
      </w:r>
      <w:r w:rsidRPr="001256EA">
        <w:rPr>
          <w:rFonts w:ascii="Times New Roman" w:hAnsi="Times New Roman" w:cs="Times New Roman"/>
          <w:sz w:val="24"/>
          <w:szCs w:val="24"/>
        </w:rPr>
        <w:t xml:space="preserve"> who:</w:t>
      </w:r>
    </w:p>
    <w:p w14:paraId="2EF3DCD4" w14:textId="71FD83C1" w:rsidR="00A70645" w:rsidRPr="001256EA" w:rsidRDefault="00802402" w:rsidP="00D2668D">
      <w:pPr>
        <w:numPr>
          <w:ilvl w:val="0"/>
          <w:numId w:val="15"/>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It has</w:t>
      </w:r>
      <w:r w:rsidR="00A70645" w:rsidRPr="001256EA">
        <w:rPr>
          <w:rFonts w:ascii="Times New Roman" w:hAnsi="Times New Roman" w:cs="Times New Roman"/>
          <w:sz w:val="24"/>
          <w:szCs w:val="24"/>
        </w:rPr>
        <w:t xml:space="preserve"> an incurable disease (irreversible pathology).</w:t>
      </w:r>
    </w:p>
    <w:p w14:paraId="5C6B8888" w14:textId="30187FD4" w:rsidR="00A70645" w:rsidRPr="001256EA" w:rsidRDefault="00802402" w:rsidP="00D2668D">
      <w:pPr>
        <w:numPr>
          <w:ilvl w:val="0"/>
          <w:numId w:val="15"/>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It is</w:t>
      </w:r>
      <w:r w:rsidR="00A70645" w:rsidRPr="001256EA">
        <w:rPr>
          <w:rFonts w:ascii="Times New Roman" w:hAnsi="Times New Roman" w:cs="Times New Roman"/>
          <w:sz w:val="24"/>
          <w:szCs w:val="24"/>
        </w:rPr>
        <w:t xml:space="preserve"> experiencing unbearable physical or psychological suffering.</w:t>
      </w:r>
    </w:p>
    <w:p w14:paraId="2461A93E" w14:textId="132B85D9" w:rsidR="00A70645" w:rsidRPr="001256EA" w:rsidRDefault="00802402" w:rsidP="00D2668D">
      <w:pPr>
        <w:numPr>
          <w:ilvl w:val="0"/>
          <w:numId w:val="15"/>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It is</w:t>
      </w:r>
      <w:r w:rsidR="00A70645" w:rsidRPr="001256EA">
        <w:rPr>
          <w:rFonts w:ascii="Times New Roman" w:hAnsi="Times New Roman" w:cs="Times New Roman"/>
          <w:sz w:val="24"/>
          <w:szCs w:val="24"/>
        </w:rPr>
        <w:t xml:space="preserve"> dependent on life-sustaining treatment (or requires such treatment but refuses it).</w:t>
      </w:r>
    </w:p>
    <w:p w14:paraId="51A66F36" w14:textId="77777777" w:rsidR="00A70645" w:rsidRPr="001256EA" w:rsidRDefault="00A70645" w:rsidP="00D2668D">
      <w:pPr>
        <w:numPr>
          <w:ilvl w:val="0"/>
          <w:numId w:val="15"/>
        </w:numPr>
        <w:spacing w:after="0" w:line="360" w:lineRule="auto"/>
        <w:ind w:left="0" w:firstLine="851"/>
        <w:contextualSpacing/>
        <w:rPr>
          <w:rFonts w:ascii="Times New Roman" w:hAnsi="Times New Roman" w:cs="Times New Roman"/>
          <w:sz w:val="24"/>
          <w:szCs w:val="24"/>
        </w:rPr>
      </w:pPr>
      <w:r w:rsidRPr="001256EA">
        <w:rPr>
          <w:rFonts w:ascii="Times New Roman" w:hAnsi="Times New Roman" w:cs="Times New Roman"/>
          <w:sz w:val="24"/>
          <w:szCs w:val="24"/>
        </w:rPr>
        <w:t>Is competent and can make free, informed decisions.</w:t>
      </w:r>
    </w:p>
    <w:p w14:paraId="79055397"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Individuals must submit a request to their local health care facility, providing medical documentation. Consent to euthanasia must be clear, informed and revocable at any time. The patient is informed about the alternatives: palliative care and the option of permanent deep sedation. The procedure is carried out in a way that ensures dignity, painlessness and the protection of vulnerable individuals. Euthanasia is only performed after strict medical, psychological and ethical screening and is free of charge. The principle of voluntariness for doctors is also provided for. They are not obliged to participate against their will.</w:t>
      </w:r>
    </w:p>
    <w:p w14:paraId="5C64B40D" w14:textId="68B25DEA"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Regarding the differences in EU legal acts related </w:t>
      </w:r>
      <w:r w:rsidR="00BF416D" w:rsidRPr="001256EA">
        <w:rPr>
          <w:rFonts w:ascii="Times New Roman" w:hAnsi="Times New Roman" w:cs="Times New Roman"/>
          <w:sz w:val="24"/>
          <w:szCs w:val="24"/>
        </w:rPr>
        <w:t>to</w:t>
      </w:r>
      <w:r w:rsidRPr="001256EA">
        <w:rPr>
          <w:rFonts w:ascii="Times New Roman" w:hAnsi="Times New Roman" w:cs="Times New Roman"/>
          <w:sz w:val="24"/>
          <w:szCs w:val="24"/>
        </w:rPr>
        <w:t xml:space="preserve"> euthanasia or end-of-life laws and monitoring the search for suitable and supportive regulations for potential patients. The evolving legislation must not only be effective, but also adequately protect patients' rights and autonomy. To achieve this goal, it is necessary to harmonize European legislation, aiming to ensure equal opportunities, ensuring human dignity and emphasizing autonomy and freedom of decision-making regarding the end of life</w:t>
      </w:r>
      <w:r w:rsidRPr="001256EA">
        <w:rPr>
          <w:rFonts w:ascii="Times New Roman" w:hAnsi="Times New Roman" w:cs="Times New Roman"/>
          <w:sz w:val="24"/>
          <w:szCs w:val="24"/>
          <w:vertAlign w:val="superscript"/>
        </w:rPr>
        <w:footnoteReference w:id="284"/>
      </w:r>
      <w:r w:rsidRPr="001256EA">
        <w:rPr>
          <w:rFonts w:ascii="Times New Roman" w:hAnsi="Times New Roman" w:cs="Times New Roman"/>
          <w:sz w:val="24"/>
          <w:szCs w:val="24"/>
        </w:rPr>
        <w:t>.</w:t>
      </w:r>
    </w:p>
    <w:p w14:paraId="1E5C3BA7" w14:textId="45218525" w:rsidR="00A70645" w:rsidRPr="001256EA" w:rsidRDefault="00B957D0" w:rsidP="00D2668D">
      <w:pPr>
        <w:spacing w:after="0" w:line="360" w:lineRule="auto"/>
        <w:ind w:firstLine="851"/>
        <w:jc w:val="both"/>
        <w:rPr>
          <w:rFonts w:ascii="Times New Roman" w:hAnsi="Times New Roman" w:cs="Times New Roman"/>
          <w:sz w:val="24"/>
          <w:szCs w:val="24"/>
        </w:rPr>
      </w:pPr>
      <w:r w:rsidRPr="00CB036C">
        <w:rPr>
          <w:rFonts w:ascii="Times New Roman" w:hAnsi="Times New Roman" w:cs="Times New Roman"/>
          <w:sz w:val="24"/>
          <w:szCs w:val="24"/>
        </w:rPr>
        <w:t xml:space="preserve">When analyzing the experience of the European Union countries, several fundamental regularities of legal regulation emerge, primarily related to the divergence of models and the gradual transformation from the classic “non-punishment” model in the Netherlands or Belgium towards the “right to assistance in dying” concept established in Spain, in which euthanasia begins to be treated as a state-guaranteed health care service. At the same time, a pronounced jurisprudential activism is observed: in countries where the parliamentary debate remains stuck, for example, in Germany or Italy, the Constitutional Courts take over the decisive role, emphasizing in their decisions that the principle of personal autonomy in a modern </w:t>
      </w:r>
      <w:r w:rsidRPr="00CB036C">
        <w:rPr>
          <w:rFonts w:ascii="Times New Roman" w:hAnsi="Times New Roman" w:cs="Times New Roman"/>
          <w:sz w:val="24"/>
          <w:szCs w:val="24"/>
        </w:rPr>
        <w:lastRenderedPageBreak/>
        <w:t>constitutional state becomes superior to the constructed criminal law, thus forcing the legislator to liberalize the existing prohibitive norms. Finally, all the analyzed systems are united by the tendency that strict multi-level procedural control, including independent commissions and mandatory specialist consultations, becomes the main basis of legal legitimacy; The wider access to euthanasia is granted, the more the control mechanics are strengthened, serving as a "protective shield" against potential abuse and ensuring legal protection for vulnerable individuals.</w:t>
      </w:r>
    </w:p>
    <w:p w14:paraId="20DFEEFA" w14:textId="77777777" w:rsidR="00BF416D" w:rsidRPr="001256EA" w:rsidRDefault="00BF416D" w:rsidP="00B27F0A">
      <w:pPr>
        <w:spacing w:after="0" w:line="360" w:lineRule="auto"/>
        <w:jc w:val="both"/>
        <w:rPr>
          <w:rFonts w:ascii="Times New Roman" w:hAnsi="Times New Roman" w:cs="Times New Roman"/>
          <w:sz w:val="24"/>
          <w:szCs w:val="24"/>
        </w:rPr>
      </w:pPr>
    </w:p>
    <w:p w14:paraId="33646A8E" w14:textId="3DEAE5C8" w:rsidR="00D2668D" w:rsidRPr="001256EA" w:rsidRDefault="00A70645" w:rsidP="007857CE">
      <w:pPr>
        <w:pStyle w:val="Heading3"/>
        <w:jc w:val="center"/>
        <w:rPr>
          <w:rFonts w:ascii="Times New Roman" w:hAnsi="Times New Roman" w:cs="Times New Roman"/>
          <w:b/>
          <w:bCs/>
          <w:color w:val="auto"/>
        </w:rPr>
      </w:pPr>
      <w:bookmarkStart w:id="50" w:name="_Toc216374394"/>
      <w:r w:rsidRPr="00CB036C">
        <w:rPr>
          <w:rFonts w:ascii="Times New Roman" w:hAnsi="Times New Roman" w:cs="Times New Roman"/>
          <w:b/>
          <w:bCs/>
          <w:color w:val="auto"/>
        </w:rPr>
        <w:t xml:space="preserve">2.2.2. </w:t>
      </w:r>
      <w:bookmarkEnd w:id="50"/>
      <w:r w:rsidR="007716FF" w:rsidRPr="00CB036C">
        <w:rPr>
          <w:rFonts w:ascii="Times New Roman" w:hAnsi="Times New Roman" w:cs="Times New Roman"/>
          <w:b/>
          <w:bCs/>
          <w:color w:val="auto"/>
        </w:rPr>
        <w:t>Legal r</w:t>
      </w:r>
      <w:r w:rsidR="00572B4D" w:rsidRPr="00CB036C">
        <w:rPr>
          <w:rFonts w:ascii="Times New Roman" w:hAnsi="Times New Roman" w:cs="Times New Roman"/>
          <w:b/>
          <w:bCs/>
          <w:color w:val="auto"/>
        </w:rPr>
        <w:t>egulation of the right to euthanasia in non-European Union countries</w:t>
      </w:r>
    </w:p>
    <w:p w14:paraId="7B06B6B2" w14:textId="77777777" w:rsidR="00B27F0A" w:rsidRPr="001256EA" w:rsidRDefault="00B27F0A" w:rsidP="00B27F0A"/>
    <w:p w14:paraId="083635C2" w14:textId="1F237AC4"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One of the countries where euthanasia is legal is Switzerland. Active euthanasia is prohibited in this country. However, Article 115 of the Swiss Criminal Code states that assisted suicide is not punishable if it is carried out for altruistic reasons</w:t>
      </w:r>
      <w:r w:rsidRPr="001256EA">
        <w:rPr>
          <w:rFonts w:ascii="Times New Roman" w:hAnsi="Times New Roman" w:cs="Times New Roman"/>
          <w:sz w:val="24"/>
          <w:szCs w:val="24"/>
          <w:vertAlign w:val="superscript"/>
        </w:rPr>
        <w:footnoteReference w:id="285"/>
      </w:r>
      <w:r w:rsidRPr="001256EA">
        <w:rPr>
          <w:rFonts w:ascii="Times New Roman" w:hAnsi="Times New Roman" w:cs="Times New Roman"/>
          <w:sz w:val="24"/>
          <w:szCs w:val="24"/>
        </w:rPr>
        <w:t>. This means that assisted suicide is legal in Switzerland if the person assisting has no selfish motives and is convinced that the person has made the decision of their own free will. There is no general national law in force in Switzerland that regulates the procedure for euthanasia, but there are Medical-Ethical Guidelines and court decisions</w:t>
      </w:r>
      <w:r w:rsidRPr="001256EA">
        <w:rPr>
          <w:rFonts w:ascii="Times New Roman" w:hAnsi="Times New Roman" w:cs="Times New Roman"/>
          <w:sz w:val="24"/>
          <w:szCs w:val="24"/>
          <w:vertAlign w:val="superscript"/>
        </w:rPr>
        <w:footnoteReference w:id="286"/>
      </w:r>
      <w:r w:rsidRPr="001256EA">
        <w:rPr>
          <w:rFonts w:ascii="Times New Roman" w:hAnsi="Times New Roman" w:cs="Times New Roman"/>
          <w:sz w:val="24"/>
          <w:szCs w:val="24"/>
        </w:rPr>
        <w:t xml:space="preserve">. The Swiss legal regulation does not specify that assistance must be provided by a doctor. This means that anyone can assist in suicide, adhering to the criterion of selflessness. In practice, a system has developed in which non-profit “right to die” organizations operate in Switzerland, which assist those who wish to commit suicide, adhering to certain guidelines (requiring medical documents about the illness, psychiatrists’ conclusions on the validity of the patient’s decision, etc.). However, </w:t>
      </w:r>
      <w:r w:rsidR="00BF416D" w:rsidRPr="001256EA">
        <w:rPr>
          <w:rFonts w:ascii="Times New Roman" w:hAnsi="Times New Roman" w:cs="Times New Roman"/>
          <w:sz w:val="24"/>
          <w:szCs w:val="24"/>
        </w:rPr>
        <w:t>to</w:t>
      </w:r>
      <w:r w:rsidRPr="001256EA">
        <w:rPr>
          <w:rFonts w:ascii="Times New Roman" w:hAnsi="Times New Roman" w:cs="Times New Roman"/>
          <w:sz w:val="24"/>
          <w:szCs w:val="24"/>
        </w:rPr>
        <w:t xml:space="preserve"> obtain the necessary medications, a doctor’s prescription is required, but for this it is necessary that the doctor checks the patient’s condition and the decision to die. Also, Switzerland does not require residency status, so this procedure can be provided in this country to persons who are not Swiss </w:t>
      </w:r>
      <w:r w:rsidR="00BF416D" w:rsidRPr="001256EA">
        <w:rPr>
          <w:rFonts w:ascii="Times New Roman" w:hAnsi="Times New Roman" w:cs="Times New Roman"/>
          <w:sz w:val="24"/>
          <w:szCs w:val="24"/>
        </w:rPr>
        <w:t>residents but</w:t>
      </w:r>
      <w:r w:rsidRPr="001256EA">
        <w:rPr>
          <w:rFonts w:ascii="Times New Roman" w:hAnsi="Times New Roman" w:cs="Times New Roman"/>
          <w:sz w:val="24"/>
          <w:szCs w:val="24"/>
        </w:rPr>
        <w:t xml:space="preserve"> come to the country only for this procedure.</w:t>
      </w:r>
    </w:p>
    <w:p w14:paraId="22B90C6D" w14:textId="0682FF6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Switzerland does not have a formal prior state review mechanism. However, the Swiss Medical Association has ethical guidelines that do not recognize assisted suicide as a medical </w:t>
      </w:r>
      <w:r w:rsidR="007857CE" w:rsidRPr="001256EA">
        <w:rPr>
          <w:rFonts w:ascii="Times New Roman" w:hAnsi="Times New Roman" w:cs="Times New Roman"/>
          <w:sz w:val="24"/>
          <w:szCs w:val="24"/>
        </w:rPr>
        <w:t>duty but</w:t>
      </w:r>
      <w:r w:rsidRPr="001256EA">
        <w:rPr>
          <w:rFonts w:ascii="Times New Roman" w:hAnsi="Times New Roman" w:cs="Times New Roman"/>
          <w:sz w:val="24"/>
          <w:szCs w:val="24"/>
        </w:rPr>
        <w:t xml:space="preserve"> tolerate it for doctors to engage in under strict conditions.</w:t>
      </w:r>
    </w:p>
    <w:p w14:paraId="301E66DF"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Swiss model is viewed controversially: on the one hand, it ensures broad personal autonomy (even “life-weary” elderly people are not formally prohibited from receiving </w:t>
      </w:r>
      <w:r w:rsidRPr="001256EA">
        <w:rPr>
          <w:rFonts w:ascii="Times New Roman" w:hAnsi="Times New Roman" w:cs="Times New Roman"/>
          <w:sz w:val="24"/>
          <w:szCs w:val="24"/>
        </w:rPr>
        <w:lastRenderedPageBreak/>
        <w:t>assistance in suicide), on the other hand, it is criticized for its relatively weak control and potential scope for abuse, so there is ongoing debate about the need for stricter regulation.</w:t>
      </w:r>
    </w:p>
    <w:p w14:paraId="195D5879" w14:textId="18BF9E0F"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Another country where euthanasia is legal is Canada. The law regulating euthanasia is called medical assistance in dying and has been in effect since 2016</w:t>
      </w:r>
      <w:r w:rsidRPr="001256EA">
        <w:rPr>
          <w:rFonts w:ascii="Times New Roman" w:hAnsi="Times New Roman" w:cs="Times New Roman"/>
          <w:sz w:val="24"/>
          <w:szCs w:val="24"/>
          <w:vertAlign w:val="superscript"/>
        </w:rPr>
        <w:footnoteReference w:id="287"/>
      </w:r>
      <w:r w:rsidRPr="001256EA">
        <w:rPr>
          <w:rFonts w:ascii="Times New Roman" w:hAnsi="Times New Roman" w:cs="Times New Roman"/>
          <w:sz w:val="24"/>
          <w:szCs w:val="24"/>
        </w:rPr>
        <w:t xml:space="preserve">.  In the first version of the law, euthanasia could only be performed for adults who suffer from an incurable disease, the prognosis of which is an inevitable and rapid death. Since 2021. </w:t>
      </w:r>
      <w:r w:rsidR="001256EA" w:rsidRPr="001256EA">
        <w:rPr>
          <w:rFonts w:ascii="Times New Roman" w:hAnsi="Times New Roman" w:cs="Times New Roman"/>
          <w:sz w:val="24"/>
          <w:szCs w:val="24"/>
        </w:rPr>
        <w:t>The</w:t>
      </w:r>
      <w:r w:rsidRPr="001256EA">
        <w:rPr>
          <w:rFonts w:ascii="Times New Roman" w:hAnsi="Times New Roman" w:cs="Times New Roman"/>
          <w:sz w:val="24"/>
          <w:szCs w:val="24"/>
        </w:rPr>
        <w:t xml:space="preserve"> law has been amended and provides that euthanasia is also possible for individuals suffering from </w:t>
      </w:r>
      <w:r w:rsidR="00802402" w:rsidRPr="001256EA">
        <w:rPr>
          <w:rFonts w:ascii="Times New Roman" w:hAnsi="Times New Roman" w:cs="Times New Roman"/>
          <w:sz w:val="24"/>
          <w:szCs w:val="24"/>
        </w:rPr>
        <w:t>serious</w:t>
      </w:r>
      <w:r w:rsidRPr="001256EA">
        <w:rPr>
          <w:rFonts w:ascii="Times New Roman" w:hAnsi="Times New Roman" w:cs="Times New Roman"/>
          <w:sz w:val="24"/>
          <w:szCs w:val="24"/>
        </w:rPr>
        <w:t xml:space="preserve">, incurable and unbearable </w:t>
      </w:r>
      <w:r w:rsidR="007857CE" w:rsidRPr="001256EA">
        <w:rPr>
          <w:rFonts w:ascii="Times New Roman" w:hAnsi="Times New Roman" w:cs="Times New Roman"/>
          <w:sz w:val="24"/>
          <w:szCs w:val="24"/>
        </w:rPr>
        <w:t>conditions</w:t>
      </w:r>
      <w:r w:rsidRPr="001256EA">
        <w:rPr>
          <w:rFonts w:ascii="Times New Roman" w:hAnsi="Times New Roman" w:cs="Times New Roman"/>
          <w:sz w:val="24"/>
          <w:szCs w:val="24"/>
        </w:rPr>
        <w:t>. However, such patients are subject to a longer consideration period and additional safety measures.</w:t>
      </w:r>
    </w:p>
    <w:p w14:paraId="2D17DD2B" w14:textId="232BF65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Under the Canadian legal system, euthanasia can be performed by a </w:t>
      </w:r>
      <w:r w:rsidR="007857CE" w:rsidRPr="001256EA">
        <w:rPr>
          <w:rFonts w:ascii="Times New Roman" w:hAnsi="Times New Roman" w:cs="Times New Roman"/>
          <w:sz w:val="24"/>
          <w:szCs w:val="24"/>
        </w:rPr>
        <w:t>doctor,</w:t>
      </w:r>
      <w:r w:rsidRPr="001256EA">
        <w:rPr>
          <w:rFonts w:ascii="Times New Roman" w:hAnsi="Times New Roman" w:cs="Times New Roman"/>
          <w:sz w:val="24"/>
          <w:szCs w:val="24"/>
        </w:rPr>
        <w:t xml:space="preserve"> or a person can take lethal drugs themselves according to a prescription</w:t>
      </w:r>
      <w:r w:rsidRPr="001256EA">
        <w:rPr>
          <w:rFonts w:ascii="Times New Roman" w:hAnsi="Times New Roman" w:cs="Times New Roman"/>
          <w:sz w:val="24"/>
          <w:szCs w:val="24"/>
          <w:vertAlign w:val="superscript"/>
        </w:rPr>
        <w:footnoteReference w:id="288"/>
      </w:r>
      <w:r w:rsidRPr="001256EA">
        <w:rPr>
          <w:rFonts w:ascii="Times New Roman" w:hAnsi="Times New Roman" w:cs="Times New Roman"/>
          <w:sz w:val="24"/>
          <w:szCs w:val="24"/>
        </w:rPr>
        <w:t>. Only those covered by Canadian health insurance are eligible for euthanasia. This was legalized to prevent suicide tourism.</w:t>
      </w:r>
    </w:p>
    <w:p w14:paraId="078C91D7"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Canada has a strict vetting process. A patient's request for euthanasia must be certified by two independent health care professionals that the patient meets the criteria</w:t>
      </w:r>
      <w:r w:rsidRPr="001256EA">
        <w:rPr>
          <w:rFonts w:ascii="Times New Roman" w:hAnsi="Times New Roman" w:cs="Times New Roman"/>
          <w:sz w:val="24"/>
          <w:szCs w:val="24"/>
          <w:vertAlign w:val="superscript"/>
        </w:rPr>
        <w:footnoteReference w:id="289"/>
      </w:r>
      <w:r w:rsidRPr="001256EA">
        <w:rPr>
          <w:rFonts w:ascii="Times New Roman" w:hAnsi="Times New Roman" w:cs="Times New Roman"/>
          <w:sz w:val="24"/>
          <w:szCs w:val="24"/>
        </w:rPr>
        <w:t>. The patient's request must be in writing and supported by witnesses. There is usually a 10-day waiting period after the request, but if the patient is expected to die soon or is suffering greatly, the waiting period may be shortened.</w:t>
      </w:r>
    </w:p>
    <w:p w14:paraId="36C3A911" w14:textId="634FEA23"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Medical Assistance in Dying Act states that doctors and nurses can refuse to provide euthanasia services on grounds of </w:t>
      </w:r>
      <w:r w:rsidR="00BF416D" w:rsidRPr="001256EA">
        <w:rPr>
          <w:rFonts w:ascii="Times New Roman" w:hAnsi="Times New Roman" w:cs="Times New Roman"/>
          <w:sz w:val="24"/>
          <w:szCs w:val="24"/>
        </w:rPr>
        <w:t>conscience but</w:t>
      </w:r>
      <w:r w:rsidRPr="001256EA">
        <w:rPr>
          <w:rFonts w:ascii="Times New Roman" w:hAnsi="Times New Roman" w:cs="Times New Roman"/>
          <w:sz w:val="24"/>
          <w:szCs w:val="24"/>
        </w:rPr>
        <w:t xml:space="preserve"> must refer the patient to another specialist. Since 2016, Canada has seen an increasing number of euthanasia cases each year</w:t>
      </w:r>
      <w:r w:rsidRPr="001256EA">
        <w:rPr>
          <w:rFonts w:ascii="Times New Roman" w:hAnsi="Times New Roman" w:cs="Times New Roman"/>
          <w:sz w:val="24"/>
          <w:szCs w:val="24"/>
          <w:vertAlign w:val="superscript"/>
        </w:rPr>
        <w:footnoteReference w:id="290"/>
      </w:r>
      <w:r w:rsidRPr="001256EA">
        <w:rPr>
          <w:rFonts w:ascii="Times New Roman" w:hAnsi="Times New Roman" w:cs="Times New Roman"/>
          <w:sz w:val="24"/>
          <w:szCs w:val="24"/>
        </w:rPr>
        <w:t>, and in 2023, it was planned to expand the availability of euthanasia to patients with mental illnesses without physical illness – a move that has attracted considerable debate in the human rights context, with the aim of balancing the principle of autonomy with the protection of vulnerable groups. However, this option has been postponed until 2027 because the health system is not yet adapted to provide it safely</w:t>
      </w:r>
      <w:r w:rsidRPr="001256EA">
        <w:rPr>
          <w:rFonts w:ascii="Times New Roman" w:hAnsi="Times New Roman" w:cs="Times New Roman"/>
          <w:sz w:val="24"/>
          <w:szCs w:val="24"/>
          <w:vertAlign w:val="superscript"/>
        </w:rPr>
        <w:footnoteReference w:id="291"/>
      </w:r>
      <w:r w:rsidRPr="001256EA">
        <w:rPr>
          <w:rFonts w:ascii="Times New Roman" w:hAnsi="Times New Roman" w:cs="Times New Roman"/>
          <w:sz w:val="24"/>
          <w:szCs w:val="24"/>
        </w:rPr>
        <w:t xml:space="preserve">. </w:t>
      </w:r>
    </w:p>
    <w:p w14:paraId="0B39C15A"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In the United States, euthanasia is not allowed at the federal level, but some states have legalized physician-assisted suicide. This law is called the Death with Dignity Act. By 2025, a total of 11 jurisdictions in the United States will have such laws: Oregon, Washington, California, Colorado, Hawaii, Vermont, Maine, New Jersey, New Mexico, the District of Columbia, and Montana, where the state Supreme Court ruled in 2009 that a doctor can legally prescribe lethal drugs (although there is no specific law). These states allow euthanasia if the patient is an adult, terminally ill, and has been assessed by doctors to have no more than 6 months to live.</w:t>
      </w:r>
    </w:p>
    <w:p w14:paraId="41BB5ACF" w14:textId="79016AD1"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Active euthanasia remains illegal in all states in the United States. However, passive euthanasia is permitted in the 11 states mentioned above. The patient must be able to express their wishes and take their own medication. The person must confirm their wishes twice, with at least 15 days between each of these expressions of wishes, and submit a single written request signed by two witnesses</w:t>
      </w:r>
      <w:r w:rsidRPr="001256EA">
        <w:rPr>
          <w:rFonts w:ascii="Times New Roman" w:hAnsi="Times New Roman" w:cs="Times New Roman"/>
          <w:sz w:val="24"/>
          <w:szCs w:val="24"/>
          <w:vertAlign w:val="superscript"/>
        </w:rPr>
        <w:footnoteReference w:id="292"/>
      </w:r>
      <w:r w:rsidRPr="001256EA">
        <w:rPr>
          <w:rFonts w:ascii="Times New Roman" w:hAnsi="Times New Roman" w:cs="Times New Roman"/>
          <w:sz w:val="24"/>
          <w:szCs w:val="24"/>
        </w:rPr>
        <w:t xml:space="preserve">. The patient's diagnosis must be confirmed by two independent physicians, who must also confirm the patient's competence </w:t>
      </w:r>
      <w:r w:rsidR="00BF416D" w:rsidRPr="001256EA">
        <w:rPr>
          <w:rFonts w:ascii="Times New Roman" w:hAnsi="Times New Roman" w:cs="Times New Roman"/>
          <w:sz w:val="24"/>
          <w:szCs w:val="24"/>
        </w:rPr>
        <w:t>in making</w:t>
      </w:r>
      <w:r w:rsidRPr="001256EA">
        <w:rPr>
          <w:rFonts w:ascii="Times New Roman" w:hAnsi="Times New Roman" w:cs="Times New Roman"/>
          <w:sz w:val="24"/>
          <w:szCs w:val="24"/>
        </w:rPr>
        <w:t xml:space="preserve"> such a decision.</w:t>
      </w:r>
    </w:p>
    <w:p w14:paraId="4B978B1E"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For a long time, the Death with Dignity Act in the states could only apply to residents of the states. However, states are changing their minds on this issue. In the states of Oregon and Vermont, the residency requirement has been abolished, and therefore the provisions of the law can also apply to people who do not live in the states</w:t>
      </w:r>
      <w:r w:rsidRPr="001256EA">
        <w:rPr>
          <w:rFonts w:ascii="Times New Roman" w:hAnsi="Times New Roman" w:cs="Times New Roman"/>
          <w:sz w:val="24"/>
          <w:szCs w:val="24"/>
          <w:vertAlign w:val="superscript"/>
        </w:rPr>
        <w:footnoteReference w:id="293"/>
      </w:r>
      <w:r w:rsidRPr="001256EA">
        <w:rPr>
          <w:rFonts w:ascii="Times New Roman" w:hAnsi="Times New Roman" w:cs="Times New Roman"/>
          <w:sz w:val="24"/>
          <w:szCs w:val="24"/>
        </w:rPr>
        <w:t>. However, in practice, geographical, financial and medical barriers limit the ability to exercise this right.</w:t>
      </w:r>
    </w:p>
    <w:p w14:paraId="0FC0E886" w14:textId="61A4E8D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From a human rights perspective, the </w:t>
      </w:r>
      <w:r w:rsidR="009E0C09" w:rsidRPr="001256EA">
        <w:rPr>
          <w:rFonts w:ascii="Times New Roman" w:hAnsi="Times New Roman" w:cs="Times New Roman"/>
          <w:sz w:val="24"/>
          <w:szCs w:val="24"/>
        </w:rPr>
        <w:t xml:space="preserve">United States </w:t>
      </w:r>
      <w:r w:rsidRPr="001256EA">
        <w:rPr>
          <w:rFonts w:ascii="Times New Roman" w:hAnsi="Times New Roman" w:cs="Times New Roman"/>
          <w:sz w:val="24"/>
          <w:szCs w:val="24"/>
        </w:rPr>
        <w:t>system emphasizes personal freedom to make decisions in the terminal stage, but with the restriction that the decision must be completely voluntary and implemented by the patient himself, while the state protects the principle of the inviolability of life by excluding the active action of another person.</w:t>
      </w:r>
    </w:p>
    <w:p w14:paraId="76A5225C" w14:textId="2E4ECED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Australians also had the option of euthanasia</w:t>
      </w:r>
      <w:r w:rsidRPr="001256EA">
        <w:rPr>
          <w:rFonts w:ascii="Times New Roman" w:hAnsi="Times New Roman" w:cs="Times New Roman"/>
          <w:sz w:val="24"/>
          <w:szCs w:val="24"/>
          <w:vertAlign w:val="superscript"/>
        </w:rPr>
        <w:footnoteReference w:id="294"/>
      </w:r>
      <w:r w:rsidRPr="001256EA">
        <w:rPr>
          <w:rFonts w:ascii="Times New Roman" w:hAnsi="Times New Roman" w:cs="Times New Roman"/>
          <w:sz w:val="24"/>
          <w:szCs w:val="24"/>
        </w:rPr>
        <w:t xml:space="preserve">. In Australia, the legal status of euthanasia and assisted dying is determined at the state level, </w:t>
      </w:r>
      <w:r w:rsidR="00BF416D" w:rsidRPr="001256EA">
        <w:rPr>
          <w:rFonts w:ascii="Times New Roman" w:hAnsi="Times New Roman" w:cs="Times New Roman"/>
          <w:sz w:val="24"/>
          <w:szCs w:val="24"/>
        </w:rPr>
        <w:t>except for</w:t>
      </w:r>
      <w:r w:rsidRPr="001256EA">
        <w:rPr>
          <w:rFonts w:ascii="Times New Roman" w:hAnsi="Times New Roman" w:cs="Times New Roman"/>
          <w:sz w:val="24"/>
          <w:szCs w:val="24"/>
        </w:rPr>
        <w:t xml:space="preserve"> the Northern Territory</w:t>
      </w:r>
      <w:r w:rsidRPr="001256EA">
        <w:rPr>
          <w:rFonts w:ascii="Times New Roman" w:hAnsi="Times New Roman" w:cs="Times New Roman"/>
          <w:sz w:val="24"/>
          <w:szCs w:val="24"/>
          <w:vertAlign w:val="superscript"/>
        </w:rPr>
        <w:footnoteReference w:id="295"/>
      </w:r>
      <w:r w:rsidRPr="001256EA">
        <w:rPr>
          <w:rFonts w:ascii="Times New Roman" w:hAnsi="Times New Roman" w:cs="Times New Roman"/>
          <w:sz w:val="24"/>
          <w:szCs w:val="24"/>
        </w:rPr>
        <w:t>. All other states have passed laws allowing voluntary assisted dying under strict conditions since 2019. The terms of these laws are similar across states.</w:t>
      </w:r>
    </w:p>
    <w:p w14:paraId="382420C7" w14:textId="6FE23ACE"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A person seeking euthanasia is eligible to apply only if they are of legal age and have been a resident of the state for at least 12 months. Such a person must be diagnosed with a terminal illness and death is expected within 6 months. The patient must also be in severe pain. This diagnosis must be confirmed by at least two </w:t>
      </w:r>
      <w:r w:rsidR="00BF416D" w:rsidRPr="001256EA">
        <w:rPr>
          <w:rFonts w:ascii="Times New Roman" w:hAnsi="Times New Roman" w:cs="Times New Roman"/>
          <w:sz w:val="24"/>
          <w:szCs w:val="24"/>
        </w:rPr>
        <w:t>different</w:t>
      </w:r>
      <w:r w:rsidRPr="001256EA">
        <w:rPr>
          <w:rFonts w:ascii="Times New Roman" w:hAnsi="Times New Roman" w:cs="Times New Roman"/>
          <w:sz w:val="24"/>
          <w:szCs w:val="24"/>
        </w:rPr>
        <w:t xml:space="preserve"> independent doctors. </w:t>
      </w:r>
    </w:p>
    <w:p w14:paraId="5D0A47C9"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 patient seeking euthanasia must submit three consecutive requests, two of which are oral and one in writing. The statutory waiting period of 9 days between the first and last request must be observed between requests. If the person has little time to live, there is a possibility of shortening the waiting period. The most common method is for the patient to be prescribed a lethal drug, which he or she takes himself or herself, with or without medical supervision. However, if the patient is physically unable to swallow or inject the drug, there is a possibility for a doctor to do this for the patient.</w:t>
      </w:r>
    </w:p>
    <w:p w14:paraId="6E70CD86"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Each state has oversight committees that monitor the implementation and compliance with the law. The law provides for the right of medical professionals to freely decide whether they want to participate in the euthanasia procedure. The Australian model of euthanasia implementation is viewed positively for its clear procedures and integration with palliative care, but critics note that strict residency requirements and complex bureaucracy make access difficult for some patients. The Australian legislature notes that this is a conscious effort to protect the most vulnerable, but it raises questions about the equal implementation of the right to assisted dying.</w:t>
      </w:r>
    </w:p>
    <w:p w14:paraId="78896FE8" w14:textId="34BF5C9D"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New Zealand approved the </w:t>
      </w:r>
      <w:r w:rsidR="00BF416D" w:rsidRPr="001256EA">
        <w:rPr>
          <w:rFonts w:ascii="Times New Roman" w:hAnsi="Times New Roman" w:cs="Times New Roman"/>
          <w:sz w:val="24"/>
          <w:szCs w:val="24"/>
        </w:rPr>
        <w:t>End-of-Life</w:t>
      </w:r>
      <w:r w:rsidRPr="001256EA">
        <w:rPr>
          <w:rFonts w:ascii="Times New Roman" w:hAnsi="Times New Roman" w:cs="Times New Roman"/>
          <w:sz w:val="24"/>
          <w:szCs w:val="24"/>
        </w:rPr>
        <w:t xml:space="preserve"> Choices Act in a 2020 referendum, and the country has allowed medical assistance in dying since 2021</w:t>
      </w:r>
      <w:r w:rsidRPr="001256EA">
        <w:rPr>
          <w:rFonts w:ascii="Times New Roman" w:hAnsi="Times New Roman" w:cs="Times New Roman"/>
          <w:sz w:val="24"/>
          <w:szCs w:val="24"/>
          <w:vertAlign w:val="superscript"/>
        </w:rPr>
        <w:footnoteReference w:id="296"/>
      </w:r>
      <w:r w:rsidRPr="001256EA">
        <w:rPr>
          <w:rFonts w:ascii="Times New Roman" w:hAnsi="Times New Roman" w:cs="Times New Roman"/>
          <w:sz w:val="24"/>
          <w:szCs w:val="24"/>
        </w:rPr>
        <w:t>. Under this law, the right to request assisted death is granted to adults who are New Zealand citizens or permanent residents who have an incurable illness and, in the opinion of doctors, are likely to cause death within six months, and are also experiencing unbearable suffering.</w:t>
      </w:r>
    </w:p>
    <w:p w14:paraId="4B971C94" w14:textId="6931176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New Zealand End of Life Choice Act stipulates that the person must be competent to make the decision and that the request must be voluntary and without influence from others. This means that no suggestion of euthanasia can come from medical staff. It must be the patient's own idea. The procedure itself is </w:t>
      </w:r>
      <w:r w:rsidR="00BF416D" w:rsidRPr="001256EA">
        <w:rPr>
          <w:rFonts w:ascii="Times New Roman" w:hAnsi="Times New Roman" w:cs="Times New Roman"/>
          <w:sz w:val="24"/>
          <w:szCs w:val="24"/>
        </w:rPr>
        <w:t>like</w:t>
      </w:r>
      <w:r w:rsidRPr="001256EA">
        <w:rPr>
          <w:rFonts w:ascii="Times New Roman" w:hAnsi="Times New Roman" w:cs="Times New Roman"/>
          <w:sz w:val="24"/>
          <w:szCs w:val="24"/>
        </w:rPr>
        <w:t xml:space="preserve"> that in Australian euthanasia legislation. The patient's condition must be confirmed by two </w:t>
      </w:r>
      <w:r w:rsidR="00BF416D" w:rsidRPr="001256EA">
        <w:rPr>
          <w:rFonts w:ascii="Times New Roman" w:hAnsi="Times New Roman" w:cs="Times New Roman"/>
          <w:sz w:val="24"/>
          <w:szCs w:val="24"/>
        </w:rPr>
        <w:t>different</w:t>
      </w:r>
      <w:r w:rsidRPr="001256EA">
        <w:rPr>
          <w:rFonts w:ascii="Times New Roman" w:hAnsi="Times New Roman" w:cs="Times New Roman"/>
          <w:sz w:val="24"/>
          <w:szCs w:val="24"/>
        </w:rPr>
        <w:t xml:space="preserve"> independent doctors. The person can choose to have the medication injected or taken orally. The New Zealand euthanasia procedure system operates smoothly, with clear registration and verification procedures.</w:t>
      </w:r>
    </w:p>
    <w:p w14:paraId="7F3038FF"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Colombia is considered the first Latin American country to legalize euthanasia. In 1997, the Constitutional Court ruled</w:t>
      </w:r>
      <w:r w:rsidRPr="001256EA">
        <w:rPr>
          <w:rFonts w:ascii="Times New Roman" w:hAnsi="Times New Roman" w:cs="Times New Roman"/>
          <w:sz w:val="24"/>
          <w:szCs w:val="24"/>
          <w:vertAlign w:val="superscript"/>
        </w:rPr>
        <w:footnoteReference w:id="297"/>
      </w:r>
      <w:r w:rsidRPr="001256EA">
        <w:rPr>
          <w:rFonts w:ascii="Times New Roman" w:hAnsi="Times New Roman" w:cs="Times New Roman"/>
          <w:sz w:val="24"/>
          <w:szCs w:val="24"/>
        </w:rPr>
        <w:t>, that a doctor who assists a terminally ill patient to die with the latter’s explicit consent should not be held criminally liable. For a long time, clear procedures for implementing the decision were lacking, but in 2014 the same Court ordered the Ministry of Health to develop guidelines guaranteeing the right to a dignified death for terminally ill patients</w:t>
      </w:r>
      <w:r w:rsidRPr="001256EA">
        <w:rPr>
          <w:rFonts w:ascii="Times New Roman" w:hAnsi="Times New Roman" w:cs="Times New Roman"/>
          <w:sz w:val="24"/>
          <w:szCs w:val="24"/>
          <w:vertAlign w:val="superscript"/>
        </w:rPr>
        <w:footnoteReference w:id="298"/>
      </w:r>
      <w:r w:rsidRPr="001256EA">
        <w:rPr>
          <w:rFonts w:ascii="Times New Roman" w:hAnsi="Times New Roman" w:cs="Times New Roman"/>
          <w:sz w:val="24"/>
          <w:szCs w:val="24"/>
        </w:rPr>
        <w:t>.</w:t>
      </w:r>
    </w:p>
    <w:p w14:paraId="780789AA"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Since then, the country has begun to formalize the practice and has established interdisciplinary committees at hospitals that assess patients' requests. Initially, the possibility of applying euthanasia was associated only with a condition where the expected life expectancy was no longer than six months, most often associated with oncological diseases, advanced HIV/AIDS or end-stage organ failure.</w:t>
      </w:r>
    </w:p>
    <w:p w14:paraId="543948DA"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 significant change occurred in 2021, when the Constitutional Court expanded the criteria, recognizing the legality of euthanasia for patients who are not terminally ill but are experiencing unbearable suffering due to a serious, incurable illness</w:t>
      </w:r>
      <w:r w:rsidRPr="001256EA">
        <w:rPr>
          <w:rFonts w:ascii="Times New Roman" w:hAnsi="Times New Roman" w:cs="Times New Roman"/>
          <w:sz w:val="24"/>
          <w:szCs w:val="24"/>
          <w:vertAlign w:val="superscript"/>
        </w:rPr>
        <w:footnoteReference w:id="299"/>
      </w:r>
      <w:r w:rsidRPr="001256EA">
        <w:rPr>
          <w:rFonts w:ascii="Times New Roman" w:hAnsi="Times New Roman" w:cs="Times New Roman"/>
          <w:sz w:val="24"/>
          <w:szCs w:val="24"/>
        </w:rPr>
        <w:t>. This decision made Colombia the first country in the region to legalize euthanasia for a wider range of patients, regardless of life expectancy.</w:t>
      </w:r>
    </w:p>
    <w:p w14:paraId="34ACA40B"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Colombian model is unique in that its legal development has taken place mainly through constitutional jurisprudence, based on the interpretation of the right to dignity and independent life choices, rather than through parliamentary legislative processes. Although there have been several attempts to adopt a comprehensive law, they have not been successful. Therefore, regulation is currently based mainly on the protocols of the Ministry of Health and the decisions of the Constitutional Court. It is important to note that in Colombia this service is oriented towards national patients, since the health system is not adapted to the requests of foreign residents in this regard.</w:t>
      </w:r>
    </w:p>
    <w:p w14:paraId="5E1E1375"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On February 5, 2024, the Constitutional Court of Ecuador issued a decision that marks a fundamental shift in the country's criminal law</w:t>
      </w:r>
      <w:r w:rsidRPr="001256EA">
        <w:rPr>
          <w:rFonts w:ascii="Times New Roman" w:hAnsi="Times New Roman" w:cs="Times New Roman"/>
          <w:sz w:val="24"/>
          <w:szCs w:val="24"/>
          <w:vertAlign w:val="superscript"/>
        </w:rPr>
        <w:footnoteReference w:id="300"/>
      </w:r>
      <w:r w:rsidRPr="001256EA">
        <w:rPr>
          <w:rFonts w:ascii="Times New Roman" w:hAnsi="Times New Roman" w:cs="Times New Roman"/>
          <w:sz w:val="24"/>
          <w:szCs w:val="24"/>
        </w:rPr>
        <w:t xml:space="preserve">. The court examined Article 144 of the </w:t>
      </w:r>
      <w:r w:rsidRPr="001256EA">
        <w:rPr>
          <w:rFonts w:ascii="Times New Roman" w:hAnsi="Times New Roman" w:cs="Times New Roman"/>
          <w:sz w:val="24"/>
          <w:szCs w:val="24"/>
        </w:rPr>
        <w:lastRenderedPageBreak/>
        <w:t>Ecuadorian Penal Code</w:t>
      </w:r>
      <w:r w:rsidRPr="001256EA">
        <w:rPr>
          <w:rFonts w:ascii="Times New Roman" w:hAnsi="Times New Roman" w:cs="Times New Roman"/>
          <w:sz w:val="24"/>
          <w:szCs w:val="24"/>
          <w:vertAlign w:val="superscript"/>
        </w:rPr>
        <w:footnoteReference w:id="301"/>
      </w:r>
      <w:r w:rsidRPr="001256EA">
        <w:rPr>
          <w:rFonts w:ascii="Times New Roman" w:hAnsi="Times New Roman" w:cs="Times New Roman"/>
          <w:sz w:val="24"/>
          <w:szCs w:val="24"/>
        </w:rPr>
        <w:t>, which provides for liability for simple murder, and stated that its application is not possible for a doctor who has performed euthanasia under certain conditions. This means that in certain cases active euthanasia is no longer criminalized.</w:t>
      </w:r>
    </w:p>
    <w:p w14:paraId="42DD6B10"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decision specifically states that the euthanasia procedure is legal if three main criteria are met:</w:t>
      </w:r>
    </w:p>
    <w:p w14:paraId="43610C72" w14:textId="4B292EEC" w:rsidR="00A70645" w:rsidRPr="001256EA" w:rsidRDefault="00A70645" w:rsidP="00D2668D">
      <w:pPr>
        <w:numPr>
          <w:ilvl w:val="0"/>
          <w:numId w:val="14"/>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 xml:space="preserve">The act is performed by a licensed </w:t>
      </w:r>
      <w:r w:rsidR="00BF416D" w:rsidRPr="001256EA">
        <w:rPr>
          <w:rFonts w:ascii="Times New Roman" w:hAnsi="Times New Roman" w:cs="Times New Roman"/>
          <w:sz w:val="24"/>
          <w:szCs w:val="24"/>
        </w:rPr>
        <w:t>physician.</w:t>
      </w:r>
    </w:p>
    <w:p w14:paraId="7D273DC3" w14:textId="2E8C3031" w:rsidR="00A70645" w:rsidRPr="001256EA" w:rsidRDefault="00A70645" w:rsidP="00D2668D">
      <w:pPr>
        <w:numPr>
          <w:ilvl w:val="0"/>
          <w:numId w:val="14"/>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 xml:space="preserve">The patient expresses free, clear and informed consent. There is also the possibility of confirming his will through a representative if he is no longer able to do so himself, based on his previously expressed </w:t>
      </w:r>
      <w:r w:rsidR="00BF416D" w:rsidRPr="001256EA">
        <w:rPr>
          <w:rFonts w:ascii="Times New Roman" w:hAnsi="Times New Roman" w:cs="Times New Roman"/>
          <w:sz w:val="24"/>
          <w:szCs w:val="24"/>
        </w:rPr>
        <w:t>wishes.</w:t>
      </w:r>
    </w:p>
    <w:p w14:paraId="65796590" w14:textId="77777777" w:rsidR="00A70645" w:rsidRPr="001256EA" w:rsidRDefault="00A70645" w:rsidP="00D2668D">
      <w:pPr>
        <w:numPr>
          <w:ilvl w:val="0"/>
          <w:numId w:val="14"/>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The patient's condition is associated with intense and unbearable pain, resulting from a serious and irreversible bodily injury or from a serious, incurable illness.</w:t>
      </w:r>
    </w:p>
    <w:p w14:paraId="7D3A2BBC"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Although this decision decriminalizes euthanasia in certain cases, practical regulation is still being developed - the national parliament will have to adopt implementing legislation establishing procedural aspects and oversight mechanisms.</w:t>
      </w:r>
    </w:p>
    <w:p w14:paraId="3BACD71D"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Ecuador is one of the first Latin American countries to legalize euthanasia through a constitutional court ruling, rather than through parliamentary legislation. The debate in Ecuador is particularly intense due to the dominant Catholic tradition, but the court argued that an absolute ban on euthanasia would be contrary to human dignity when the patient is experiencing extreme suffering.</w:t>
      </w:r>
    </w:p>
    <w:p w14:paraId="70C54B46"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At present, a short time after the adoption of the decision, no practical cases have yet been recorded, but the jurisprudence of the Constitutional Court sets a precedent according to which the country undertakes to form an appropriate regulatory system.</w:t>
      </w:r>
    </w:p>
    <w:p w14:paraId="5BE5B12B"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Some countries that formally prohibit euthanasia have established exceptions or implicit provisions that allow for actions close to euthanasia. One such is Uruguay. In 1933, the Uruguayan Penal Code introduced the concept of euthanasia, which provides that a judge can exempt a doctor from punishment if he ends the life of a patient at the insistence of the patient due to unbearable suffering</w:t>
      </w:r>
      <w:r w:rsidRPr="001256EA">
        <w:rPr>
          <w:rFonts w:ascii="Times New Roman" w:hAnsi="Times New Roman" w:cs="Times New Roman"/>
          <w:sz w:val="24"/>
          <w:szCs w:val="24"/>
          <w:vertAlign w:val="superscript"/>
        </w:rPr>
        <w:footnoteReference w:id="302"/>
      </w:r>
      <w:r w:rsidRPr="001256EA">
        <w:rPr>
          <w:rFonts w:ascii="Times New Roman" w:hAnsi="Times New Roman" w:cs="Times New Roman"/>
          <w:sz w:val="24"/>
          <w:szCs w:val="24"/>
        </w:rPr>
        <w:t>. Although such wording does not imply complete legality, it allows for avoidance of liability in special circumstances.</w:t>
      </w:r>
    </w:p>
    <w:p w14:paraId="15CA9877"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In India, the Supreme Court in 2018 recognized the possibility of passive euthanasia, legalizing the withdrawal of life support in certain cases and recognizing a patient's advance directives regarding treatment restrictions</w:t>
      </w:r>
      <w:r w:rsidRPr="001256EA">
        <w:rPr>
          <w:rFonts w:ascii="Times New Roman" w:hAnsi="Times New Roman" w:cs="Times New Roman"/>
          <w:sz w:val="24"/>
          <w:szCs w:val="24"/>
          <w:vertAlign w:val="superscript"/>
        </w:rPr>
        <w:footnoteReference w:id="303"/>
      </w:r>
      <w:r w:rsidRPr="001256EA">
        <w:rPr>
          <w:rFonts w:ascii="Times New Roman" w:hAnsi="Times New Roman" w:cs="Times New Roman"/>
          <w:sz w:val="24"/>
          <w:szCs w:val="24"/>
        </w:rPr>
        <w:t>. Active euthanasia remains illegal in the country.</w:t>
      </w:r>
    </w:p>
    <w:p w14:paraId="1847B88B"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Euthanasia is not officially recognized in Japan, but 20th-century court decisions have established criteria that allow doctors to withhold life support or administer painkillers, even if they could hasten death</w:t>
      </w:r>
      <w:r w:rsidRPr="001256EA">
        <w:rPr>
          <w:rFonts w:ascii="Times New Roman" w:hAnsi="Times New Roman" w:cs="Times New Roman"/>
          <w:sz w:val="24"/>
          <w:szCs w:val="24"/>
          <w:vertAlign w:val="superscript"/>
        </w:rPr>
        <w:footnoteReference w:id="304"/>
      </w:r>
      <w:r w:rsidRPr="001256EA">
        <w:rPr>
          <w:rFonts w:ascii="Times New Roman" w:hAnsi="Times New Roman" w:cs="Times New Roman"/>
          <w:sz w:val="24"/>
          <w:szCs w:val="24"/>
        </w:rPr>
        <w:t>. This is close to the concept of passive euthanasia.</w:t>
      </w:r>
    </w:p>
    <w:p w14:paraId="127F5F86"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These examples show that even in jurisdictions that do not explicitly legalize active euthanasia, the principle of patient autonomy and the ability to choose the circumstances of the end of life with dignity are gradually being recognized.</w:t>
      </w:r>
    </w:p>
    <w:p w14:paraId="3B8065E8" w14:textId="65A7E0F2" w:rsidR="00A70645" w:rsidRPr="00CB036C" w:rsidRDefault="00B957D0" w:rsidP="00D2668D">
      <w:pPr>
        <w:spacing w:after="0" w:line="360" w:lineRule="auto"/>
        <w:ind w:firstLine="851"/>
        <w:jc w:val="both"/>
        <w:rPr>
          <w:rFonts w:ascii="Times New Roman" w:hAnsi="Times New Roman" w:cs="Times New Roman"/>
          <w:sz w:val="24"/>
          <w:szCs w:val="24"/>
        </w:rPr>
      </w:pPr>
      <w:r w:rsidRPr="00CB036C">
        <w:rPr>
          <w:rFonts w:ascii="Times New Roman" w:hAnsi="Times New Roman" w:cs="Times New Roman"/>
          <w:sz w:val="24"/>
          <w:szCs w:val="24"/>
        </w:rPr>
        <w:t>A comparative analysis of the legal regulation of non-European Union countries reveals that the regulation of euthanasia is increasingly going beyond the traditional boundaries of Western legal tradition, as illustrated by the examples of Colombia and Ecuador, signaling a global recoding of the concept of human dignity in modern jurisprudence. It has been established that the most liberal models, applied in Canada or Switzerland, inevitably face specific challenges of “euthanasia tourism” and the development of subjective criteria, especially when discussing assistance to persons with mental health disorders, which raises fundamental ethical questions regarding the divide between individual autonomy and the state’s duty to protect life. Meanwhile, countries of the Anglo-Saxon tradition, such as Australia or New Zealand, prefer a more bureaucratic, yet transparent and strictly regulated model, dominated by the principle of subsidiarity of palliative care. Finally, the fundamental conclusion to be drawn is that a systemic shift is being observed globally from categorical prohibition to subjective assessment of patient suffering, which is transforming medicine from an exclusively life-saving tool to a tool for ensuring dignified death.</w:t>
      </w:r>
    </w:p>
    <w:p w14:paraId="24998FFE" w14:textId="216D48C7" w:rsidR="005D6ADF" w:rsidRPr="00B957D0" w:rsidRDefault="005D6ADF" w:rsidP="00D2668D">
      <w:pPr>
        <w:spacing w:after="0" w:line="360" w:lineRule="auto"/>
        <w:ind w:firstLine="851"/>
        <w:jc w:val="both"/>
        <w:rPr>
          <w:rFonts w:ascii="Times New Roman" w:hAnsi="Times New Roman" w:cs="Times New Roman"/>
          <w:sz w:val="24"/>
          <w:szCs w:val="24"/>
        </w:rPr>
      </w:pPr>
      <w:r w:rsidRPr="00CB036C">
        <w:rPr>
          <w:rFonts w:ascii="Times New Roman" w:hAnsi="Times New Roman" w:cs="Times New Roman"/>
          <w:sz w:val="24"/>
          <w:szCs w:val="24"/>
        </w:rPr>
        <w:t xml:space="preserve">A systematic analysis of international experience allows not only to identify global trends, but also to formulate essential insights into possible legal developments in Lithuania, which currently remains in a zone of strict prohibition. Given the jurisprudential examples of Germany or Italy, it can be assumed that the delay in adopting clear legislative decisions in Lithuania may create the risk of a legal vacuum, in which, according to the doctrine of the ECHR, the autonomy of the individual can be defended through court proceedings, basing the state's inaction on the violation of the rights to private life and dignity. Considering the fact that </w:t>
      </w:r>
      <w:r w:rsidRPr="00CB036C">
        <w:rPr>
          <w:rFonts w:ascii="Times New Roman" w:hAnsi="Times New Roman" w:cs="Times New Roman"/>
          <w:sz w:val="24"/>
          <w:szCs w:val="24"/>
        </w:rPr>
        <w:lastRenderedPageBreak/>
        <w:t>religious ethics have a significant influence in Lithuania, similar to Colombia or Spain, it is likely that a national compromise would be achieved only through an extremely strict model of "passive euthanasia" or "assisted suicide", giving priority not to active action, but to strengthening the palliative care system and ensuring the freedom of conscience of doctors. The final analysis shows that Lithuania, being part of the common EU legal space, will not be able to ignore the trends of recognition of personal autonomy, therefore analytical preparation for possible regulatory reforms becomes not only an academic, but also a necessary social task, aiming to reconcile the freedom of individual self-determination with the state's duty to protect life.</w:t>
      </w:r>
    </w:p>
    <w:p w14:paraId="33972ED4" w14:textId="77777777" w:rsidR="00B27F0A" w:rsidRPr="001256EA" w:rsidRDefault="00B27F0A" w:rsidP="00D2668D">
      <w:pPr>
        <w:spacing w:after="0" w:line="360" w:lineRule="auto"/>
        <w:ind w:firstLine="851"/>
        <w:jc w:val="both"/>
        <w:rPr>
          <w:rFonts w:ascii="Times New Roman" w:hAnsi="Times New Roman" w:cs="Times New Roman"/>
          <w:sz w:val="24"/>
          <w:szCs w:val="24"/>
        </w:rPr>
      </w:pPr>
    </w:p>
    <w:p w14:paraId="47D24109" w14:textId="77777777" w:rsidR="00A70645" w:rsidRPr="001256EA" w:rsidRDefault="00A70645" w:rsidP="007857CE">
      <w:pPr>
        <w:pStyle w:val="Heading2"/>
        <w:spacing w:before="0" w:line="360" w:lineRule="auto"/>
        <w:ind w:firstLine="851"/>
        <w:jc w:val="center"/>
        <w:rPr>
          <w:rFonts w:ascii="Times New Roman" w:hAnsi="Times New Roman" w:cs="Times New Roman"/>
          <w:b/>
          <w:bCs/>
          <w:color w:val="auto"/>
          <w:sz w:val="24"/>
          <w:szCs w:val="24"/>
        </w:rPr>
      </w:pPr>
      <w:bookmarkStart w:id="68" w:name="_Toc216374395"/>
      <w:r w:rsidRPr="001256EA">
        <w:rPr>
          <w:rFonts w:ascii="Times New Roman" w:hAnsi="Times New Roman" w:cs="Times New Roman"/>
          <w:b/>
          <w:bCs/>
          <w:color w:val="auto"/>
          <w:sz w:val="24"/>
          <w:szCs w:val="24"/>
        </w:rPr>
        <w:t>2.3. Cases of limitation and restriction of right to euthanasia</w:t>
      </w:r>
      <w:bookmarkEnd w:id="68"/>
    </w:p>
    <w:p w14:paraId="62FE3643" w14:textId="77777777" w:rsidR="007857CE" w:rsidRPr="001256EA" w:rsidRDefault="007857CE" w:rsidP="007857CE">
      <w:pPr>
        <w:rPr>
          <w:rFonts w:ascii="Times New Roman" w:hAnsi="Times New Roman" w:cs="Times New Roman"/>
          <w:sz w:val="24"/>
          <w:szCs w:val="24"/>
        </w:rPr>
      </w:pPr>
    </w:p>
    <w:p w14:paraId="6815C23F"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Although legal acts in various countries establish the possibility of using euthanasia or assisted suicide, the implementation of this right is not absolute. The restrictions applied in practice reflect the desire to reconcile patient autonomy with the protection of the public interest and the principles of medical ethics. Most often, restrictions are manifested through requirements of age, place of residence, diagnosis, procedural safeguards or professional ethics.</w:t>
      </w:r>
    </w:p>
    <w:p w14:paraId="25C9CBC5" w14:textId="50856D00"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One of the main limitations is the patient's age</w:t>
      </w:r>
      <w:r w:rsidRPr="001256EA">
        <w:rPr>
          <w:rFonts w:ascii="Times New Roman" w:hAnsi="Times New Roman" w:cs="Times New Roman"/>
          <w:sz w:val="24"/>
          <w:szCs w:val="24"/>
          <w:vertAlign w:val="superscript"/>
        </w:rPr>
        <w:footnoteReference w:id="305"/>
      </w:r>
      <w:r w:rsidRPr="001256EA">
        <w:rPr>
          <w:rFonts w:ascii="Times New Roman" w:hAnsi="Times New Roman" w:cs="Times New Roman"/>
          <w:sz w:val="24"/>
          <w:szCs w:val="24"/>
        </w:rPr>
        <w:t xml:space="preserve">. In most countries, euthanasia is only permitted for adults. This criterion </w:t>
      </w:r>
      <w:r w:rsidR="00BF416D" w:rsidRPr="001256EA">
        <w:rPr>
          <w:rFonts w:ascii="Times New Roman" w:hAnsi="Times New Roman" w:cs="Times New Roman"/>
          <w:sz w:val="24"/>
          <w:szCs w:val="24"/>
        </w:rPr>
        <w:t>assumes</w:t>
      </w:r>
      <w:r w:rsidRPr="001256EA">
        <w:rPr>
          <w:rFonts w:ascii="Times New Roman" w:hAnsi="Times New Roman" w:cs="Times New Roman"/>
          <w:sz w:val="24"/>
          <w:szCs w:val="24"/>
        </w:rPr>
        <w:t xml:space="preserve"> that only an adult has sufficient maturity and capacity to make an informed and conscious decision about the end of their life. This position reflects the desire to ensure that the decision is independent of emotional or environmental pressures, to which younger individuals may be particularly vulnerable.</w:t>
      </w:r>
    </w:p>
    <w:p w14:paraId="499B1916"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However, there are exceptions in international practice. Belgium and the Netherlands are the only countries that allow euthanasia for minors under special conditions. In the Netherlands, this option is available to patients from the age of 12, while in Belgium the rules are even more liberal and there is no minimum age. This means that euthanasia can be performed on a person of any age. However, Belgian law specifies that the patient must be competent, suffer great suffering due to an incurable disease, and the decision is made with the consent of parents and medical professionals.</w:t>
      </w:r>
    </w:p>
    <w:p w14:paraId="5E1E36A2" w14:textId="6693D965"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One of the most important restrictive measures is also the residency and citizenship criteria. This requirement is intended to balance patient autonomy with the objectives of security, accountability and prevention of abuse. Most countries require patients to be citizens of the country or to have resided in the country for a certain </w:t>
      </w:r>
      <w:r w:rsidR="00BF416D" w:rsidRPr="001256EA">
        <w:rPr>
          <w:rFonts w:ascii="Times New Roman" w:hAnsi="Times New Roman" w:cs="Times New Roman"/>
          <w:sz w:val="24"/>
          <w:szCs w:val="24"/>
        </w:rPr>
        <w:t>period</w:t>
      </w:r>
      <w:r w:rsidRPr="001256EA">
        <w:rPr>
          <w:rFonts w:ascii="Times New Roman" w:hAnsi="Times New Roman" w:cs="Times New Roman"/>
          <w:sz w:val="24"/>
          <w:szCs w:val="24"/>
        </w:rPr>
        <w:t>. These criteria ensure that the health system services are provided to the residents of that country. Such a security criterion also allows for a proper assessment of the person making such a decision, and health professionals have access to the patient’s medical history and can monitor the process.</w:t>
      </w:r>
    </w:p>
    <w:p w14:paraId="4822D64B" w14:textId="17727AF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Residency and nationality criteria are based on the protection of vulnerable </w:t>
      </w:r>
      <w:proofErr w:type="gramStart"/>
      <w:r w:rsidRPr="001256EA">
        <w:rPr>
          <w:rFonts w:ascii="Times New Roman" w:hAnsi="Times New Roman" w:cs="Times New Roman"/>
          <w:sz w:val="24"/>
          <w:szCs w:val="24"/>
        </w:rPr>
        <w:t>persons</w:t>
      </w:r>
      <w:proofErr w:type="gramEnd"/>
      <w:r w:rsidRPr="001256EA">
        <w:rPr>
          <w:rFonts w:ascii="Times New Roman" w:hAnsi="Times New Roman" w:cs="Times New Roman"/>
          <w:sz w:val="24"/>
          <w:szCs w:val="24"/>
        </w:rPr>
        <w:t xml:space="preserve"> and the reliability of procedures</w:t>
      </w:r>
      <w:r w:rsidRPr="001256EA">
        <w:rPr>
          <w:rFonts w:ascii="Times New Roman" w:hAnsi="Times New Roman" w:cs="Times New Roman"/>
          <w:sz w:val="24"/>
          <w:szCs w:val="24"/>
          <w:vertAlign w:val="superscript"/>
        </w:rPr>
        <w:footnoteReference w:id="306"/>
      </w:r>
      <w:r w:rsidRPr="001256EA">
        <w:rPr>
          <w:rFonts w:ascii="Times New Roman" w:hAnsi="Times New Roman" w:cs="Times New Roman"/>
          <w:sz w:val="24"/>
          <w:szCs w:val="24"/>
        </w:rPr>
        <w:t xml:space="preserve">. The conditions stipulated by the law, such as consistent monitoring, assessments by several independent specialists, and mental health assessments, are easier to implement where the patient is within the system. However, this also has a negative side. Critics point out that such barriers can disproportionately limit autonomy and lead to unequal access, especially for border or diaspora groups. The debate also raises whether strict residency requirements </w:t>
      </w:r>
      <w:r w:rsidR="00BF416D" w:rsidRPr="001256EA">
        <w:rPr>
          <w:rFonts w:ascii="Times New Roman" w:hAnsi="Times New Roman" w:cs="Times New Roman"/>
          <w:sz w:val="24"/>
          <w:szCs w:val="24"/>
        </w:rPr>
        <w:t>reduce</w:t>
      </w:r>
      <w:r w:rsidRPr="001256EA">
        <w:rPr>
          <w:rFonts w:ascii="Times New Roman" w:hAnsi="Times New Roman" w:cs="Times New Roman"/>
          <w:sz w:val="24"/>
          <w:szCs w:val="24"/>
        </w:rPr>
        <w:t xml:space="preserve"> the risk of </w:t>
      </w:r>
      <w:r w:rsidR="00BF416D" w:rsidRPr="001256EA">
        <w:rPr>
          <w:rFonts w:ascii="Times New Roman" w:hAnsi="Times New Roman" w:cs="Times New Roman"/>
          <w:sz w:val="24"/>
          <w:szCs w:val="24"/>
        </w:rPr>
        <w:t>abuse or</w:t>
      </w:r>
      <w:r w:rsidRPr="001256EA">
        <w:rPr>
          <w:rFonts w:ascii="Times New Roman" w:hAnsi="Times New Roman" w:cs="Times New Roman"/>
          <w:sz w:val="24"/>
          <w:szCs w:val="24"/>
        </w:rPr>
        <w:t xml:space="preserve"> simply shift decisions to other countries or informal practices.</w:t>
      </w:r>
    </w:p>
    <w:p w14:paraId="7B83D53B"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main condition for regulation in many countries is the requirement that the person has an incurable, progressive disease with a limited remaining life span. The terminality criterion acts as a limiting filter</w:t>
      </w:r>
      <w:r w:rsidRPr="001256EA">
        <w:rPr>
          <w:rFonts w:ascii="Times New Roman" w:hAnsi="Times New Roman" w:cs="Times New Roman"/>
          <w:sz w:val="24"/>
          <w:szCs w:val="24"/>
          <w:vertAlign w:val="superscript"/>
        </w:rPr>
        <w:footnoteReference w:id="307"/>
      </w:r>
      <w:r w:rsidRPr="001256EA">
        <w:rPr>
          <w:rFonts w:ascii="Times New Roman" w:hAnsi="Times New Roman" w:cs="Times New Roman"/>
          <w:sz w:val="24"/>
          <w:szCs w:val="24"/>
        </w:rPr>
        <w:t>. It does not allow the procedure to be performed when the disease has not yet reached the final stage, even if the suffering is great.</w:t>
      </w:r>
    </w:p>
    <w:p w14:paraId="0B983E69" w14:textId="5116BE5B"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other countries, euthanasia is permitted beyond the realm of terminal </w:t>
      </w:r>
      <w:r w:rsidR="00BF416D" w:rsidRPr="001256EA">
        <w:rPr>
          <w:rFonts w:ascii="Times New Roman" w:hAnsi="Times New Roman" w:cs="Times New Roman"/>
          <w:sz w:val="24"/>
          <w:szCs w:val="24"/>
        </w:rPr>
        <w:t>illness but</w:t>
      </w:r>
      <w:r w:rsidRPr="001256EA">
        <w:rPr>
          <w:rFonts w:ascii="Times New Roman" w:hAnsi="Times New Roman" w:cs="Times New Roman"/>
          <w:sz w:val="24"/>
          <w:szCs w:val="24"/>
        </w:rPr>
        <w:t xml:space="preserve"> requires that the suffering be unbearable and stem from a serious, irreversible medical condition. This model expands the boundaries of autonomy, but at the same time greatly increases the intensity of procedural requirements to protect against abuse and error.</w:t>
      </w:r>
    </w:p>
    <w:p w14:paraId="6A9EECED" w14:textId="6AD2676C"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most controversial health stigma is when the diagnosis is a mental disorder. Mental disorders can affect realistic assessment of the future, the dynamics of suicidal thoughts, and the consistency of decision-making. There is a risk that the person’s condition will be incorrectly assessed and not distinguished from acute suicidal behavior. Many countries are moving cautiously in this area. In some jurisdictions, cases of mental disorders are not allowed or postponed, in others - only possible under exceptional conditions with additional barriers. However, the situation needs to be assessed </w:t>
      </w:r>
      <w:r w:rsidR="00BF416D" w:rsidRPr="001256EA">
        <w:rPr>
          <w:rFonts w:ascii="Times New Roman" w:hAnsi="Times New Roman" w:cs="Times New Roman"/>
          <w:sz w:val="24"/>
          <w:szCs w:val="24"/>
        </w:rPr>
        <w:t>critically,</w:t>
      </w:r>
      <w:r w:rsidRPr="001256EA">
        <w:rPr>
          <w:rFonts w:ascii="Times New Roman" w:hAnsi="Times New Roman" w:cs="Times New Roman"/>
          <w:sz w:val="24"/>
          <w:szCs w:val="24"/>
        </w:rPr>
        <w:t xml:space="preserve"> and strict restrictions should not be </w:t>
      </w:r>
      <w:r w:rsidRPr="001256EA">
        <w:rPr>
          <w:rFonts w:ascii="Times New Roman" w:hAnsi="Times New Roman" w:cs="Times New Roman"/>
          <w:sz w:val="24"/>
          <w:szCs w:val="24"/>
        </w:rPr>
        <w:lastRenderedPageBreak/>
        <w:t>allowed to develop into unjustified stigmatization. Therefore, the situation must be assessed individually.</w:t>
      </w:r>
    </w:p>
    <w:p w14:paraId="6DF4356F" w14:textId="43BD70EA"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Regardless of the specific medical model chosen in a country, the essential requirement everywhere is decision-making competence and free, informed, consistent consent. Countries also provide for the possibility of making a request for euthanasia in advance</w:t>
      </w:r>
      <w:r w:rsidRPr="001256EA">
        <w:rPr>
          <w:rFonts w:ascii="Times New Roman" w:hAnsi="Times New Roman" w:cs="Times New Roman"/>
          <w:sz w:val="24"/>
          <w:szCs w:val="24"/>
          <w:vertAlign w:val="superscript"/>
        </w:rPr>
        <w:footnoteReference w:id="308"/>
      </w:r>
      <w:r w:rsidRPr="001256EA">
        <w:rPr>
          <w:rFonts w:ascii="Times New Roman" w:hAnsi="Times New Roman" w:cs="Times New Roman"/>
          <w:sz w:val="24"/>
          <w:szCs w:val="24"/>
        </w:rPr>
        <w:t xml:space="preserve">. This means that the person specifies exactly under what conditions of their health they want euthanasia to be performed. Because in </w:t>
      </w:r>
      <w:r w:rsidR="00BF416D" w:rsidRPr="001256EA">
        <w:rPr>
          <w:rFonts w:ascii="Times New Roman" w:hAnsi="Times New Roman" w:cs="Times New Roman"/>
          <w:sz w:val="24"/>
          <w:szCs w:val="24"/>
        </w:rPr>
        <w:t>certain</w:t>
      </w:r>
      <w:r w:rsidRPr="001256EA">
        <w:rPr>
          <w:rFonts w:ascii="Times New Roman" w:hAnsi="Times New Roman" w:cs="Times New Roman"/>
          <w:sz w:val="24"/>
          <w:szCs w:val="24"/>
        </w:rPr>
        <w:t xml:space="preserve"> health </w:t>
      </w:r>
      <w:r w:rsidR="001256EA" w:rsidRPr="001256EA">
        <w:rPr>
          <w:rFonts w:ascii="Times New Roman" w:hAnsi="Times New Roman" w:cs="Times New Roman"/>
          <w:sz w:val="24"/>
          <w:szCs w:val="24"/>
        </w:rPr>
        <w:t>conditions</w:t>
      </w:r>
      <w:r w:rsidRPr="001256EA">
        <w:rPr>
          <w:rFonts w:ascii="Times New Roman" w:hAnsi="Times New Roman" w:cs="Times New Roman"/>
          <w:sz w:val="24"/>
          <w:szCs w:val="24"/>
        </w:rPr>
        <w:t>, there is a possibility that the person will no longer be able to make a conscious decision regarding euthanasia.</w:t>
      </w:r>
    </w:p>
    <w:p w14:paraId="4CB2CE65"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Many countries have established safety procedures. Countries often specify that a request for euthanasia must be considered by two different, independent doctors, one of whom must be a specialist in the patient's condition</w:t>
      </w:r>
      <w:r w:rsidRPr="001256EA">
        <w:rPr>
          <w:rFonts w:ascii="Times New Roman" w:hAnsi="Times New Roman" w:cs="Times New Roman"/>
          <w:sz w:val="24"/>
          <w:szCs w:val="24"/>
          <w:vertAlign w:val="superscript"/>
        </w:rPr>
        <w:footnoteReference w:id="309"/>
      </w:r>
      <w:r w:rsidRPr="001256EA">
        <w:rPr>
          <w:rFonts w:ascii="Times New Roman" w:hAnsi="Times New Roman" w:cs="Times New Roman"/>
          <w:sz w:val="24"/>
          <w:szCs w:val="24"/>
        </w:rPr>
        <w:t>. Countries also often stipulate that the request must be made several times with a waiting period in between. This ensures that the person has enough time to think about their decision and not just make an emotional decision at that moment. All countries stipulate that the euthanasia process must be strictly documented and additional commissions are established to oversee the euthanasia process to prevent any abuse or manipulation of the law.</w:t>
      </w:r>
    </w:p>
    <w:p w14:paraId="02A4E844" w14:textId="6FA41209"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summary, the regulation of euthanasia and assisted dying is not uniform, and the implementation of the right is not absolute. Most systems apply general restrictions: age, residence or residency requirements, as well as clear medical criteria. The essential condition is the patient's capacity to decide and free, informed, consistent consent; some allow </w:t>
      </w:r>
      <w:r w:rsidR="00BF416D" w:rsidRPr="001256EA">
        <w:rPr>
          <w:rFonts w:ascii="Times New Roman" w:hAnsi="Times New Roman" w:cs="Times New Roman"/>
          <w:sz w:val="24"/>
          <w:szCs w:val="24"/>
        </w:rPr>
        <w:t>advanced</w:t>
      </w:r>
      <w:r w:rsidRPr="001256EA">
        <w:rPr>
          <w:rFonts w:ascii="Times New Roman" w:hAnsi="Times New Roman" w:cs="Times New Roman"/>
          <w:sz w:val="24"/>
          <w:szCs w:val="24"/>
        </w:rPr>
        <w:t xml:space="preserve"> directives if decision-making becomes impossible in the future. Procedural safeguards usually include assessments by several independent doctors, waiting periods, strict documentation and independent supervision. In the case of mental disorders, a particularly cautious assessment is applied, emphasizing the stability of the decision and the exhaustion of treatment alternatives. Such a system seeks to reconcile patient autonomy with the prevention of abuse, the protection of </w:t>
      </w:r>
      <w:r w:rsidR="00BF416D" w:rsidRPr="001256EA">
        <w:rPr>
          <w:rFonts w:ascii="Times New Roman" w:hAnsi="Times New Roman" w:cs="Times New Roman"/>
          <w:sz w:val="24"/>
          <w:szCs w:val="24"/>
        </w:rPr>
        <w:t>public</w:t>
      </w:r>
      <w:r w:rsidRPr="001256EA">
        <w:rPr>
          <w:rFonts w:ascii="Times New Roman" w:hAnsi="Times New Roman" w:cs="Times New Roman"/>
          <w:sz w:val="24"/>
          <w:szCs w:val="24"/>
        </w:rPr>
        <w:t xml:space="preserve"> interest and standards of professional ethics.</w:t>
      </w:r>
    </w:p>
    <w:p w14:paraId="46BE9541" w14:textId="77777777" w:rsidR="00BF416D" w:rsidRPr="001256EA" w:rsidRDefault="00BF416D" w:rsidP="00D2668D">
      <w:pPr>
        <w:spacing w:after="0" w:line="360" w:lineRule="auto"/>
        <w:ind w:firstLine="851"/>
        <w:jc w:val="both"/>
        <w:rPr>
          <w:rFonts w:ascii="Times New Roman" w:hAnsi="Times New Roman" w:cs="Times New Roman"/>
          <w:sz w:val="24"/>
          <w:szCs w:val="24"/>
        </w:rPr>
      </w:pPr>
    </w:p>
    <w:p w14:paraId="0B6F1794" w14:textId="77777777" w:rsidR="00A70645" w:rsidRPr="001256EA" w:rsidRDefault="00A70645" w:rsidP="007857CE">
      <w:pPr>
        <w:pStyle w:val="Heading2"/>
        <w:spacing w:before="0" w:line="360" w:lineRule="auto"/>
        <w:ind w:firstLine="851"/>
        <w:jc w:val="center"/>
        <w:rPr>
          <w:rFonts w:ascii="Times New Roman" w:hAnsi="Times New Roman" w:cs="Times New Roman"/>
          <w:b/>
          <w:bCs/>
          <w:color w:val="auto"/>
          <w:sz w:val="24"/>
          <w:szCs w:val="24"/>
        </w:rPr>
      </w:pPr>
      <w:bookmarkStart w:id="69" w:name="_Toc216374396"/>
      <w:r w:rsidRPr="001256EA">
        <w:rPr>
          <w:rFonts w:ascii="Times New Roman" w:hAnsi="Times New Roman" w:cs="Times New Roman"/>
          <w:b/>
          <w:bCs/>
          <w:color w:val="auto"/>
          <w:sz w:val="24"/>
          <w:szCs w:val="24"/>
        </w:rPr>
        <w:t>2.4. The legal consequences and responsibility related to the limitation of the right to euthanasia</w:t>
      </w:r>
      <w:bookmarkEnd w:id="69"/>
    </w:p>
    <w:p w14:paraId="581D1085" w14:textId="77777777" w:rsidR="007857CE" w:rsidRPr="001256EA" w:rsidRDefault="007857CE" w:rsidP="007857CE"/>
    <w:p w14:paraId="3FE835F3"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Restrictions on the right to euthanasia lead to different consequences for both healthcare professionals and institutions, and for patients and their relatives. The contours of liability include criminal, administrative, civil and disciplinary aspects, as well as obligations to document, report and ensure proportionate review of decisions. This section examines the most common liability models and their interaction with procedural safeguards.</w:t>
      </w:r>
    </w:p>
    <w:p w14:paraId="4A6A8A0D" w14:textId="1FCFC9EF"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countries where active euthanasia or assisted suicide is not legally permitted, the person is usually criminally liable for unlawful taking of life. An example is Switzerland, where Article 115 of the Criminal Code states that a person is criminally liable for assisting suicide if it is done for selfish reasons</w:t>
      </w:r>
      <w:r w:rsidRPr="001256EA">
        <w:rPr>
          <w:rFonts w:ascii="Times New Roman" w:hAnsi="Times New Roman" w:cs="Times New Roman"/>
          <w:sz w:val="24"/>
          <w:szCs w:val="24"/>
          <w:vertAlign w:val="superscript"/>
        </w:rPr>
        <w:footnoteReference w:id="310"/>
      </w:r>
      <w:r w:rsidRPr="001256EA">
        <w:rPr>
          <w:rFonts w:ascii="Times New Roman" w:hAnsi="Times New Roman" w:cs="Times New Roman"/>
          <w:sz w:val="24"/>
          <w:szCs w:val="24"/>
        </w:rPr>
        <w:t>. This legal norm defines the boundary between permissible and punishable conduct. For example, section 241 of the Canadian Criminal Code establishes a general prohibition on incitement and assistance to suicide, while also establishing an exception for medically assisted dying and its criteria</w:t>
      </w:r>
      <w:r w:rsidRPr="001256EA">
        <w:rPr>
          <w:rFonts w:ascii="Times New Roman" w:hAnsi="Times New Roman" w:cs="Times New Roman"/>
          <w:sz w:val="24"/>
          <w:szCs w:val="24"/>
          <w:vertAlign w:val="superscript"/>
        </w:rPr>
        <w:footnoteReference w:id="311"/>
      </w:r>
      <w:r w:rsidRPr="001256EA">
        <w:rPr>
          <w:rFonts w:ascii="Times New Roman" w:hAnsi="Times New Roman" w:cs="Times New Roman"/>
          <w:sz w:val="24"/>
          <w:szCs w:val="24"/>
        </w:rPr>
        <w:t>. However, if the exemption criteria are violated, criminal liability applies.</w:t>
      </w:r>
      <w:r w:rsidR="00132C48">
        <w:rPr>
          <w:rFonts w:ascii="Times New Roman" w:hAnsi="Times New Roman" w:cs="Times New Roman"/>
          <w:sz w:val="24"/>
          <w:szCs w:val="24"/>
        </w:rPr>
        <w:t xml:space="preserve"> </w:t>
      </w:r>
      <w:r w:rsidRPr="001256EA">
        <w:rPr>
          <w:rFonts w:ascii="Times New Roman" w:hAnsi="Times New Roman" w:cs="Times New Roman"/>
          <w:sz w:val="24"/>
          <w:szCs w:val="24"/>
        </w:rPr>
        <w:t>Other possible legal liabilities include administrative sanctions and professional liability. In Switzerland, failure to comply with protocols, failure to report or improper documentation can result in warnings, license restrictions or revocation</w:t>
      </w:r>
      <w:r w:rsidRPr="001256EA">
        <w:rPr>
          <w:rFonts w:ascii="Times New Roman" w:hAnsi="Times New Roman" w:cs="Times New Roman"/>
          <w:sz w:val="24"/>
          <w:szCs w:val="24"/>
          <w:vertAlign w:val="superscript"/>
        </w:rPr>
        <w:footnoteReference w:id="312"/>
      </w:r>
      <w:r w:rsidRPr="001256EA">
        <w:rPr>
          <w:rFonts w:ascii="Times New Roman" w:hAnsi="Times New Roman" w:cs="Times New Roman"/>
          <w:sz w:val="24"/>
          <w:szCs w:val="24"/>
        </w:rPr>
        <w:t xml:space="preserve">. Also, ethical guidelines are constantly updated, which indicates that professional standards are constantly reviewed and tightened according to the situation, and their disregard may lead to professional liability. </w:t>
      </w:r>
    </w:p>
    <w:p w14:paraId="743EFD05" w14:textId="37AEA852"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Physicians may also face civil liability for violations. The most common claims are for inaccurate diagnosis or prognosis, deficiencies in informed consent, or disregard for procedural safeguards. Many countries' laws governing euthanasia </w:t>
      </w:r>
      <w:r w:rsidR="00BF416D" w:rsidRPr="001256EA">
        <w:rPr>
          <w:rFonts w:ascii="Times New Roman" w:hAnsi="Times New Roman" w:cs="Times New Roman"/>
          <w:sz w:val="24"/>
          <w:szCs w:val="24"/>
        </w:rPr>
        <w:t>provide</w:t>
      </w:r>
      <w:r w:rsidRPr="001256EA">
        <w:rPr>
          <w:rFonts w:ascii="Times New Roman" w:hAnsi="Times New Roman" w:cs="Times New Roman"/>
          <w:sz w:val="24"/>
          <w:szCs w:val="24"/>
        </w:rPr>
        <w:t xml:space="preserve"> mandatory reporting and audits, which are then used as evidence in civil disputes.</w:t>
      </w:r>
    </w:p>
    <w:p w14:paraId="2F7DA307" w14:textId="77777777"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some countries, there are specially established additional control bodies that oversee the proper implementation of euthanasia procedures. In the Netherlands, there are regional review committees</w:t>
      </w:r>
      <w:r w:rsidRPr="001256EA">
        <w:rPr>
          <w:rFonts w:ascii="Times New Roman" w:hAnsi="Times New Roman" w:cs="Times New Roman"/>
          <w:sz w:val="24"/>
          <w:szCs w:val="24"/>
          <w:vertAlign w:val="superscript"/>
        </w:rPr>
        <w:footnoteReference w:id="313"/>
      </w:r>
      <w:r w:rsidRPr="001256EA">
        <w:rPr>
          <w:rFonts w:ascii="Times New Roman" w:hAnsi="Times New Roman" w:cs="Times New Roman"/>
          <w:sz w:val="24"/>
          <w:szCs w:val="24"/>
        </w:rPr>
        <w:t xml:space="preserve">, which monitors whether the law has been followed even after the euthanasia has been carried out. If it is determined that the doctor did not follow the procedures provided for in the law, in this case all information is transmitted to the prosecutor's office. The same institution operates in Belgium. The doctor who performed the euthanasia must send all </w:t>
      </w:r>
      <w:r w:rsidRPr="001256EA">
        <w:rPr>
          <w:rFonts w:ascii="Times New Roman" w:hAnsi="Times New Roman" w:cs="Times New Roman"/>
          <w:sz w:val="24"/>
          <w:szCs w:val="24"/>
        </w:rPr>
        <w:lastRenderedPageBreak/>
        <w:t>information to the Federal Commission for the Control and Evaluation of Euthanasia within 4 working days, which checks whether everything was carried out legally</w:t>
      </w:r>
      <w:r w:rsidRPr="001256EA">
        <w:rPr>
          <w:rFonts w:ascii="Times New Roman" w:hAnsi="Times New Roman" w:cs="Times New Roman"/>
          <w:sz w:val="24"/>
          <w:szCs w:val="24"/>
          <w:vertAlign w:val="superscript"/>
        </w:rPr>
        <w:footnoteReference w:id="314"/>
      </w:r>
      <w:r w:rsidRPr="001256EA">
        <w:rPr>
          <w:rFonts w:ascii="Times New Roman" w:hAnsi="Times New Roman" w:cs="Times New Roman"/>
          <w:sz w:val="24"/>
          <w:szCs w:val="24"/>
        </w:rPr>
        <w:t>.</w:t>
      </w:r>
    </w:p>
    <w:p w14:paraId="7F89CDF9" w14:textId="0E254FC7"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 person who disagrees with the state may complain to the </w:t>
      </w:r>
      <w:r w:rsidR="00BE2A51" w:rsidRPr="00CB036C">
        <w:rPr>
          <w:rFonts w:ascii="Times New Roman" w:hAnsi="Times New Roman" w:cs="Times New Roman"/>
          <w:sz w:val="24"/>
          <w:szCs w:val="24"/>
        </w:rPr>
        <w:t>ECtHR</w:t>
      </w:r>
      <w:r w:rsidRPr="001256EA">
        <w:rPr>
          <w:rFonts w:ascii="Times New Roman" w:hAnsi="Times New Roman" w:cs="Times New Roman"/>
          <w:sz w:val="24"/>
          <w:szCs w:val="24"/>
        </w:rPr>
        <w:t xml:space="preserve">. The jurisprudence of the </w:t>
      </w:r>
      <w:r w:rsidR="0002739E" w:rsidRPr="00CB036C">
        <w:rPr>
          <w:rFonts w:ascii="Times New Roman" w:eastAsia="Calibri" w:hAnsi="Times New Roman" w:cs="Times New Roman"/>
          <w:sz w:val="24"/>
          <w:szCs w:val="24"/>
        </w:rPr>
        <w:t>ECtHR</w:t>
      </w:r>
      <w:r w:rsidR="0002739E" w:rsidRPr="001256EA">
        <w:rPr>
          <w:rFonts w:ascii="Times New Roman" w:hAnsi="Times New Roman" w:cs="Times New Roman"/>
          <w:sz w:val="24"/>
          <w:szCs w:val="24"/>
        </w:rPr>
        <w:t xml:space="preserve"> </w:t>
      </w:r>
      <w:r w:rsidRPr="001256EA">
        <w:rPr>
          <w:rFonts w:ascii="Times New Roman" w:hAnsi="Times New Roman" w:cs="Times New Roman"/>
          <w:sz w:val="24"/>
          <w:szCs w:val="24"/>
        </w:rPr>
        <w:t>sets out the boundaries relevant for assessing liability for violations of restrictions on the right to euthanasia. First, Article 2 of the Convention does not grant an independent right to die. The Court has held that it cannot be used to derive a right to die, either with the participation of a third person or by state authorities</w:t>
      </w:r>
      <w:r w:rsidRPr="001256EA">
        <w:rPr>
          <w:rFonts w:ascii="Times New Roman" w:hAnsi="Times New Roman" w:cs="Times New Roman"/>
          <w:sz w:val="24"/>
          <w:szCs w:val="24"/>
          <w:vertAlign w:val="superscript"/>
        </w:rPr>
        <w:footnoteReference w:id="315"/>
      </w:r>
      <w:r w:rsidRPr="001256EA">
        <w:rPr>
          <w:rFonts w:ascii="Times New Roman" w:hAnsi="Times New Roman" w:cs="Times New Roman"/>
          <w:sz w:val="24"/>
          <w:szCs w:val="24"/>
        </w:rPr>
        <w:t xml:space="preserve">. </w:t>
      </w:r>
    </w:p>
    <w:p w14:paraId="3CA24AED" w14:textId="2166CB16"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Second, Article 8 of the Convention covers individual decisions about the end of life as part of private life, but leaves States a wide margin of appreciation. They are not obliged to provide access to lethal drugs or other positive assistance in </w:t>
      </w:r>
      <w:r w:rsidR="00BF416D" w:rsidRPr="001256EA">
        <w:rPr>
          <w:rFonts w:ascii="Times New Roman" w:hAnsi="Times New Roman" w:cs="Times New Roman"/>
          <w:sz w:val="24"/>
          <w:szCs w:val="24"/>
        </w:rPr>
        <w:t>dying but</w:t>
      </w:r>
      <w:r w:rsidRPr="001256EA">
        <w:rPr>
          <w:rFonts w:ascii="Times New Roman" w:hAnsi="Times New Roman" w:cs="Times New Roman"/>
          <w:sz w:val="24"/>
          <w:szCs w:val="24"/>
        </w:rPr>
        <w:t xml:space="preserve"> can impose strict safety rules and procedural filters</w:t>
      </w:r>
      <w:r w:rsidRPr="001256EA">
        <w:rPr>
          <w:rFonts w:ascii="Times New Roman" w:hAnsi="Times New Roman" w:cs="Times New Roman"/>
          <w:sz w:val="24"/>
          <w:szCs w:val="24"/>
          <w:vertAlign w:val="superscript"/>
        </w:rPr>
        <w:footnoteReference w:id="316"/>
      </w:r>
      <w:r w:rsidRPr="001256EA">
        <w:rPr>
          <w:rFonts w:ascii="Times New Roman" w:hAnsi="Times New Roman" w:cs="Times New Roman"/>
          <w:sz w:val="24"/>
          <w:szCs w:val="24"/>
        </w:rPr>
        <w:t>. Third, where national law permits euthanasia or assisted dying, the ECtHR expects effective procedures and independent control</w:t>
      </w:r>
      <w:r w:rsidRPr="001256EA">
        <w:rPr>
          <w:rFonts w:ascii="Times New Roman" w:hAnsi="Times New Roman" w:cs="Times New Roman"/>
          <w:sz w:val="24"/>
          <w:szCs w:val="24"/>
          <w:vertAlign w:val="superscript"/>
        </w:rPr>
        <w:footnoteReference w:id="317"/>
      </w:r>
      <w:r w:rsidRPr="001256EA">
        <w:rPr>
          <w:rFonts w:ascii="Times New Roman" w:hAnsi="Times New Roman" w:cs="Times New Roman"/>
          <w:sz w:val="24"/>
          <w:szCs w:val="24"/>
        </w:rPr>
        <w:t xml:space="preserve">. Recent case law has further confirmed that the Convention does not create a positive obligation to </w:t>
      </w:r>
      <w:r w:rsidR="00BF416D" w:rsidRPr="001256EA">
        <w:rPr>
          <w:rFonts w:ascii="Times New Roman" w:hAnsi="Times New Roman" w:cs="Times New Roman"/>
          <w:sz w:val="24"/>
          <w:szCs w:val="24"/>
        </w:rPr>
        <w:t>legalize</w:t>
      </w:r>
      <w:r w:rsidRPr="001256EA">
        <w:rPr>
          <w:rFonts w:ascii="Times New Roman" w:hAnsi="Times New Roman" w:cs="Times New Roman"/>
          <w:sz w:val="24"/>
          <w:szCs w:val="24"/>
        </w:rPr>
        <w:t xml:space="preserve"> physician-assisted death if the State's restrictions are based on protection and proportionate safeguards</w:t>
      </w:r>
      <w:r w:rsidRPr="001256EA">
        <w:rPr>
          <w:rFonts w:ascii="Times New Roman" w:hAnsi="Times New Roman" w:cs="Times New Roman"/>
          <w:sz w:val="24"/>
          <w:szCs w:val="24"/>
          <w:vertAlign w:val="superscript"/>
        </w:rPr>
        <w:footnoteReference w:id="318"/>
      </w:r>
      <w:r w:rsidRPr="001256EA">
        <w:rPr>
          <w:rFonts w:ascii="Times New Roman" w:hAnsi="Times New Roman" w:cs="Times New Roman"/>
          <w:sz w:val="24"/>
          <w:szCs w:val="24"/>
        </w:rPr>
        <w:t xml:space="preserve">. </w:t>
      </w:r>
    </w:p>
    <w:p w14:paraId="4C062734" w14:textId="77777777"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legal consequences for the improper application of the law are severe, but their purpose is not to criminalize the professional discretion of a doctor, but to ensure that decisions regarding the end of life are made in accordance with the highest standards of informed consent, medical validity and accountability. The issues of legal regulation and implementation of the institution of euthanasia are related not only to medical, but also to ethical, moral, legal and philosophical issues. Therefore, euthanasia must be responsibly controlled, ensuring a proportionate system of liability that would help ensure that doctors, even in the most complex clinical situations, adhere to ethical and legal norms, and are guided by the criteria of objectivity, justice and fairness. </w:t>
      </w:r>
    </w:p>
    <w:p w14:paraId="57524296" w14:textId="77777777"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conclusion, it can be stated that the implementation of the institute of euthanasia both at the national and international levels of Lithuanian law is one of the most controversial issues of modern law. Here, human rights, ethics and the boundaries of medical practice collide. </w:t>
      </w:r>
      <w:r w:rsidRPr="001256EA">
        <w:rPr>
          <w:rFonts w:ascii="Times New Roman" w:hAnsi="Times New Roman" w:cs="Times New Roman"/>
          <w:sz w:val="24"/>
          <w:szCs w:val="24"/>
        </w:rPr>
        <w:lastRenderedPageBreak/>
        <w:t xml:space="preserve">Euthanasia is prohibited in the Lithuanian legal system: The Criminal Code clearly provides for liability for intentional termination of life, even at the patient's request, therefore this practice is not compatible with the current legal order. However, certain alternative forms of implementing the </w:t>
      </w:r>
      <w:r w:rsidR="00802402" w:rsidRPr="001256EA">
        <w:rPr>
          <w:rFonts w:ascii="Times New Roman" w:hAnsi="Times New Roman" w:cs="Times New Roman"/>
          <w:sz w:val="24"/>
          <w:szCs w:val="24"/>
        </w:rPr>
        <w:t>patients</w:t>
      </w:r>
      <w:r w:rsidRPr="001256EA">
        <w:rPr>
          <w:rFonts w:ascii="Times New Roman" w:hAnsi="Times New Roman" w:cs="Times New Roman"/>
          <w:sz w:val="24"/>
          <w:szCs w:val="24"/>
        </w:rPr>
        <w:t xml:space="preserve"> will </w:t>
      </w:r>
      <w:r w:rsidR="00BF416D" w:rsidRPr="001256EA">
        <w:rPr>
          <w:rFonts w:ascii="Times New Roman" w:hAnsi="Times New Roman" w:cs="Times New Roman"/>
          <w:sz w:val="24"/>
          <w:szCs w:val="24"/>
        </w:rPr>
        <w:t>exist</w:t>
      </w:r>
      <w:r w:rsidRPr="001256EA">
        <w:rPr>
          <w:rFonts w:ascii="Times New Roman" w:hAnsi="Times New Roman" w:cs="Times New Roman"/>
          <w:sz w:val="24"/>
          <w:szCs w:val="24"/>
        </w:rPr>
        <w:t xml:space="preserve"> </w:t>
      </w:r>
      <w:r w:rsidR="00BF416D" w:rsidRPr="001256EA">
        <w:rPr>
          <w:rFonts w:ascii="Times New Roman" w:hAnsi="Times New Roman" w:cs="Times New Roman"/>
          <w:sz w:val="24"/>
          <w:szCs w:val="24"/>
        </w:rPr>
        <w:t>through</w:t>
      </w:r>
      <w:r w:rsidRPr="001256EA">
        <w:rPr>
          <w:rFonts w:ascii="Times New Roman" w:hAnsi="Times New Roman" w:cs="Times New Roman"/>
          <w:sz w:val="24"/>
          <w:szCs w:val="24"/>
        </w:rPr>
        <w:t xml:space="preserve"> palliative care services, pain relief and the possibility of limiting treatment when the patient clearly refuses medical interventions. </w:t>
      </w:r>
    </w:p>
    <w:p w14:paraId="3F99CED3" w14:textId="4872419C"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There is no unified regulation of euthanasia at the European Union level, therefore each member state decides this area independently. The </w:t>
      </w:r>
      <w:r w:rsidR="0002739E" w:rsidRPr="00CB036C">
        <w:rPr>
          <w:rFonts w:ascii="Times New Roman" w:eastAsia="Calibri" w:hAnsi="Times New Roman" w:cs="Times New Roman"/>
          <w:sz w:val="24"/>
          <w:szCs w:val="24"/>
        </w:rPr>
        <w:t>ECtHR</w:t>
      </w:r>
      <w:r w:rsidR="0002739E" w:rsidRPr="001256EA">
        <w:rPr>
          <w:rFonts w:ascii="Times New Roman" w:hAnsi="Times New Roman" w:cs="Times New Roman"/>
          <w:sz w:val="24"/>
          <w:szCs w:val="24"/>
        </w:rPr>
        <w:t xml:space="preserve"> </w:t>
      </w:r>
      <w:r w:rsidRPr="001256EA">
        <w:rPr>
          <w:rFonts w:ascii="Times New Roman" w:hAnsi="Times New Roman" w:cs="Times New Roman"/>
          <w:sz w:val="24"/>
          <w:szCs w:val="24"/>
        </w:rPr>
        <w:t xml:space="preserve">has formed a case law, which emphasizes that the right to life, enshrined in the </w:t>
      </w:r>
      <w:r w:rsidR="00600701" w:rsidRPr="00CB036C">
        <w:rPr>
          <w:rFonts w:ascii="Times New Roman" w:eastAsia="Calibri" w:hAnsi="Times New Roman" w:cs="Times New Roman"/>
          <w:sz w:val="24"/>
          <w:szCs w:val="24"/>
        </w:rPr>
        <w:t>Convention</w:t>
      </w:r>
      <w:r w:rsidRPr="001256EA">
        <w:rPr>
          <w:rFonts w:ascii="Times New Roman" w:hAnsi="Times New Roman" w:cs="Times New Roman"/>
          <w:sz w:val="24"/>
          <w:szCs w:val="24"/>
        </w:rPr>
        <w:t xml:space="preserve">, cannot be equated with the right to die, but states must ensure an appropriate balance between human dignity and the prevention of the risk of abuse. At the international level, the United Nations and World Health Organization documents focus not on the legalization of euthanasia, but on the availability of quality palliative care and the right to a dignified end of life. </w:t>
      </w:r>
    </w:p>
    <w:p w14:paraId="4299CD53" w14:textId="77777777" w:rsidR="00490646"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Other countries have chosen different models: in Canada, Colombia and some Australian states, euthanasia is legal, but its application is strictly regulated - clear procedures, requirements for confirmation of the patient's will and limits on the liability of doctors have been established. Judicial precedents show that even where euthanasia is legal, its application is limited by strict conditions: the patient's informed and repeated consent is necessary, clear medical indications are required, and the procedures are carried out only under the supervision of qualified specialists. In some cases, it has been found that patients could not actually exercise this right due to their health condition or formal obstacles, which raises questions about its actual implementation. </w:t>
      </w:r>
    </w:p>
    <w:p w14:paraId="01E400EA" w14:textId="0AA04C3F" w:rsidR="00A70645" w:rsidRPr="001256EA" w:rsidRDefault="00A70645"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All this confirms that the institution of euthanasia remains one of the most controversial and complex topics, both nationally and internationally, characterized by uneven regulation, ongoing debates over the balance of human rights, and the need to ensure effective protection against abuse. </w:t>
      </w:r>
    </w:p>
    <w:p w14:paraId="2A7EAF6C" w14:textId="227AF21B" w:rsidR="00CE5861" w:rsidRPr="001256EA" w:rsidRDefault="00CE5861" w:rsidP="00A70645">
      <w:pPr>
        <w:spacing w:line="360" w:lineRule="auto"/>
        <w:jc w:val="both"/>
        <w:rPr>
          <w:rFonts w:ascii="Times New Roman" w:hAnsi="Times New Roman" w:cs="Times New Roman"/>
          <w:sz w:val="24"/>
          <w:szCs w:val="24"/>
        </w:rPr>
      </w:pPr>
    </w:p>
    <w:p w14:paraId="61A6AFF4" w14:textId="3D3013BF" w:rsidR="005774E0" w:rsidRPr="001256EA" w:rsidRDefault="005774E0" w:rsidP="00A70645">
      <w:pPr>
        <w:spacing w:line="360" w:lineRule="auto"/>
        <w:jc w:val="both"/>
        <w:rPr>
          <w:rFonts w:ascii="Times New Roman" w:hAnsi="Times New Roman" w:cs="Times New Roman"/>
          <w:sz w:val="24"/>
          <w:szCs w:val="24"/>
        </w:rPr>
      </w:pPr>
    </w:p>
    <w:p w14:paraId="787256A2" w14:textId="5572734B" w:rsidR="005E2D34" w:rsidRPr="001256EA" w:rsidRDefault="005E2D34" w:rsidP="00A70645">
      <w:pPr>
        <w:spacing w:line="360" w:lineRule="auto"/>
        <w:jc w:val="both"/>
        <w:rPr>
          <w:rFonts w:ascii="Times New Roman" w:hAnsi="Times New Roman" w:cs="Times New Roman"/>
          <w:sz w:val="24"/>
          <w:szCs w:val="24"/>
        </w:rPr>
      </w:pPr>
    </w:p>
    <w:p w14:paraId="22BDFA8F" w14:textId="52CCCF28" w:rsidR="005E2D34" w:rsidRPr="001256EA" w:rsidRDefault="005E2D34" w:rsidP="00A70645">
      <w:pPr>
        <w:spacing w:line="360" w:lineRule="auto"/>
        <w:jc w:val="both"/>
        <w:rPr>
          <w:rFonts w:ascii="Times New Roman" w:hAnsi="Times New Roman" w:cs="Times New Roman"/>
          <w:sz w:val="24"/>
          <w:szCs w:val="24"/>
        </w:rPr>
      </w:pPr>
    </w:p>
    <w:p w14:paraId="163408C0" w14:textId="4DF1B55C" w:rsidR="005E2D34" w:rsidRPr="001256EA" w:rsidRDefault="005E2D34" w:rsidP="00A70645">
      <w:pPr>
        <w:spacing w:line="360" w:lineRule="auto"/>
        <w:jc w:val="both"/>
        <w:rPr>
          <w:rFonts w:ascii="Times New Roman" w:hAnsi="Times New Roman" w:cs="Times New Roman"/>
          <w:sz w:val="24"/>
          <w:szCs w:val="24"/>
        </w:rPr>
      </w:pPr>
    </w:p>
    <w:p w14:paraId="7F09B1E5" w14:textId="77777777" w:rsidR="005E2D34" w:rsidRPr="001256EA" w:rsidRDefault="005E2D34" w:rsidP="00A70645">
      <w:pPr>
        <w:spacing w:line="360" w:lineRule="auto"/>
        <w:jc w:val="both"/>
        <w:rPr>
          <w:rFonts w:ascii="Times New Roman" w:hAnsi="Times New Roman" w:cs="Times New Roman"/>
          <w:sz w:val="24"/>
          <w:szCs w:val="24"/>
        </w:rPr>
      </w:pPr>
    </w:p>
    <w:p w14:paraId="5890A0C9" w14:textId="2B82B104" w:rsidR="00CE5861" w:rsidRPr="001256EA" w:rsidRDefault="00E80ACA" w:rsidP="00CD2062">
      <w:pPr>
        <w:pStyle w:val="Heading1"/>
        <w:jc w:val="center"/>
        <w:rPr>
          <w:rFonts w:ascii="Times New Roman" w:eastAsia="Times New Roman" w:hAnsi="Times New Roman" w:cs="Times New Roman"/>
          <w:b/>
          <w:bCs/>
          <w:color w:val="auto"/>
          <w:sz w:val="28"/>
          <w:szCs w:val="28"/>
          <w:lang w:eastAsia="fr-FR"/>
        </w:rPr>
      </w:pPr>
      <w:r w:rsidRPr="001256EA">
        <w:rPr>
          <w:rFonts w:ascii="Times New Roman" w:eastAsia="Times New Roman" w:hAnsi="Times New Roman" w:cs="Times New Roman"/>
          <w:b/>
          <w:bCs/>
          <w:color w:val="auto"/>
          <w:sz w:val="28"/>
          <w:szCs w:val="28"/>
          <w:lang w:eastAsia="fr-FR"/>
        </w:rPr>
        <w:lastRenderedPageBreak/>
        <w:t xml:space="preserve">3. </w:t>
      </w:r>
      <w:bookmarkStart w:id="71" w:name="_Toc216374397"/>
      <w:r w:rsidR="00CE5861" w:rsidRPr="001256EA">
        <w:rPr>
          <w:rFonts w:ascii="Times New Roman" w:eastAsia="Times New Roman" w:hAnsi="Times New Roman" w:cs="Times New Roman"/>
          <w:b/>
          <w:bCs/>
          <w:color w:val="auto"/>
          <w:sz w:val="28"/>
          <w:szCs w:val="28"/>
          <w:lang w:eastAsia="fr-FR"/>
        </w:rPr>
        <w:t xml:space="preserve">EPISTEMOLOGICAL AND </w:t>
      </w:r>
      <w:r w:rsidR="00666828" w:rsidRPr="001256EA">
        <w:rPr>
          <w:rFonts w:ascii="Times New Roman" w:eastAsia="Times New Roman" w:hAnsi="Times New Roman" w:cs="Times New Roman"/>
          <w:b/>
          <w:bCs/>
          <w:color w:val="auto"/>
          <w:sz w:val="28"/>
          <w:szCs w:val="28"/>
          <w:lang w:eastAsia="fr-FR"/>
        </w:rPr>
        <w:t xml:space="preserve">EMPIRICAL </w:t>
      </w:r>
      <w:r w:rsidR="00CE5861" w:rsidRPr="001256EA">
        <w:rPr>
          <w:rFonts w:ascii="Times New Roman" w:eastAsia="Times New Roman" w:hAnsi="Times New Roman" w:cs="Times New Roman"/>
          <w:b/>
          <w:bCs/>
          <w:color w:val="auto"/>
          <w:sz w:val="28"/>
          <w:szCs w:val="28"/>
          <w:lang w:eastAsia="fr-FR"/>
        </w:rPr>
        <w:t>RESEARCH FRAMEWORK</w:t>
      </w:r>
      <w:r w:rsidR="00791D87" w:rsidRPr="001256EA">
        <w:rPr>
          <w:rFonts w:ascii="Times New Roman" w:eastAsia="Times New Roman" w:hAnsi="Times New Roman" w:cs="Times New Roman"/>
          <w:b/>
          <w:bCs/>
          <w:color w:val="auto"/>
          <w:sz w:val="28"/>
          <w:szCs w:val="28"/>
          <w:lang w:eastAsia="fr-FR"/>
        </w:rPr>
        <w:t>: THE PRACTICAL SETTLEMENT OF LEGAL REGULATION OF EUTHANASIA INSTITUTE</w:t>
      </w:r>
      <w:bookmarkEnd w:id="71"/>
    </w:p>
    <w:p w14:paraId="063D013F" w14:textId="77777777" w:rsidR="00BF416D" w:rsidRPr="001256EA" w:rsidRDefault="00BF416D" w:rsidP="00BF416D">
      <w:pPr>
        <w:rPr>
          <w:lang w:eastAsia="fr-FR"/>
        </w:rPr>
      </w:pPr>
    </w:p>
    <w:p w14:paraId="2D2A9561" w14:textId="6FD1FC03" w:rsidR="00444071" w:rsidRPr="001256EA" w:rsidRDefault="00444071" w:rsidP="00444071">
      <w:pPr>
        <w:spacing w:after="0" w:line="360" w:lineRule="auto"/>
        <w:ind w:firstLine="851"/>
        <w:jc w:val="both"/>
        <w:rPr>
          <w:rFonts w:ascii="Times New Roman" w:hAnsi="Times New Roman" w:cs="Times New Roman"/>
          <w:sz w:val="24"/>
          <w:szCs w:val="24"/>
          <w:lang w:eastAsia="fr-FR"/>
        </w:rPr>
      </w:pPr>
      <w:r w:rsidRPr="001256EA">
        <w:rPr>
          <w:rFonts w:ascii="Times New Roman" w:hAnsi="Times New Roman" w:cs="Times New Roman"/>
          <w:sz w:val="24"/>
          <w:szCs w:val="24"/>
          <w:lang w:eastAsia="fr-FR"/>
        </w:rPr>
        <w:t>The third part of the dissertation is dedicated to the disclosure of the foundations of epistemological and empirical research and the practical assessment of the legal regulation of the institution of euthanasia at the intersection of national and international contexts. Unlike the first two parts of the dissertation, which analyzed more theoretical, normative and doctrinal aspects of the institution of euthanasia, this part focuses on the logic of knowledge creation, the methodology of empirical research and the actual analysis of the functioning of legal regulation.</w:t>
      </w:r>
      <w:r w:rsidRPr="001256EA">
        <w:t xml:space="preserve"> </w:t>
      </w:r>
      <w:r w:rsidRPr="001256EA">
        <w:rPr>
          <w:rFonts w:ascii="Times New Roman" w:hAnsi="Times New Roman" w:cs="Times New Roman"/>
          <w:sz w:val="24"/>
          <w:szCs w:val="24"/>
          <w:lang w:eastAsia="fr-FR"/>
        </w:rPr>
        <w:t>This section justifies the chosen epistemological orientation of the research, revealing how knowledge about the institution of euthanasia is created and interpreted in legal science.</w:t>
      </w:r>
      <w:r w:rsidRPr="001256EA">
        <w:t xml:space="preserve"> </w:t>
      </w:r>
      <w:r w:rsidRPr="001256EA">
        <w:rPr>
          <w:rFonts w:ascii="Times New Roman" w:hAnsi="Times New Roman" w:cs="Times New Roman"/>
          <w:sz w:val="24"/>
          <w:szCs w:val="24"/>
          <w:lang w:eastAsia="fr-FR"/>
        </w:rPr>
        <w:t>The empirical field research design, including the semi-structured interview method, sampling criteria, and data collection process, is also presented.</w:t>
      </w:r>
      <w:r w:rsidRPr="001256EA">
        <w:t xml:space="preserve"> </w:t>
      </w:r>
      <w:r w:rsidRPr="001256EA">
        <w:rPr>
          <w:rFonts w:ascii="Times New Roman" w:hAnsi="Times New Roman" w:cs="Times New Roman"/>
          <w:sz w:val="24"/>
          <w:szCs w:val="24"/>
          <w:lang w:eastAsia="fr-FR"/>
        </w:rPr>
        <w:t>The essential part of this part of the dissertation consists of the presentation and analysis of the results of the empirical study.</w:t>
      </w:r>
      <w:r w:rsidRPr="001256EA">
        <w:t xml:space="preserve"> </w:t>
      </w:r>
      <w:r w:rsidRPr="001256EA">
        <w:rPr>
          <w:rFonts w:ascii="Times New Roman" w:hAnsi="Times New Roman" w:cs="Times New Roman"/>
          <w:sz w:val="24"/>
          <w:szCs w:val="24"/>
          <w:lang w:eastAsia="fr-FR"/>
        </w:rPr>
        <w:t>The third part also focuses on the relationship of the institution of euthanasia with societal interests and values, emphasizing the importance of social acceptance, trust in the legal system, and public discourse. The final section of the third part presents a comparative analysis of international and European experiences, highlighting key lessons that could be relevant to the Lithuanian context.</w:t>
      </w:r>
    </w:p>
    <w:p w14:paraId="25BF4ABD" w14:textId="77777777" w:rsidR="00444071" w:rsidRPr="001256EA" w:rsidRDefault="00444071" w:rsidP="00444071">
      <w:pPr>
        <w:spacing w:after="0" w:line="360" w:lineRule="auto"/>
        <w:ind w:firstLine="851"/>
        <w:jc w:val="both"/>
        <w:rPr>
          <w:rFonts w:ascii="Times New Roman" w:hAnsi="Times New Roman" w:cs="Times New Roman"/>
          <w:sz w:val="24"/>
          <w:szCs w:val="24"/>
          <w:lang w:eastAsia="fr-FR"/>
        </w:rPr>
      </w:pPr>
    </w:p>
    <w:p w14:paraId="3F753422" w14:textId="6E253547" w:rsidR="00CE5861" w:rsidRPr="001256EA" w:rsidRDefault="00E80ACA" w:rsidP="00E80ACA">
      <w:pPr>
        <w:pStyle w:val="Heading2"/>
        <w:numPr>
          <w:ilvl w:val="1"/>
          <w:numId w:val="44"/>
        </w:numPr>
        <w:rPr>
          <w:rFonts w:ascii="Times New Roman" w:hAnsi="Times New Roman" w:cs="Times New Roman"/>
          <w:b/>
          <w:bCs/>
          <w:color w:val="auto"/>
          <w:sz w:val="24"/>
          <w:szCs w:val="24"/>
        </w:rPr>
      </w:pPr>
      <w:bookmarkStart w:id="72" w:name="_Toc216374398"/>
      <w:r w:rsidRPr="001256EA">
        <w:rPr>
          <w:rFonts w:ascii="Times New Roman" w:hAnsi="Times New Roman" w:cs="Times New Roman"/>
          <w:b/>
          <w:bCs/>
          <w:color w:val="auto"/>
          <w:sz w:val="24"/>
          <w:szCs w:val="24"/>
        </w:rPr>
        <w:t xml:space="preserve"> </w:t>
      </w:r>
      <w:r w:rsidR="002B1BC5" w:rsidRPr="001256EA">
        <w:rPr>
          <w:rFonts w:ascii="Times New Roman" w:hAnsi="Times New Roman" w:cs="Times New Roman"/>
          <w:b/>
          <w:bCs/>
          <w:color w:val="auto"/>
          <w:sz w:val="24"/>
          <w:szCs w:val="24"/>
        </w:rPr>
        <w:t>Epistemological orientation and document-based knowledge production</w:t>
      </w:r>
      <w:bookmarkEnd w:id="72"/>
    </w:p>
    <w:p w14:paraId="70649E36" w14:textId="77777777" w:rsidR="00E80ACA" w:rsidRPr="001256EA" w:rsidRDefault="00E80ACA" w:rsidP="00D2668D">
      <w:pPr>
        <w:spacing w:after="0" w:line="360" w:lineRule="auto"/>
        <w:ind w:firstLine="851"/>
        <w:jc w:val="both"/>
        <w:rPr>
          <w:rFonts w:ascii="Times New Roman" w:hAnsi="Times New Roman" w:cs="Times New Roman"/>
          <w:sz w:val="24"/>
          <w:szCs w:val="24"/>
        </w:rPr>
      </w:pPr>
    </w:p>
    <w:p w14:paraId="40620DCF" w14:textId="2479D171"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 epistemological paradigm can be understood as a framework of thought that guides how a researcher conceives reality, formulates research questions and builds scientific reasoning</w:t>
      </w:r>
      <w:r w:rsidRPr="001256EA">
        <w:rPr>
          <w:rFonts w:ascii="Times New Roman" w:hAnsi="Times New Roman" w:cs="Times New Roman"/>
          <w:sz w:val="24"/>
          <w:szCs w:val="24"/>
          <w:vertAlign w:val="superscript"/>
        </w:rPr>
        <w:footnoteReference w:id="319"/>
      </w:r>
      <w:r w:rsidRPr="001256EA">
        <w:rPr>
          <w:rFonts w:ascii="Times New Roman" w:hAnsi="Times New Roman" w:cs="Times New Roman"/>
          <w:sz w:val="24"/>
          <w:szCs w:val="24"/>
        </w:rPr>
        <w:t>. It brings together a set of shared beliefs about the nature of knowledge and the relationship between the observer and what is being observed</w:t>
      </w:r>
      <w:r w:rsidRPr="001256EA">
        <w:rPr>
          <w:rFonts w:ascii="Times New Roman" w:hAnsi="Times New Roman" w:cs="Times New Roman"/>
          <w:sz w:val="24"/>
          <w:szCs w:val="24"/>
          <w:vertAlign w:val="superscript"/>
        </w:rPr>
        <w:footnoteReference w:id="320"/>
      </w:r>
      <w:r w:rsidRPr="001256EA">
        <w:rPr>
          <w:rFonts w:ascii="Times New Roman" w:hAnsi="Times New Roman" w:cs="Times New Roman"/>
          <w:sz w:val="24"/>
          <w:szCs w:val="24"/>
        </w:rPr>
        <w:t xml:space="preserve">. This framework is not limited to a technical choice but represents a true intellectual stance that determines how a phenomenon </w:t>
      </w:r>
      <w:r w:rsidRPr="001256EA">
        <w:rPr>
          <w:rFonts w:ascii="Times New Roman" w:hAnsi="Times New Roman" w:cs="Times New Roman"/>
          <w:sz w:val="24"/>
          <w:szCs w:val="24"/>
        </w:rPr>
        <w:lastRenderedPageBreak/>
        <w:t>is approached, the nature of the explanations expected and the way their meaning is interpreted</w:t>
      </w:r>
      <w:r w:rsidRPr="001256EA">
        <w:rPr>
          <w:rFonts w:ascii="Times New Roman" w:hAnsi="Times New Roman" w:cs="Times New Roman"/>
          <w:sz w:val="24"/>
          <w:szCs w:val="24"/>
          <w:vertAlign w:val="superscript"/>
        </w:rPr>
        <w:footnoteReference w:id="321"/>
      </w:r>
      <w:r w:rsidRPr="001256EA">
        <w:rPr>
          <w:rFonts w:ascii="Times New Roman" w:hAnsi="Times New Roman" w:cs="Times New Roman"/>
          <w:sz w:val="24"/>
          <w:szCs w:val="24"/>
        </w:rPr>
        <w:t>.</w:t>
      </w:r>
    </w:p>
    <w:p w14:paraId="0CB8A1B5" w14:textId="19C0B181"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legal sciences several paradigms coexist and offer distinct visions of law and its role in society</w:t>
      </w:r>
      <w:r w:rsidRPr="001256EA">
        <w:rPr>
          <w:rFonts w:ascii="Times New Roman" w:hAnsi="Times New Roman" w:cs="Times New Roman"/>
          <w:sz w:val="24"/>
          <w:szCs w:val="24"/>
          <w:vertAlign w:val="superscript"/>
        </w:rPr>
        <w:footnoteReference w:id="322"/>
      </w:r>
      <w:r w:rsidRPr="001256EA">
        <w:rPr>
          <w:rFonts w:ascii="Times New Roman" w:hAnsi="Times New Roman" w:cs="Times New Roman"/>
          <w:sz w:val="24"/>
          <w:szCs w:val="24"/>
        </w:rPr>
        <w:t xml:space="preserve">. The </w:t>
      </w:r>
      <w:r w:rsidR="00BF416D" w:rsidRPr="001256EA">
        <w:rPr>
          <w:rFonts w:ascii="Times New Roman" w:hAnsi="Times New Roman" w:cs="Times New Roman"/>
          <w:sz w:val="24"/>
          <w:szCs w:val="24"/>
        </w:rPr>
        <w:t>positive</w:t>
      </w:r>
      <w:r w:rsidRPr="001256EA">
        <w:rPr>
          <w:rFonts w:ascii="Times New Roman" w:hAnsi="Times New Roman" w:cs="Times New Roman"/>
          <w:sz w:val="24"/>
          <w:szCs w:val="24"/>
        </w:rPr>
        <w:t xml:space="preserve"> paradigm is based on the idea that legal reality is unique, stable and objectively measurable, seeking to explain and predict phenomena through general laws</w:t>
      </w:r>
      <w:r w:rsidRPr="001256EA">
        <w:rPr>
          <w:rFonts w:ascii="Times New Roman" w:hAnsi="Times New Roman" w:cs="Times New Roman"/>
          <w:sz w:val="24"/>
          <w:szCs w:val="24"/>
          <w:vertAlign w:val="superscript"/>
        </w:rPr>
        <w:footnoteReference w:id="323"/>
      </w:r>
      <w:r w:rsidRPr="001256EA">
        <w:rPr>
          <w:rFonts w:ascii="Times New Roman" w:hAnsi="Times New Roman" w:cs="Times New Roman"/>
          <w:sz w:val="24"/>
          <w:szCs w:val="24"/>
        </w:rPr>
        <w:t>. In contrast the constructivist paradigm sees social and legal reality as a construction arising from interactions between individuals and groups, giving rise to evolving meanings depending on context</w:t>
      </w:r>
      <w:r w:rsidRPr="001256EA">
        <w:rPr>
          <w:rFonts w:ascii="Times New Roman" w:hAnsi="Times New Roman" w:cs="Times New Roman"/>
          <w:sz w:val="24"/>
          <w:szCs w:val="24"/>
          <w:vertAlign w:val="superscript"/>
        </w:rPr>
        <w:footnoteReference w:id="324"/>
      </w:r>
      <w:r w:rsidRPr="001256EA">
        <w:rPr>
          <w:rFonts w:ascii="Times New Roman" w:hAnsi="Times New Roman" w:cs="Times New Roman"/>
          <w:sz w:val="24"/>
          <w:szCs w:val="24"/>
        </w:rPr>
        <w:t>. The interpretivist paradigm shares with constructivism the idea that reality is pluralistic and shaped by social actors, but it focuses particularly on understanding the meanings attributed to law and how these meanings are experienced by those who produce, apply or challenge them</w:t>
      </w:r>
      <w:r w:rsidRPr="001256EA">
        <w:rPr>
          <w:rFonts w:ascii="Times New Roman" w:hAnsi="Times New Roman" w:cs="Times New Roman"/>
          <w:sz w:val="24"/>
          <w:szCs w:val="24"/>
          <w:vertAlign w:val="superscript"/>
        </w:rPr>
        <w:footnoteReference w:id="325"/>
      </w:r>
      <w:r w:rsidRPr="001256EA">
        <w:rPr>
          <w:rFonts w:ascii="Times New Roman" w:hAnsi="Times New Roman" w:cs="Times New Roman"/>
          <w:sz w:val="24"/>
          <w:szCs w:val="24"/>
        </w:rPr>
        <w:t>.</w:t>
      </w:r>
    </w:p>
    <w:p w14:paraId="222058A0" w14:textId="42156E92"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This perspective is particularly relevant to the study of euthanasia law because this field is not limited to an abstract normative corpus. It materializes in practices, uses and interpretations that vary according to actors according to sociocultural and ethical contexts</w:t>
      </w:r>
      <w:r w:rsidRPr="001256EA">
        <w:rPr>
          <w:rFonts w:ascii="Times New Roman" w:hAnsi="Times New Roman" w:cs="Times New Roman"/>
          <w:sz w:val="24"/>
          <w:szCs w:val="24"/>
          <w:vertAlign w:val="superscript"/>
        </w:rPr>
        <w:footnoteReference w:id="326"/>
      </w:r>
      <w:r w:rsidRPr="001256EA">
        <w:rPr>
          <w:rFonts w:ascii="Times New Roman" w:hAnsi="Times New Roman" w:cs="Times New Roman"/>
          <w:sz w:val="24"/>
          <w:szCs w:val="24"/>
        </w:rPr>
        <w:t>. Legal norms relating to euthanasia take on concrete meaning when applied in situations marked by suffering, personal autonomy and human dignity, in interaction with specific medical and technological realities</w:t>
      </w:r>
      <w:r w:rsidRPr="001256EA">
        <w:rPr>
          <w:rFonts w:ascii="Times New Roman" w:hAnsi="Times New Roman" w:cs="Times New Roman"/>
          <w:sz w:val="24"/>
          <w:szCs w:val="24"/>
          <w:vertAlign w:val="superscript"/>
        </w:rPr>
        <w:footnoteReference w:id="327"/>
      </w:r>
      <w:r w:rsidRPr="001256EA">
        <w:rPr>
          <w:rFonts w:ascii="Times New Roman" w:hAnsi="Times New Roman" w:cs="Times New Roman"/>
          <w:sz w:val="24"/>
          <w:szCs w:val="24"/>
        </w:rPr>
        <w:t xml:space="preserve">. Choosing this paradigm makes it possible to understand not only what the legal texts prescribe but also how they are interpreted, used or challenged in national and international contexts with sometimes divergent </w:t>
      </w:r>
      <w:r w:rsidR="00BF416D" w:rsidRPr="001256EA">
        <w:rPr>
          <w:rFonts w:ascii="Times New Roman" w:hAnsi="Times New Roman" w:cs="Times New Roman"/>
          <w:sz w:val="24"/>
          <w:szCs w:val="24"/>
        </w:rPr>
        <w:t>logic</w:t>
      </w:r>
      <w:r w:rsidRPr="001256EA">
        <w:rPr>
          <w:rFonts w:ascii="Times New Roman" w:hAnsi="Times New Roman" w:cs="Times New Roman"/>
          <w:sz w:val="24"/>
          <w:szCs w:val="24"/>
        </w:rPr>
        <w:t>.</w:t>
      </w:r>
    </w:p>
    <w:p w14:paraId="4DF4AA9F" w14:textId="41368CC7"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Adopting this stance offers two advantages for research on the legal regulation of euthanasia. </w:t>
      </w:r>
      <w:r w:rsidR="00802402" w:rsidRPr="001256EA">
        <w:rPr>
          <w:rFonts w:ascii="Times New Roman" w:hAnsi="Times New Roman" w:cs="Times New Roman"/>
          <w:sz w:val="24"/>
          <w:szCs w:val="24"/>
        </w:rPr>
        <w:t>First,</w:t>
      </w:r>
      <w:r w:rsidRPr="001256EA">
        <w:rPr>
          <w:rFonts w:ascii="Times New Roman" w:hAnsi="Times New Roman" w:cs="Times New Roman"/>
          <w:sz w:val="24"/>
          <w:szCs w:val="24"/>
        </w:rPr>
        <w:t xml:space="preserve"> it facilitates the exploration of meanings attributed by different actors such as the right to die with dignity, the protection of the most vulnerable and the fear of a slide toward </w:t>
      </w:r>
      <w:r w:rsidRPr="001256EA">
        <w:rPr>
          <w:rFonts w:ascii="Times New Roman" w:hAnsi="Times New Roman" w:cs="Times New Roman"/>
          <w:sz w:val="24"/>
          <w:szCs w:val="24"/>
        </w:rPr>
        <w:lastRenderedPageBreak/>
        <w:t xml:space="preserve">abusive practices. These meanings reflect differentiated and sometimes conflicting logics of action that a strictly normative or quantitative approach cannot fully explain. Second it enables fine contextualization of legal phenomena by </w:t>
      </w:r>
      <w:r w:rsidR="00BF416D" w:rsidRPr="001256EA">
        <w:rPr>
          <w:rFonts w:ascii="Times New Roman" w:hAnsi="Times New Roman" w:cs="Times New Roman"/>
          <w:sz w:val="24"/>
          <w:szCs w:val="24"/>
        </w:rPr>
        <w:t>considering</w:t>
      </w:r>
      <w:r w:rsidRPr="001256EA">
        <w:rPr>
          <w:rFonts w:ascii="Times New Roman" w:hAnsi="Times New Roman" w:cs="Times New Roman"/>
          <w:sz w:val="24"/>
          <w:szCs w:val="24"/>
        </w:rPr>
        <w:t xml:space="preserve"> national traditions, ethical debates and the influence of international human rights protection bodies. This approach shows how legal mechanisms evolve under the influence of social, medical and cultural changes, revealing the dynamic and contingent nature of euthanasia law.</w:t>
      </w:r>
    </w:p>
    <w:p w14:paraId="55035063" w14:textId="655FF1B3" w:rsidR="00D2668D" w:rsidRPr="001256EA" w:rsidRDefault="00CE5861" w:rsidP="00E80ACA">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Thus, adopting an interpretivist paradigm in the analysis of euthanasia law means favoring a deep and contextualized understanding of norms and their implementation rather than seeking universal and abstract laws. It makes it possible to account for the plurality of meanings and legal uses while showing how social actors actively participate in the construction and evolution of these norms in a sensitive and ethically charged domain. This orientation offers a vision of legal knowledge adapted to the complexity of contemporary issues related to end of life and human dignity.</w:t>
      </w:r>
    </w:p>
    <w:p w14:paraId="103BC532" w14:textId="6484C841"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choice of an inductive reasoning approach for knowledge production is based on a logic that favors the exploration and gradual understanding of the phenomena under study</w:t>
      </w:r>
      <w:r w:rsidRPr="001256EA">
        <w:rPr>
          <w:rFonts w:ascii="Times New Roman" w:hAnsi="Times New Roman" w:cs="Times New Roman"/>
          <w:sz w:val="24"/>
          <w:szCs w:val="24"/>
          <w:vertAlign w:val="superscript"/>
        </w:rPr>
        <w:footnoteReference w:id="328"/>
      </w:r>
      <w:r w:rsidRPr="001256EA">
        <w:rPr>
          <w:rFonts w:ascii="Times New Roman" w:hAnsi="Times New Roman" w:cs="Times New Roman"/>
          <w:sz w:val="24"/>
          <w:szCs w:val="24"/>
        </w:rPr>
        <w:t>. Unlike deductive reasoning, which begins with pre-established theories or hypotheses to be tested against reality, induction relies on observation and analysis of facts to bring out concepts, explanatory patterns or theoretical frameworks</w:t>
      </w:r>
      <w:r w:rsidRPr="001256EA">
        <w:rPr>
          <w:rFonts w:ascii="Times New Roman" w:hAnsi="Times New Roman" w:cs="Times New Roman"/>
          <w:sz w:val="24"/>
          <w:szCs w:val="24"/>
          <w:vertAlign w:val="superscript"/>
        </w:rPr>
        <w:footnoteReference w:id="329"/>
      </w:r>
      <w:r w:rsidRPr="001256EA">
        <w:rPr>
          <w:rFonts w:ascii="Times New Roman" w:hAnsi="Times New Roman" w:cs="Times New Roman"/>
          <w:sz w:val="24"/>
          <w:szCs w:val="24"/>
        </w:rPr>
        <w:t>. Abduction occupies an intermediate position by proposing provisional hypotheses based on unexpected observations, which research then refines</w:t>
      </w:r>
      <w:r w:rsidRPr="001256EA">
        <w:rPr>
          <w:rFonts w:ascii="Times New Roman" w:hAnsi="Times New Roman" w:cs="Times New Roman"/>
          <w:sz w:val="24"/>
          <w:szCs w:val="24"/>
          <w:vertAlign w:val="superscript"/>
        </w:rPr>
        <w:footnoteReference w:id="330"/>
      </w:r>
      <w:r w:rsidRPr="001256EA">
        <w:rPr>
          <w:rFonts w:ascii="Times New Roman" w:hAnsi="Times New Roman" w:cs="Times New Roman"/>
          <w:sz w:val="24"/>
          <w:szCs w:val="24"/>
        </w:rPr>
        <w:t>. Induction thus makes it possible to produce knowledge grounded in the experience of actors and the complexity of situations, allowing theory to be built progressively in contact with the realities being studied</w:t>
      </w:r>
      <w:r w:rsidRPr="001256EA">
        <w:rPr>
          <w:rFonts w:ascii="Times New Roman" w:hAnsi="Times New Roman" w:cs="Times New Roman"/>
          <w:sz w:val="24"/>
          <w:szCs w:val="24"/>
          <w:vertAlign w:val="superscript"/>
        </w:rPr>
        <w:footnoteReference w:id="331"/>
      </w:r>
      <w:r w:rsidRPr="001256EA">
        <w:rPr>
          <w:rFonts w:ascii="Times New Roman" w:hAnsi="Times New Roman" w:cs="Times New Roman"/>
          <w:sz w:val="24"/>
          <w:szCs w:val="24"/>
        </w:rPr>
        <w:t>.</w:t>
      </w:r>
    </w:p>
    <w:p w14:paraId="6008D525" w14:textId="78922A69"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the field of euthanasia law this choice is fully justified. This subject is not limited to an abstract normative corpus, it is expressed in medical practices, court decisions, parliamentary deliberations and social uses that vary according to cultural, political and </w:t>
      </w:r>
      <w:r w:rsidRPr="001256EA">
        <w:rPr>
          <w:rFonts w:ascii="Times New Roman" w:hAnsi="Times New Roman" w:cs="Times New Roman"/>
          <w:sz w:val="24"/>
          <w:szCs w:val="24"/>
        </w:rPr>
        <w:lastRenderedPageBreak/>
        <w:t xml:space="preserve">institutional contexts. To structure this inductive approach and avoid unfocused exploration, a preliminary document review provides an essential frame of reference. This step, based on the systematic examination of legislative texts, national and international case law, and official or ethical reports, makes it possible to map the normative and institutional environment in which the research takes place. It provides an initial understanding of existing legal mechanisms, regulatory </w:t>
      </w:r>
      <w:r w:rsidR="00B27F0A" w:rsidRPr="001256EA">
        <w:rPr>
          <w:rFonts w:ascii="Times New Roman" w:hAnsi="Times New Roman" w:cs="Times New Roman"/>
          <w:sz w:val="24"/>
          <w:szCs w:val="24"/>
        </w:rPr>
        <w:t>logic</w:t>
      </w:r>
      <w:r w:rsidRPr="001256EA">
        <w:rPr>
          <w:rFonts w:ascii="Times New Roman" w:hAnsi="Times New Roman" w:cs="Times New Roman"/>
          <w:sz w:val="24"/>
          <w:szCs w:val="24"/>
        </w:rPr>
        <w:t xml:space="preserve"> and legal controversies, while revealing areas of uncertainty or tension likely to inform empirical analysis.</w:t>
      </w:r>
    </w:p>
    <w:p w14:paraId="4DE5DF4E" w14:textId="6539DCE8"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document review therefore acts as a structuring analytical tool rather than a simple descriptive reading of texts. It sheds light on the field of study by identifying key legal reference points such as the place of fundamental rights, the professional obligations of physicians and the legal conditions of assisted dying. It prepares the ground for a more detailed inductive exploration of actors’ practices and representations </w:t>
      </w:r>
      <w:r w:rsidR="0056414D" w:rsidRPr="001256EA">
        <w:rPr>
          <w:rFonts w:ascii="Times New Roman" w:hAnsi="Times New Roman" w:cs="Times New Roman"/>
          <w:sz w:val="24"/>
          <w:szCs w:val="24"/>
        </w:rPr>
        <w:t>to</w:t>
      </w:r>
      <w:r w:rsidRPr="001256EA">
        <w:rPr>
          <w:rFonts w:ascii="Times New Roman" w:hAnsi="Times New Roman" w:cs="Times New Roman"/>
          <w:sz w:val="24"/>
          <w:szCs w:val="24"/>
        </w:rPr>
        <w:t xml:space="preserve"> capture how these texts are interpreted and applied in concrete situations.</w:t>
      </w:r>
    </w:p>
    <w:p w14:paraId="06B49EA3" w14:textId="1307D8D3" w:rsidR="00CE5861" w:rsidRPr="001256EA" w:rsidRDefault="00CE5861" w:rsidP="00D2668D">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This articulation between an initial legal contextualization and inductive reasoning makes it possible to better identify questions that deserve empirical investigation and to orient analysis toward understanding the meanings and concrete uses of euthanasia law. Through this combination, knowledge production is embedded in an open and evolving process that respects the complexity of this sensitive subject while placing it within its normative environment. This intellectual stance contributes to generating a contextualized and nuanced understanding of the phenomena under study, consistent with the interpretive and analytical depth required by research within an interpretivist paradigm.</w:t>
      </w:r>
    </w:p>
    <w:p w14:paraId="26C27C9F" w14:textId="77777777" w:rsidR="00E80ACA" w:rsidRPr="001256EA" w:rsidRDefault="00E80ACA" w:rsidP="00D2668D">
      <w:pPr>
        <w:spacing w:after="0" w:line="360" w:lineRule="auto"/>
        <w:ind w:firstLine="851"/>
        <w:jc w:val="both"/>
        <w:rPr>
          <w:rFonts w:ascii="Times New Roman" w:hAnsi="Times New Roman" w:cs="Times New Roman"/>
          <w:sz w:val="24"/>
          <w:szCs w:val="24"/>
        </w:rPr>
      </w:pPr>
    </w:p>
    <w:p w14:paraId="269631D5" w14:textId="29F694C8" w:rsidR="00E80ACA" w:rsidRPr="001256EA" w:rsidRDefault="00E80ACA" w:rsidP="00CD2062">
      <w:pPr>
        <w:pStyle w:val="Heading2"/>
        <w:jc w:val="center"/>
        <w:rPr>
          <w:rFonts w:ascii="Times New Roman" w:hAnsi="Times New Roman" w:cs="Times New Roman"/>
          <w:b/>
          <w:bCs/>
          <w:sz w:val="24"/>
          <w:szCs w:val="24"/>
          <w:lang w:val="en-GB" w:eastAsia="fr-FR"/>
        </w:rPr>
      </w:pPr>
      <w:hyperlink w:anchor="_Toc216374401" w:history="1">
        <w:r w:rsidRPr="001256EA">
          <w:rPr>
            <w:rStyle w:val="Hyperlink"/>
            <w:rFonts w:ascii="Times New Roman" w:hAnsi="Times New Roman" w:cs="Times New Roman"/>
            <w:b/>
            <w:bCs/>
            <w:color w:val="000000" w:themeColor="text1"/>
            <w:sz w:val="24"/>
            <w:szCs w:val="24"/>
            <w:u w:val="none"/>
          </w:rPr>
          <w:t>3.2.</w:t>
        </w:r>
        <w:r w:rsidRPr="001256EA">
          <w:rPr>
            <w:rFonts w:ascii="Times New Roman" w:hAnsi="Times New Roman" w:cs="Times New Roman"/>
            <w:b/>
            <w:bCs/>
            <w:color w:val="000000" w:themeColor="text1"/>
            <w:sz w:val="24"/>
            <w:szCs w:val="24"/>
            <w:lang w:val="en-GB" w:eastAsia="fr-FR"/>
          </w:rPr>
          <w:tab/>
        </w:r>
        <w:r w:rsidRPr="001256EA">
          <w:rPr>
            <w:rStyle w:val="Hyperlink"/>
            <w:rFonts w:ascii="Times New Roman" w:hAnsi="Times New Roman" w:cs="Times New Roman"/>
            <w:b/>
            <w:bCs/>
            <w:color w:val="000000" w:themeColor="text1"/>
            <w:sz w:val="24"/>
            <w:szCs w:val="24"/>
            <w:u w:val="none"/>
          </w:rPr>
          <w:t xml:space="preserve">Empirical fieldwork, ethical considerations, and </w:t>
        </w:r>
        <w:r w:rsidR="008128CC" w:rsidRPr="001256EA">
          <w:rPr>
            <w:rStyle w:val="Hyperlink"/>
            <w:rFonts w:ascii="Times New Roman" w:hAnsi="Times New Roman" w:cs="Times New Roman"/>
            <w:b/>
            <w:bCs/>
            <w:color w:val="000000" w:themeColor="text1"/>
            <w:sz w:val="24"/>
            <w:szCs w:val="24"/>
            <w:u w:val="none"/>
          </w:rPr>
          <w:t>results</w:t>
        </w:r>
        <w:r w:rsidRPr="001256EA">
          <w:rPr>
            <w:rStyle w:val="Hyperlink"/>
            <w:rFonts w:ascii="Times New Roman" w:hAnsi="Times New Roman" w:cs="Times New Roman"/>
            <w:b/>
            <w:bCs/>
            <w:color w:val="000000" w:themeColor="text1"/>
            <w:sz w:val="24"/>
            <w:szCs w:val="24"/>
            <w:u w:val="none"/>
          </w:rPr>
          <w:t xml:space="preserve"> of the legal regulation of euthanasia</w:t>
        </w:r>
      </w:hyperlink>
    </w:p>
    <w:p w14:paraId="7041C7AD" w14:textId="77777777" w:rsidR="00E80ACA" w:rsidRPr="001256EA" w:rsidRDefault="00E80ACA" w:rsidP="00D2668D">
      <w:pPr>
        <w:spacing w:after="0" w:line="360" w:lineRule="auto"/>
        <w:ind w:firstLine="851"/>
        <w:jc w:val="both"/>
        <w:rPr>
          <w:rFonts w:ascii="Times New Roman" w:hAnsi="Times New Roman" w:cs="Times New Roman"/>
          <w:sz w:val="24"/>
          <w:szCs w:val="24"/>
          <w:lang w:val="en-GB"/>
        </w:rPr>
      </w:pPr>
    </w:p>
    <w:p w14:paraId="797AFEBA" w14:textId="2F7EF8B7" w:rsidR="00CE5861" w:rsidRPr="001256EA" w:rsidRDefault="00CE5861" w:rsidP="00915C72">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choice of semi structured interviews as a data collection tool follows a logic aimed at a deep understanding of practices and representations related to the legal regulation of euthanasia. This tool is characterized by a flexible structure built around an interview guide that directs the discussion while leaving participants free to express their perceptions, experiences and interpretations</w:t>
      </w:r>
      <w:r w:rsidRPr="001256EA">
        <w:rPr>
          <w:rFonts w:ascii="Times New Roman" w:hAnsi="Times New Roman" w:cs="Times New Roman"/>
          <w:sz w:val="24"/>
          <w:szCs w:val="24"/>
          <w:vertAlign w:val="superscript"/>
        </w:rPr>
        <w:footnoteReference w:id="332"/>
      </w:r>
      <w:r w:rsidRPr="001256EA">
        <w:rPr>
          <w:rFonts w:ascii="Times New Roman" w:hAnsi="Times New Roman" w:cs="Times New Roman"/>
          <w:sz w:val="24"/>
          <w:szCs w:val="24"/>
        </w:rPr>
        <w:t xml:space="preserve">. This flexibility makes it possible to balance the thematic orientation needed for research coherence with the spontaneity of responses, encouraging the emergence </w:t>
      </w:r>
      <w:r w:rsidRPr="00915C72">
        <w:rPr>
          <w:rFonts w:ascii="Times New Roman" w:hAnsi="Times New Roman" w:cs="Times New Roman"/>
          <w:sz w:val="24"/>
          <w:szCs w:val="24"/>
        </w:rPr>
        <w:lastRenderedPageBreak/>
        <w:t>of unexpected elements rich in meaning.</w:t>
      </w:r>
      <w:r w:rsidR="00915C72" w:rsidRPr="00915C72">
        <w:rPr>
          <w:rFonts w:ascii="Times New Roman" w:hAnsi="Times New Roman" w:cs="Times New Roman"/>
          <w:sz w:val="24"/>
          <w:szCs w:val="24"/>
        </w:rPr>
        <w:t xml:space="preserve"> </w:t>
      </w:r>
      <w:r w:rsidR="00915C72" w:rsidRPr="00CB036C">
        <w:rPr>
          <w:rFonts w:ascii="Times New Roman" w:hAnsi="Times New Roman" w:cs="Times New Roman"/>
          <w:sz w:val="24"/>
          <w:szCs w:val="24"/>
        </w:rPr>
        <w:t>Semi-structured interviews are particularly suitable for research on the euthanasia institute due to their ability to combine conceptual focus with empirical sensitivity. Euthanasia as a legal and ethical phenomenon is characterized by not only normative but also experiential multi-</w:t>
      </w:r>
      <w:proofErr w:type="spellStart"/>
      <w:r w:rsidR="00915C72" w:rsidRPr="00CB036C">
        <w:rPr>
          <w:rFonts w:ascii="Times New Roman" w:hAnsi="Times New Roman" w:cs="Times New Roman"/>
          <w:sz w:val="24"/>
          <w:szCs w:val="24"/>
        </w:rPr>
        <w:t>layeredness</w:t>
      </w:r>
      <w:proofErr w:type="spellEnd"/>
      <w:r w:rsidR="00915C72" w:rsidRPr="00CB036C">
        <w:rPr>
          <w:rFonts w:ascii="Times New Roman" w:hAnsi="Times New Roman" w:cs="Times New Roman"/>
          <w:sz w:val="24"/>
          <w:szCs w:val="24"/>
        </w:rPr>
        <w:t>, therefore standardized surveys often do not reveal decision-making motives, professional dilemmas or implicit value judgments</w:t>
      </w:r>
      <w:r w:rsidR="00915C72" w:rsidRPr="00CB036C">
        <w:rPr>
          <w:rStyle w:val="FootnoteReference"/>
          <w:rFonts w:ascii="Times New Roman" w:hAnsi="Times New Roman" w:cs="Times New Roman"/>
          <w:sz w:val="24"/>
          <w:szCs w:val="24"/>
        </w:rPr>
        <w:footnoteReference w:id="333"/>
      </w:r>
      <w:r w:rsidR="00915C72" w:rsidRPr="00CB036C">
        <w:rPr>
          <w:rFonts w:ascii="Times New Roman" w:hAnsi="Times New Roman" w:cs="Times New Roman"/>
          <w:sz w:val="24"/>
          <w:szCs w:val="24"/>
        </w:rPr>
        <w:t>. This method allows for structured research on predefined topics (e.g., the limits of autonomy, perceptions of medical responsibility), while providing space for respondents to articulate contextual interpretations that can reveal “gray areas” in the application of the law. This is particularly important when analyzing the gap between formal regulation and real practice, which is often decisive in the field of euthanasia.</w:t>
      </w:r>
      <w:r w:rsidR="00915C72" w:rsidRPr="00CB036C">
        <w:rPr>
          <w:rStyle w:val="FootnoteReference"/>
          <w:rFonts w:ascii="Times New Roman" w:hAnsi="Times New Roman" w:cs="Times New Roman"/>
          <w:sz w:val="24"/>
          <w:szCs w:val="24"/>
        </w:rPr>
        <w:footnoteReference w:id="334"/>
      </w:r>
    </w:p>
    <w:p w14:paraId="7E8B24B8" w14:textId="410FFD5B"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a sensitive legal context where practices and interpretations of norms may differ depending on actors and situations, semi structured interviews offer privileged access to the complexity of reasoning and </w:t>
      </w:r>
      <w:r w:rsidR="0056414D" w:rsidRPr="001256EA">
        <w:rPr>
          <w:rFonts w:ascii="Times New Roman" w:hAnsi="Times New Roman" w:cs="Times New Roman"/>
          <w:sz w:val="24"/>
          <w:szCs w:val="24"/>
        </w:rPr>
        <w:t>logic</w:t>
      </w:r>
      <w:r w:rsidRPr="001256EA">
        <w:rPr>
          <w:rFonts w:ascii="Times New Roman" w:hAnsi="Times New Roman" w:cs="Times New Roman"/>
          <w:sz w:val="24"/>
          <w:szCs w:val="24"/>
        </w:rPr>
        <w:t xml:space="preserve"> of action. They make it possible to go beyond a strictly normative reading of law to capture how texts on euthanasia are understood, used or sometimes contested in their concrete application. This method is particularly suitable for legal studies because it highlights the lived dimension of law, showing how abstract principles such as autonomy, dignity and protection of vulnerable </w:t>
      </w:r>
      <w:r w:rsidR="00CD2062" w:rsidRPr="001256EA">
        <w:rPr>
          <w:rFonts w:ascii="Times New Roman" w:hAnsi="Times New Roman" w:cs="Times New Roman"/>
          <w:sz w:val="24"/>
          <w:szCs w:val="24"/>
        </w:rPr>
        <w:t>people</w:t>
      </w:r>
      <w:r w:rsidRPr="001256EA">
        <w:rPr>
          <w:rFonts w:ascii="Times New Roman" w:hAnsi="Times New Roman" w:cs="Times New Roman"/>
          <w:sz w:val="24"/>
          <w:szCs w:val="24"/>
        </w:rPr>
        <w:t xml:space="preserve"> are translated into institutional and professional practices.</w:t>
      </w:r>
    </w:p>
    <w:p w14:paraId="3B0CB07D" w14:textId="528DE82F"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In addition, this type of interview facilitates the exploration of ethically or emotionally sensitive issues by creating an interactive exchange framework that encourages reflexivity among participants and the expression of nuanced views. This quality is essential in the study of euthanasia law, where end of life issues often trigger divergent and sometimes conflicting positions. The questions prepared for fieldwork were as </w:t>
      </w:r>
      <w:r w:rsidR="00E3103F" w:rsidRPr="001256EA">
        <w:rPr>
          <w:rFonts w:ascii="Times New Roman" w:hAnsi="Times New Roman" w:cs="Times New Roman"/>
          <w:sz w:val="24"/>
          <w:szCs w:val="24"/>
        </w:rPr>
        <w:t>follows:</w:t>
      </w:r>
      <w:r w:rsidR="00444071" w:rsidRPr="001256EA">
        <w:rPr>
          <w:rFonts w:ascii="Times New Roman" w:hAnsi="Times New Roman" w:cs="Times New Roman"/>
          <w:sz w:val="24"/>
          <w:szCs w:val="24"/>
        </w:rPr>
        <w:t xml:space="preserve"> </w:t>
      </w:r>
    </w:p>
    <w:p w14:paraId="155C0302" w14:textId="2A79CD2B" w:rsidR="005358C9" w:rsidRPr="001256EA" w:rsidRDefault="005358C9" w:rsidP="005358C9">
      <w:pPr>
        <w:spacing w:after="0" w:line="360" w:lineRule="auto"/>
        <w:jc w:val="both"/>
        <w:rPr>
          <w:rFonts w:ascii="Times New Roman" w:hAnsi="Times New Roman" w:cs="Times New Roman"/>
          <w:b/>
          <w:bCs/>
          <w:sz w:val="24"/>
          <w:szCs w:val="24"/>
        </w:rPr>
      </w:pPr>
      <w:r w:rsidRPr="001256EA">
        <w:rPr>
          <w:rFonts w:ascii="Times New Roman" w:hAnsi="Times New Roman" w:cs="Times New Roman"/>
          <w:b/>
          <w:bCs/>
          <w:sz w:val="24"/>
          <w:szCs w:val="24"/>
        </w:rPr>
        <w:t xml:space="preserve">Table </w:t>
      </w:r>
      <w:r w:rsidR="00CD2062" w:rsidRPr="001256EA">
        <w:rPr>
          <w:rFonts w:ascii="Times New Roman" w:hAnsi="Times New Roman" w:cs="Times New Roman"/>
          <w:b/>
          <w:bCs/>
          <w:sz w:val="24"/>
          <w:szCs w:val="24"/>
        </w:rPr>
        <w:t xml:space="preserve">4. </w:t>
      </w:r>
      <w:r w:rsidR="00CD2062" w:rsidRPr="001256EA">
        <w:rPr>
          <w:rFonts w:ascii="Times New Roman" w:hAnsi="Times New Roman" w:cs="Times New Roman"/>
          <w:sz w:val="24"/>
          <w:szCs w:val="24"/>
        </w:rPr>
        <w:t>Research Questions (compiled by the author based on research)</w:t>
      </w:r>
    </w:p>
    <w:tbl>
      <w:tblPr>
        <w:tblStyle w:val="TableGrid"/>
        <w:tblW w:w="0" w:type="auto"/>
        <w:tblLook w:val="04A0" w:firstRow="1" w:lastRow="0" w:firstColumn="1" w:lastColumn="0" w:noHBand="0" w:noVBand="1"/>
      </w:tblPr>
      <w:tblGrid>
        <w:gridCol w:w="1838"/>
        <w:gridCol w:w="7224"/>
      </w:tblGrid>
      <w:tr w:rsidR="005358C9" w:rsidRPr="001256EA" w14:paraId="0404C0B8" w14:textId="77777777" w:rsidTr="005358C9">
        <w:tc>
          <w:tcPr>
            <w:tcW w:w="1838" w:type="dxa"/>
          </w:tcPr>
          <w:p w14:paraId="73E972EA" w14:textId="42C21029" w:rsidR="005358C9" w:rsidRPr="001256EA" w:rsidRDefault="005358C9" w:rsidP="005358C9">
            <w:pPr>
              <w:spacing w:line="360" w:lineRule="auto"/>
              <w:jc w:val="both"/>
              <w:rPr>
                <w:rFonts w:ascii="Times New Roman" w:hAnsi="Times New Roman" w:cs="Times New Roman"/>
                <w:b/>
                <w:bCs/>
                <w:sz w:val="24"/>
                <w:szCs w:val="24"/>
              </w:rPr>
            </w:pPr>
            <w:r w:rsidRPr="001256EA">
              <w:rPr>
                <w:rFonts w:ascii="Times New Roman" w:hAnsi="Times New Roman" w:cs="Times New Roman"/>
                <w:b/>
                <w:bCs/>
                <w:sz w:val="24"/>
                <w:szCs w:val="24"/>
              </w:rPr>
              <w:t>Question No.</w:t>
            </w:r>
          </w:p>
        </w:tc>
        <w:tc>
          <w:tcPr>
            <w:tcW w:w="7224" w:type="dxa"/>
          </w:tcPr>
          <w:p w14:paraId="5DEA63D5" w14:textId="432BC1B5" w:rsidR="005358C9" w:rsidRPr="001256EA" w:rsidRDefault="005358C9" w:rsidP="005358C9">
            <w:pPr>
              <w:spacing w:line="360" w:lineRule="auto"/>
              <w:jc w:val="both"/>
              <w:rPr>
                <w:rFonts w:ascii="Times New Roman" w:hAnsi="Times New Roman" w:cs="Times New Roman"/>
                <w:b/>
                <w:bCs/>
                <w:sz w:val="24"/>
                <w:szCs w:val="24"/>
              </w:rPr>
            </w:pPr>
            <w:r w:rsidRPr="001256EA">
              <w:rPr>
                <w:rFonts w:ascii="Times New Roman" w:hAnsi="Times New Roman" w:cs="Times New Roman"/>
                <w:b/>
                <w:bCs/>
                <w:sz w:val="24"/>
                <w:szCs w:val="24"/>
              </w:rPr>
              <w:t>Question</w:t>
            </w:r>
          </w:p>
        </w:tc>
      </w:tr>
      <w:tr w:rsidR="005358C9" w:rsidRPr="001256EA" w14:paraId="255B74DD" w14:textId="77777777" w:rsidTr="005358C9">
        <w:tc>
          <w:tcPr>
            <w:tcW w:w="1838" w:type="dxa"/>
          </w:tcPr>
          <w:p w14:paraId="4561FA42" w14:textId="0FF19FCE"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1</w:t>
            </w:r>
          </w:p>
        </w:tc>
        <w:tc>
          <w:tcPr>
            <w:tcW w:w="7224" w:type="dxa"/>
          </w:tcPr>
          <w:p w14:paraId="5ACA7E48" w14:textId="2E82F8D6"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Does the international legal regulation of the euthanasia institute protect the patient's rights and safety? Is there a need for the legalization of such an institute in Lithuania?</w:t>
            </w:r>
          </w:p>
        </w:tc>
      </w:tr>
      <w:tr w:rsidR="005358C9" w:rsidRPr="001256EA" w14:paraId="2B2BF2FC" w14:textId="77777777" w:rsidTr="005358C9">
        <w:tc>
          <w:tcPr>
            <w:tcW w:w="1838" w:type="dxa"/>
          </w:tcPr>
          <w:p w14:paraId="409EFA8E" w14:textId="0A1CD672"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lastRenderedPageBreak/>
              <w:t>Question 2</w:t>
            </w:r>
          </w:p>
        </w:tc>
        <w:tc>
          <w:tcPr>
            <w:tcW w:w="7224" w:type="dxa"/>
          </w:tcPr>
          <w:p w14:paraId="2DFF033C" w14:textId="490DE46E"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Does the essence and legal regulation of the euthanasia institute meet ethical and moral standards?</w:t>
            </w:r>
          </w:p>
        </w:tc>
      </w:tr>
      <w:tr w:rsidR="005358C9" w:rsidRPr="001256EA" w14:paraId="141B688C" w14:textId="77777777" w:rsidTr="005358C9">
        <w:tc>
          <w:tcPr>
            <w:tcW w:w="1838" w:type="dxa"/>
          </w:tcPr>
          <w:p w14:paraId="50156D63" w14:textId="42E006B1"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3</w:t>
            </w:r>
          </w:p>
        </w:tc>
        <w:tc>
          <w:tcPr>
            <w:tcW w:w="7224" w:type="dxa"/>
          </w:tcPr>
          <w:p w14:paraId="61123F83" w14:textId="65AAF0CE"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How to ensure that the euthanasia institute is legally regulated and controlled?</w:t>
            </w:r>
          </w:p>
        </w:tc>
      </w:tr>
      <w:tr w:rsidR="005358C9" w:rsidRPr="001256EA" w14:paraId="56644F1F" w14:textId="77777777" w:rsidTr="005358C9">
        <w:tc>
          <w:tcPr>
            <w:tcW w:w="1838" w:type="dxa"/>
          </w:tcPr>
          <w:p w14:paraId="7A86822C" w14:textId="3348B1DA"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4</w:t>
            </w:r>
          </w:p>
        </w:tc>
        <w:tc>
          <w:tcPr>
            <w:tcW w:w="7224" w:type="dxa"/>
          </w:tcPr>
          <w:p w14:paraId="153CBE7C" w14:textId="2D5C5DCD"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How to avoid possible abuse in the activities of the euthanasia institute?</w:t>
            </w:r>
          </w:p>
        </w:tc>
      </w:tr>
      <w:tr w:rsidR="005358C9" w:rsidRPr="001256EA" w14:paraId="73A329CB" w14:textId="77777777" w:rsidTr="005358C9">
        <w:tc>
          <w:tcPr>
            <w:tcW w:w="1838" w:type="dxa"/>
          </w:tcPr>
          <w:p w14:paraId="4FF3EF98" w14:textId="380A4C7B"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5</w:t>
            </w:r>
          </w:p>
        </w:tc>
        <w:tc>
          <w:tcPr>
            <w:tcW w:w="7224" w:type="dxa"/>
          </w:tcPr>
          <w:p w14:paraId="5C3B8D28" w14:textId="26C5A45C"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Does the legal regulation of the euthanasia institute include sufficient information and consent of the patient and do not violate the rights and legitimate interests of the individual?</w:t>
            </w:r>
          </w:p>
        </w:tc>
      </w:tr>
      <w:tr w:rsidR="005358C9" w:rsidRPr="001256EA" w14:paraId="66E7C8ED" w14:textId="77777777" w:rsidTr="005358C9">
        <w:tc>
          <w:tcPr>
            <w:tcW w:w="1838" w:type="dxa"/>
          </w:tcPr>
          <w:p w14:paraId="1C282BFF" w14:textId="2426C734"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6</w:t>
            </w:r>
          </w:p>
        </w:tc>
        <w:tc>
          <w:tcPr>
            <w:tcW w:w="7224" w:type="dxa"/>
          </w:tcPr>
          <w:p w14:paraId="4C2C9F4A" w14:textId="2B609D7E"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How to ensure that the euthanasia institute meets the interests and values of society?</w:t>
            </w:r>
          </w:p>
        </w:tc>
      </w:tr>
      <w:tr w:rsidR="005358C9" w:rsidRPr="001256EA" w14:paraId="7E4FF5D6" w14:textId="77777777" w:rsidTr="005358C9">
        <w:tc>
          <w:tcPr>
            <w:tcW w:w="1838" w:type="dxa"/>
          </w:tcPr>
          <w:p w14:paraId="613C3B51" w14:textId="51457DD0"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sz w:val="24"/>
                <w:szCs w:val="24"/>
              </w:rPr>
              <w:t>Question 7</w:t>
            </w:r>
          </w:p>
        </w:tc>
        <w:tc>
          <w:tcPr>
            <w:tcW w:w="7224" w:type="dxa"/>
          </w:tcPr>
          <w:p w14:paraId="5EBC7135" w14:textId="2564F573" w:rsidR="005358C9" w:rsidRPr="001256EA" w:rsidRDefault="005358C9" w:rsidP="005358C9">
            <w:pPr>
              <w:spacing w:line="360" w:lineRule="auto"/>
              <w:jc w:val="both"/>
              <w:rPr>
                <w:rFonts w:ascii="Times New Roman" w:hAnsi="Times New Roman" w:cs="Times New Roman"/>
                <w:sz w:val="24"/>
                <w:szCs w:val="24"/>
              </w:rPr>
            </w:pPr>
            <w:r w:rsidRPr="001256EA">
              <w:rPr>
                <w:rFonts w:ascii="Times New Roman" w:hAnsi="Times New Roman" w:cs="Times New Roman"/>
                <w:i/>
                <w:iCs/>
                <w:sz w:val="24"/>
                <w:szCs w:val="24"/>
              </w:rPr>
              <w:t>What should be the responsibility for the illegal activity or abuse of the euthanasia institute?</w:t>
            </w:r>
            <w:r w:rsidRPr="001256EA">
              <w:rPr>
                <w:rFonts w:ascii="Times New Roman" w:hAnsi="Times New Roman" w:cs="Times New Roman"/>
                <w:sz w:val="24"/>
                <w:szCs w:val="24"/>
              </w:rPr>
              <w:tab/>
            </w:r>
          </w:p>
        </w:tc>
      </w:tr>
    </w:tbl>
    <w:p w14:paraId="2B6F70F0" w14:textId="2A4DE3C4" w:rsidR="00AD6895" w:rsidRPr="001256EA" w:rsidRDefault="00CE5861" w:rsidP="00E80ACA">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This approach is also consistent with an interpretivist paradigm, which considers knowledge as situated and co constructed between </w:t>
      </w:r>
      <w:r w:rsidR="0056414D" w:rsidRPr="001256EA">
        <w:rPr>
          <w:rFonts w:ascii="Times New Roman" w:hAnsi="Times New Roman" w:cs="Times New Roman"/>
          <w:sz w:val="24"/>
          <w:szCs w:val="24"/>
        </w:rPr>
        <w:t>researchers</w:t>
      </w:r>
      <w:r w:rsidRPr="001256EA">
        <w:rPr>
          <w:rFonts w:ascii="Times New Roman" w:hAnsi="Times New Roman" w:cs="Times New Roman"/>
          <w:sz w:val="24"/>
          <w:szCs w:val="24"/>
        </w:rPr>
        <w:t xml:space="preserve"> and participants and values the interpretation of meanings they attribute to norms and their implementation. Semi structured interviews establish a dialogical relationship in which the interviewer supports participants in expressing and interpreting their professional or personal experience of euthanasia law without imposing a rigid questioning framework. This methodological choice is therefore relevant for producing contextualized understanding anchored in the lived reality of legal and medical actors and adapted to the </w:t>
      </w:r>
      <w:r w:rsidR="00E80ACA" w:rsidRPr="001256EA">
        <w:rPr>
          <w:rFonts w:ascii="Times New Roman" w:hAnsi="Times New Roman" w:cs="Times New Roman"/>
          <w:sz w:val="24"/>
          <w:szCs w:val="24"/>
        </w:rPr>
        <w:t>exploration</w:t>
      </w:r>
      <w:r w:rsidRPr="001256EA">
        <w:rPr>
          <w:rFonts w:ascii="Times New Roman" w:hAnsi="Times New Roman" w:cs="Times New Roman"/>
          <w:sz w:val="24"/>
          <w:szCs w:val="24"/>
        </w:rPr>
        <w:t xml:space="preserve"> and interpretive objective pursued by the research. </w:t>
      </w:r>
    </w:p>
    <w:p w14:paraId="37EF17C5" w14:textId="5FF7406D"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epistemological and methodological orientation of this research, rooted in an interpretivist paradigm and inductive reasoning, requires a sampling strategy that prioritizes conceptual depth, contextual sensitivity and analytical richness rather than statistical representativeness. In qualitative research, particularly in the study of law, the goal is not to generalize to an entire population but to reveal the meanings, logics of action and interpretations of actors who directly shape and experience the phenomenon under study.</w:t>
      </w:r>
    </w:p>
    <w:p w14:paraId="6A6FB528" w14:textId="0373BD59"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Several strategies are possible in this framework. Purposive sampling makes it possible to select participants based on predefined relevance criteria to ensure that all individuals selected are directly linked to the research issue</w:t>
      </w:r>
      <w:r w:rsidRPr="001256EA">
        <w:rPr>
          <w:rFonts w:ascii="Times New Roman" w:hAnsi="Times New Roman" w:cs="Times New Roman"/>
          <w:sz w:val="24"/>
          <w:szCs w:val="24"/>
          <w:vertAlign w:val="superscript"/>
        </w:rPr>
        <w:footnoteReference w:id="335"/>
      </w:r>
      <w:r w:rsidRPr="001256EA">
        <w:rPr>
          <w:rFonts w:ascii="Times New Roman" w:hAnsi="Times New Roman" w:cs="Times New Roman"/>
          <w:sz w:val="24"/>
          <w:szCs w:val="24"/>
        </w:rPr>
        <w:t xml:space="preserve">. Snowball sampling gradually expands the corpus through successive recommendations, useful when certain key actors are difficult to </w:t>
      </w:r>
      <w:r w:rsidRPr="001256EA">
        <w:rPr>
          <w:rFonts w:ascii="Times New Roman" w:hAnsi="Times New Roman" w:cs="Times New Roman"/>
          <w:sz w:val="24"/>
          <w:szCs w:val="24"/>
        </w:rPr>
        <w:lastRenderedPageBreak/>
        <w:t>identify</w:t>
      </w:r>
      <w:r w:rsidRPr="001256EA">
        <w:rPr>
          <w:rFonts w:ascii="Times New Roman" w:hAnsi="Times New Roman" w:cs="Times New Roman"/>
          <w:sz w:val="24"/>
          <w:szCs w:val="24"/>
          <w:vertAlign w:val="superscript"/>
        </w:rPr>
        <w:footnoteReference w:id="336"/>
      </w:r>
      <w:r w:rsidRPr="001256EA">
        <w:rPr>
          <w:rFonts w:ascii="Times New Roman" w:hAnsi="Times New Roman" w:cs="Times New Roman"/>
          <w:sz w:val="24"/>
          <w:szCs w:val="24"/>
        </w:rPr>
        <w:t>. Theoretical sampling adjusts the composition of the sample as new categories emerge during analysis</w:t>
      </w:r>
      <w:r w:rsidRPr="001256EA">
        <w:rPr>
          <w:rFonts w:ascii="Times New Roman" w:hAnsi="Times New Roman" w:cs="Times New Roman"/>
          <w:sz w:val="24"/>
          <w:szCs w:val="24"/>
          <w:vertAlign w:val="superscript"/>
        </w:rPr>
        <w:footnoteReference w:id="337"/>
      </w:r>
      <w:r w:rsidRPr="001256EA">
        <w:rPr>
          <w:rFonts w:ascii="Times New Roman" w:hAnsi="Times New Roman" w:cs="Times New Roman"/>
          <w:sz w:val="24"/>
          <w:szCs w:val="24"/>
        </w:rPr>
        <w:t xml:space="preserve">. Expert sampling specifically targets individuals recognized for their specialized knowledge and authority </w:t>
      </w:r>
      <w:r w:rsidR="0056414D" w:rsidRPr="001256EA">
        <w:rPr>
          <w:rFonts w:ascii="Times New Roman" w:hAnsi="Times New Roman" w:cs="Times New Roman"/>
          <w:sz w:val="24"/>
          <w:szCs w:val="24"/>
        </w:rPr>
        <w:t>in each</w:t>
      </w:r>
      <w:r w:rsidRPr="001256EA">
        <w:rPr>
          <w:rFonts w:ascii="Times New Roman" w:hAnsi="Times New Roman" w:cs="Times New Roman"/>
          <w:sz w:val="24"/>
          <w:szCs w:val="24"/>
        </w:rPr>
        <w:t xml:space="preserve"> field, ensuring highly qualified input for the study</w:t>
      </w:r>
      <w:r w:rsidRPr="001256EA">
        <w:rPr>
          <w:rFonts w:ascii="Times New Roman" w:hAnsi="Times New Roman" w:cs="Times New Roman"/>
          <w:sz w:val="24"/>
          <w:szCs w:val="24"/>
          <w:vertAlign w:val="superscript"/>
        </w:rPr>
        <w:footnoteReference w:id="338"/>
      </w:r>
      <w:r w:rsidRPr="001256EA">
        <w:rPr>
          <w:rFonts w:ascii="Times New Roman" w:hAnsi="Times New Roman" w:cs="Times New Roman"/>
          <w:sz w:val="24"/>
          <w:szCs w:val="24"/>
        </w:rPr>
        <w:t>.</w:t>
      </w:r>
    </w:p>
    <w:p w14:paraId="314B5B2E" w14:textId="6F569F7C" w:rsidR="00CE5861" w:rsidRPr="001256EA" w:rsidRDefault="00CE5861" w:rsidP="00592CAB">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For this research, the chosen strategy is expert purposive sampling</w:t>
      </w:r>
      <w:r w:rsidR="0069630A" w:rsidRPr="001256EA">
        <w:rPr>
          <w:rFonts w:ascii="Times New Roman" w:hAnsi="Times New Roman" w:cs="Times New Roman"/>
          <w:sz w:val="24"/>
          <w:szCs w:val="24"/>
        </w:rPr>
        <w:t xml:space="preserve"> as </w:t>
      </w:r>
      <w:r w:rsidR="005E2D34" w:rsidRPr="001256EA">
        <w:rPr>
          <w:rFonts w:ascii="Times New Roman" w:hAnsi="Times New Roman" w:cs="Times New Roman"/>
          <w:sz w:val="24"/>
          <w:szCs w:val="24"/>
        </w:rPr>
        <w:t xml:space="preserve">appendix </w:t>
      </w:r>
      <w:r w:rsidR="004A4625" w:rsidRPr="001256EA">
        <w:rPr>
          <w:rFonts w:ascii="Times New Roman" w:hAnsi="Times New Roman" w:cs="Times New Roman"/>
          <w:sz w:val="24"/>
          <w:szCs w:val="24"/>
        </w:rPr>
        <w:t>5</w:t>
      </w:r>
      <w:r w:rsidR="0069630A" w:rsidRPr="001256EA">
        <w:rPr>
          <w:rFonts w:ascii="Times New Roman" w:hAnsi="Times New Roman" w:cs="Times New Roman"/>
          <w:sz w:val="24"/>
          <w:szCs w:val="24"/>
        </w:rPr>
        <w:t xml:space="preserve"> shows</w:t>
      </w:r>
      <w:r w:rsidRPr="001256EA">
        <w:rPr>
          <w:rFonts w:ascii="Times New Roman" w:hAnsi="Times New Roman" w:cs="Times New Roman"/>
          <w:sz w:val="24"/>
          <w:szCs w:val="24"/>
        </w:rPr>
        <w:t>. This choice is justified by the complexity and multidimensional nature of euthanasia regulation, which involves legal, medical, ethical and human rights issues. Selecting actors with demonstrated expertise, institutional responsibilities and practical experience provides access to informed and nuanced viewpoints that are essential for understanding all legal and ethical dimensions of the subject.</w:t>
      </w:r>
    </w:p>
    <w:p w14:paraId="32F5B1D4" w14:textId="77777777" w:rsidR="00CE5861" w:rsidRPr="001256EA" w:rsidRDefault="00CE5861" w:rsidP="00E3103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composition of the sample follows a logic of institutional and thematic diversity, integrating representatives of national authorities, European agencies and international organizations as well as specialists in health rights and fundamental rights. This diversity is deliberate and methodologically constructed because it allows an understanding of how euthanasia is interpreted at different levels of governance, how norms are implemented and how ethical dilemmas are translated into practice.</w:t>
      </w:r>
    </w:p>
    <w:p w14:paraId="171AA3A8" w14:textId="77777777" w:rsidR="00E80ACA" w:rsidRPr="001256EA" w:rsidRDefault="00CE5861" w:rsidP="00E80ACA">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This strategy is fully consistent with the interpretivist paradigm that underpins the research, which views law as a situated social practice rather than a simple abstract normative corpus. By engaging actors directly involved in legislative, regulatory and human rights protection processes, the study goes beyond a simple textual analysis to capture lived meanings, contested interpretations and concrete implications for policy implementation. This choice strengthens the credibility and analytical depth of the results by ensuring that the conclusions are based on authoritative, contextualized and relevant knowledge rather than speculative assumptions.</w:t>
      </w:r>
    </w:p>
    <w:p w14:paraId="207B7C55" w14:textId="200C68BB" w:rsidR="00CE5861" w:rsidRPr="001256EA" w:rsidRDefault="00CE5861" w:rsidP="00E80ACA">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research was conducted in accordance with ethical principles recognized in the humanities and social sciences and with professional standards specific to legal studies. These </w:t>
      </w:r>
      <w:r w:rsidRPr="001256EA">
        <w:rPr>
          <w:rFonts w:ascii="Times New Roman" w:hAnsi="Times New Roman" w:cs="Times New Roman"/>
          <w:sz w:val="24"/>
          <w:szCs w:val="24"/>
        </w:rPr>
        <w:lastRenderedPageBreak/>
        <w:t>principles are based on respect for individuals, transparency of the research process, data protection and scientific integrity.</w:t>
      </w:r>
    </w:p>
    <w:p w14:paraId="3C5D9349" w14:textId="0138B55A" w:rsidR="00CE5861" w:rsidRPr="001256EA" w:rsidRDefault="00CE5861" w:rsidP="00E3103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On </w:t>
      </w:r>
      <w:r w:rsidR="00E80ACA" w:rsidRPr="001256EA">
        <w:rPr>
          <w:rFonts w:ascii="Times New Roman" w:hAnsi="Times New Roman" w:cs="Times New Roman"/>
          <w:sz w:val="24"/>
          <w:szCs w:val="24"/>
        </w:rPr>
        <w:t>an</w:t>
      </w:r>
      <w:r w:rsidRPr="001256EA">
        <w:rPr>
          <w:rFonts w:ascii="Times New Roman" w:hAnsi="Times New Roman" w:cs="Times New Roman"/>
          <w:sz w:val="24"/>
          <w:szCs w:val="24"/>
        </w:rPr>
        <w:t xml:space="preserve"> ethical level, all participants were informed about the objectives of the study, the nature of the information sought and how this information would be used. Free and informed consent was obtained before each interview, ensuring voluntary participation without coercion. Participants were informed of their right not to answer certain questions or to end the interview at any time without justification. All interactions were carried out in a professional and respectful environment, </w:t>
      </w:r>
      <w:r w:rsidR="0056414D" w:rsidRPr="001256EA">
        <w:rPr>
          <w:rFonts w:ascii="Times New Roman" w:hAnsi="Times New Roman" w:cs="Times New Roman"/>
          <w:sz w:val="24"/>
          <w:szCs w:val="24"/>
        </w:rPr>
        <w:t>considering</w:t>
      </w:r>
      <w:r w:rsidRPr="001256EA">
        <w:rPr>
          <w:rFonts w:ascii="Times New Roman" w:hAnsi="Times New Roman" w:cs="Times New Roman"/>
          <w:sz w:val="24"/>
          <w:szCs w:val="24"/>
        </w:rPr>
        <w:t xml:space="preserve"> the sensitivity of issues related to end of life and euthanasia.</w:t>
      </w:r>
    </w:p>
    <w:p w14:paraId="0C840E52" w14:textId="7C5179CA" w:rsidR="00E3103F" w:rsidRPr="001256EA" w:rsidRDefault="00CE5861" w:rsidP="00E3103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On the professional level, the research was carried out with neutrality and scientific independence. The information collected was treated as strictly confidential and anonymized in compliance with the </w:t>
      </w:r>
      <w:bookmarkStart w:id="79" w:name="_Hlk207569810"/>
      <w:r w:rsidRPr="001256EA">
        <w:rPr>
          <w:rFonts w:ascii="Times New Roman" w:hAnsi="Times New Roman" w:cs="Times New Roman"/>
          <w:sz w:val="24"/>
          <w:szCs w:val="24"/>
        </w:rPr>
        <w:t>General Data Protection Regulation (GDPR)</w:t>
      </w:r>
      <w:bookmarkEnd w:id="79"/>
      <w:r w:rsidRPr="001256EA">
        <w:rPr>
          <w:rFonts w:ascii="Times New Roman" w:hAnsi="Times New Roman" w:cs="Times New Roman"/>
          <w:sz w:val="24"/>
          <w:szCs w:val="24"/>
          <w:vertAlign w:val="superscript"/>
        </w:rPr>
        <w:footnoteReference w:id="339"/>
      </w:r>
      <w:r w:rsidRPr="001256EA">
        <w:rPr>
          <w:rFonts w:ascii="Times New Roman" w:hAnsi="Times New Roman" w:cs="Times New Roman"/>
          <w:sz w:val="24"/>
          <w:szCs w:val="24"/>
        </w:rPr>
        <w:t xml:space="preserve">. No information that could directly or indirectly identify participants was retained, and all data </w:t>
      </w:r>
      <w:r w:rsidR="0056414D" w:rsidRPr="001256EA">
        <w:rPr>
          <w:rFonts w:ascii="Times New Roman" w:hAnsi="Times New Roman" w:cs="Times New Roman"/>
          <w:sz w:val="24"/>
          <w:szCs w:val="24"/>
        </w:rPr>
        <w:t>was</w:t>
      </w:r>
      <w:r w:rsidRPr="001256EA">
        <w:rPr>
          <w:rFonts w:ascii="Times New Roman" w:hAnsi="Times New Roman" w:cs="Times New Roman"/>
          <w:sz w:val="24"/>
          <w:szCs w:val="24"/>
        </w:rPr>
        <w:t xml:space="preserve"> securely stored. No sensitive personal information was collected, as the study focused solely on normative, institutional and ethical issues related to the legal regulation of euthanasia.</w:t>
      </w:r>
    </w:p>
    <w:p w14:paraId="26973CAB" w14:textId="77B3171E" w:rsidR="00AD6895" w:rsidRPr="001256EA" w:rsidRDefault="00CE5861" w:rsidP="003239B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This approach meets the standards of rigor and transparency required in legal studies by ensuring that the results are based on data collection that respects individuals and institutions. It also reflects a commitment to scientific responsibility, requiring that results be reported honestly, without manipulation or biased selection of information. By respecting ethical principles, GDPR requirements and professional standards, the research guarantees the reliability of its conclusions while preserving the dignity and trust of participants. </w:t>
      </w:r>
    </w:p>
    <w:p w14:paraId="32D3C0C6" w14:textId="42C54FE8"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first phase involved the initial structuring of the data and preparation for thematic analysis, a qualitative method that identifies and interprets recurring patterns of meaning within textual data to reveal how participants perceive and experience a phenomenon</w:t>
      </w:r>
      <w:r w:rsidRPr="001256EA">
        <w:rPr>
          <w:rFonts w:ascii="Times New Roman" w:hAnsi="Times New Roman" w:cs="Times New Roman"/>
          <w:sz w:val="24"/>
          <w:szCs w:val="24"/>
          <w:vertAlign w:val="superscript"/>
        </w:rPr>
        <w:footnoteReference w:id="340"/>
      </w:r>
      <w:r w:rsidRPr="001256EA">
        <w:rPr>
          <w:rFonts w:ascii="Times New Roman" w:hAnsi="Times New Roman" w:cs="Times New Roman"/>
          <w:sz w:val="24"/>
          <w:szCs w:val="24"/>
        </w:rPr>
        <w:t>. The interview transcripts were compiled in an Excel file chosen for its simplicity and flexibility. Each sheet of this file was dedicated to a specific question from the interview guide, with responses organized by interviewee category. This structure preserved the link between responses and their context while facilitating question-by-question analysis. It also prevented dilution of responses, particularly when questions addressed different topics.</w:t>
      </w:r>
    </w:p>
    <w:p w14:paraId="00974C84" w14:textId="77777777"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Each Excel sheet was treated as an independent unit of analysis, meaning responses were analyzed separately for each question without mixing content from other questions. This segmentation reduced confusion between themes and allowed for a more detailed interpretation of the results. It also ensured that variations in perspectives across questions and interviewee categories remained visible in the findings. Python was used as part of this phase to support thematic analysis and result generation.</w:t>
      </w:r>
    </w:p>
    <w:p w14:paraId="475F1C99" w14:textId="77777777"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second phase involved the application of thematic analysis. The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model was applied separately to each Excel sheet, focusing on the columns containing the responses. This model relies on machine learning techniques to automatically group text segments into topics or latent themes based on semantic similarity</w:t>
      </w:r>
      <w:r w:rsidRPr="001256EA">
        <w:rPr>
          <w:rFonts w:ascii="Times New Roman" w:hAnsi="Times New Roman" w:cs="Times New Roman"/>
          <w:sz w:val="24"/>
          <w:szCs w:val="24"/>
          <w:vertAlign w:val="superscript"/>
        </w:rPr>
        <w:footnoteReference w:id="341"/>
      </w:r>
      <w:r w:rsidRPr="001256EA">
        <w:rPr>
          <w:rFonts w:ascii="Times New Roman" w:hAnsi="Times New Roman" w:cs="Times New Roman"/>
          <w:sz w:val="24"/>
          <w:szCs w:val="24"/>
        </w:rPr>
        <w:t xml:space="preserve">. It uses transformer-based language models to generate numerical vector representations of text, capturing semantic meaning beyond simple word matching </w:t>
      </w:r>
      <w:r w:rsidRPr="001256EA">
        <w:rPr>
          <w:rFonts w:ascii="Times New Roman" w:hAnsi="Times New Roman" w:cs="Times New Roman"/>
          <w:sz w:val="24"/>
          <w:szCs w:val="24"/>
          <w:vertAlign w:val="superscript"/>
        </w:rPr>
        <w:footnoteReference w:id="342"/>
      </w:r>
      <w:r w:rsidRPr="001256EA">
        <w:rPr>
          <w:rFonts w:ascii="Times New Roman" w:hAnsi="Times New Roman" w:cs="Times New Roman"/>
          <w:sz w:val="24"/>
          <w:szCs w:val="24"/>
        </w:rPr>
        <w:t xml:space="preserve">. These vectors are clustered using density-based algorithms to form groups of similar text segments, each representing a potential theme.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also extracts representative keywords for each cluster, providing interpretable labels for the discovered topics</w:t>
      </w:r>
      <w:r w:rsidRPr="001256EA">
        <w:rPr>
          <w:rFonts w:ascii="Times New Roman" w:hAnsi="Times New Roman" w:cs="Times New Roman"/>
          <w:sz w:val="24"/>
          <w:szCs w:val="24"/>
          <w:vertAlign w:val="superscript"/>
        </w:rPr>
        <w:footnoteReference w:id="343"/>
      </w:r>
      <w:r w:rsidRPr="001256EA">
        <w:rPr>
          <w:rFonts w:ascii="Times New Roman" w:hAnsi="Times New Roman" w:cs="Times New Roman"/>
          <w:sz w:val="24"/>
          <w:szCs w:val="24"/>
        </w:rPr>
        <w:t xml:space="preserve">. Applying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sheet by sheet allowed for results specific to each question, preserving the interview structure and the diversity of interviewees. Its use significantly reduced processing time, enabling efficient thematic analysis of a large volume of textual data.</w:t>
      </w:r>
    </w:p>
    <w:p w14:paraId="26D8FFB6" w14:textId="6D5E15B8"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For each </w:t>
      </w:r>
      <w:r w:rsidR="0056414D" w:rsidRPr="001256EA">
        <w:rPr>
          <w:rFonts w:ascii="Times New Roman" w:hAnsi="Times New Roman" w:cs="Times New Roman"/>
          <w:sz w:val="24"/>
          <w:szCs w:val="24"/>
        </w:rPr>
        <w:t>sheet analyzed</w:t>
      </w:r>
      <w:r w:rsidRPr="001256EA">
        <w:rPr>
          <w:rFonts w:ascii="Times New Roman" w:hAnsi="Times New Roman" w:cs="Times New Roman"/>
          <w:sz w:val="24"/>
          <w:szCs w:val="24"/>
        </w:rPr>
        <w:t xml:space="preserve">, the three most representative themes were retained based on their frequency in the results provided by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Selecting the top three themes focused the analysis on the dominant aspects while avoiding information overload. This also facilitated comparisons between different questions and interviewee categories by concentrating on results that were both concise and meaningful.</w:t>
      </w:r>
    </w:p>
    <w:p w14:paraId="6DD6BE29" w14:textId="77777777"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 third phase focused on identifying thematic convergence and divergence. This analysis compared the lists of extracted themes to detect points of similarity and notable differences. Themes that appeared in several groups indicated a shared orientation, while themes unique to certain groups reflected differences in concerns or positions.</w:t>
      </w:r>
    </w:p>
    <w:p w14:paraId="624A0AF3" w14:textId="77777777"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comparison between themes was refined by examining their conceptual proximity. This step aimed to determine which ideas were similar or distinct for questions that received </w:t>
      </w:r>
      <w:r w:rsidRPr="001256EA">
        <w:rPr>
          <w:rFonts w:ascii="Times New Roman" w:hAnsi="Times New Roman" w:cs="Times New Roman"/>
          <w:sz w:val="24"/>
          <w:szCs w:val="24"/>
        </w:rPr>
        <w:lastRenderedPageBreak/>
        <w:t xml:space="preserve">several responses by interviewee category. Using vector representations generated by </w:t>
      </w:r>
      <w:proofErr w:type="spellStart"/>
      <w:r w:rsidRPr="001256EA">
        <w:rPr>
          <w:rFonts w:ascii="Times New Roman" w:hAnsi="Times New Roman" w:cs="Times New Roman"/>
          <w:sz w:val="24"/>
          <w:szCs w:val="24"/>
        </w:rPr>
        <w:t>BERTopic</w:t>
      </w:r>
      <w:proofErr w:type="spellEnd"/>
      <w:r w:rsidRPr="001256EA">
        <w:rPr>
          <w:rFonts w:ascii="Times New Roman" w:hAnsi="Times New Roman" w:cs="Times New Roman"/>
          <w:sz w:val="24"/>
          <w:szCs w:val="24"/>
        </w:rPr>
        <w:t xml:space="preserve"> made this analysis more objective and limited subjective interpretation. The results were organized to clearly distinguish points of convergence and divergence. This synthesis provided a structured view of agreements and disagreements among groups and offered a solid basis for interpreting the relational dynamics identified.</w:t>
      </w:r>
    </w:p>
    <w:p w14:paraId="6733F1D5" w14:textId="2C8AC293" w:rsidR="00AD6895" w:rsidRPr="001256EA" w:rsidRDefault="00CE5861" w:rsidP="003239B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interviews yielded seven responses in each interviewee category, including MOJ, MOH, LHRI, LNHRI, FRA, and ICHHR. This ensured the representation of national legal, health rights, and human rights perspectives, complemented by international expertise. This section presents and interprets the responses to each question. The results were derived through the consolidation of appendix-based responses for each category, allowing for the identification of representative examples and key observations specific to each interviewee group.</w:t>
      </w:r>
    </w:p>
    <w:p w14:paraId="68E84436" w14:textId="52FFC7D4" w:rsidR="00CE5861" w:rsidRPr="001256EA" w:rsidRDefault="00AD6895"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F46F5D" w:rsidRPr="001256EA">
        <w:rPr>
          <w:rFonts w:ascii="Times New Roman" w:hAnsi="Times New Roman" w:cs="Times New Roman"/>
          <w:sz w:val="24"/>
          <w:szCs w:val="24"/>
        </w:rPr>
        <w:t>9</w:t>
      </w:r>
      <w:r w:rsidR="00CE5861" w:rsidRPr="001256EA">
        <w:rPr>
          <w:rFonts w:ascii="Times New Roman" w:hAnsi="Times New Roman" w:cs="Times New Roman"/>
          <w:sz w:val="24"/>
          <w:szCs w:val="24"/>
        </w:rPr>
        <w:t xml:space="preserve"> </w:t>
      </w:r>
      <w:r w:rsidRPr="001256EA">
        <w:rPr>
          <w:rFonts w:ascii="Times New Roman" w:hAnsi="Times New Roman" w:cs="Times New Roman"/>
          <w:sz w:val="24"/>
          <w:szCs w:val="24"/>
        </w:rPr>
        <w:t>shows</w:t>
      </w:r>
      <w:r w:rsidR="00CE5861" w:rsidRPr="001256EA">
        <w:rPr>
          <w:rFonts w:ascii="Times New Roman" w:hAnsi="Times New Roman" w:cs="Times New Roman"/>
          <w:sz w:val="24"/>
          <w:szCs w:val="24"/>
        </w:rPr>
        <w:t xml:space="preserve"> a clear alignment between categories and their associated themes. MOH focuses on a comprehensive Lithuanian legal framework addressing medical, ethical, and legal challenges, which directly supports the Legal structure and patient safety theme, highlighting its mandate to integrate healthcare and regulatory protection. LHRI emphasizes the combination of international standards with strong local oversight, also linked to Legal structure and patient safety, showing a priority on balancing external norms with national control. FRA stresses national euthanasia laws customized for patient safety and rights protection, reinforcing the same theme and illustrating an approach rooted in national sovereignty and patient-focused safeguards.</w:t>
      </w:r>
    </w:p>
    <w:p w14:paraId="318DC706" w14:textId="3549EA33" w:rsidR="00CE5861" w:rsidRPr="001256EA" w:rsidRDefault="00CE5861" w:rsidP="00AD689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For the Regulatory adaptation and alignment theme, MOJ highlights transparent regulation adapted to Lithuania’s cultural and ethical context, emphasizing the importance of legitimacy and social acceptance. LNHRI addresses contextual adaptation of international standards to national human rights frameworks, focusing on compliance and human rights considerations. ICHHR stresses careful alignment of international frameworks with Lithuanian health and human rights standards, demonstrating the international perspective in harmonizing policy and ethics.</w:t>
      </w:r>
    </w:p>
    <w:p w14:paraId="2719113D" w14:textId="6FAA7D11" w:rsidR="00CE5861" w:rsidRPr="001256EA" w:rsidRDefault="00CD2062" w:rsidP="00E86D6D">
      <w:pPr>
        <w:spacing w:line="240" w:lineRule="auto"/>
        <w:jc w:val="both"/>
        <w:rPr>
          <w:rFonts w:ascii="Times New Roman" w:hAnsi="Times New Roman" w:cs="Times New Roman"/>
        </w:rPr>
      </w:pPr>
      <w:r w:rsidRPr="001256EA">
        <w:rPr>
          <w:rFonts w:ascii="Times New Roman" w:hAnsi="Times New Roman" w:cs="Times New Roman"/>
          <w:noProof/>
          <w:sz w:val="28"/>
          <w:szCs w:val="28"/>
        </w:rPr>
        <w:lastRenderedPageBreak/>
        <w:drawing>
          <wp:anchor distT="0" distB="0" distL="114300" distR="114300" simplePos="0" relativeHeight="251679744" behindDoc="0" locked="0" layoutInCell="1" allowOverlap="1" wp14:anchorId="124332A2" wp14:editId="7A8CED82">
            <wp:simplePos x="0" y="0"/>
            <wp:positionH relativeFrom="margin">
              <wp:align>right</wp:align>
            </wp:positionH>
            <wp:positionV relativeFrom="paragraph">
              <wp:posOffset>431800</wp:posOffset>
            </wp:positionV>
            <wp:extent cx="5752465" cy="2072005"/>
            <wp:effectExtent l="0" t="0" r="635"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2072005"/>
                    </a:xfrm>
                    <a:prstGeom prst="rect">
                      <a:avLst/>
                    </a:prstGeom>
                    <a:noFill/>
                    <a:ln>
                      <a:noFill/>
                    </a:ln>
                  </pic:spPr>
                </pic:pic>
              </a:graphicData>
            </a:graphic>
          </wp:anchor>
        </w:drawing>
      </w:r>
      <w:r w:rsidR="00CE5861" w:rsidRPr="001256EA">
        <w:rPr>
          <w:rFonts w:ascii="Times New Roman" w:hAnsi="Times New Roman" w:cs="Times New Roman"/>
          <w:b/>
          <w:bCs/>
          <w:sz w:val="24"/>
          <w:szCs w:val="24"/>
        </w:rPr>
        <w:t xml:space="preserve">Figure </w:t>
      </w:r>
      <w:r w:rsidR="00F46F5D" w:rsidRPr="001256EA">
        <w:rPr>
          <w:rFonts w:ascii="Times New Roman" w:hAnsi="Times New Roman" w:cs="Times New Roman"/>
          <w:b/>
          <w:bCs/>
          <w:sz w:val="24"/>
          <w:szCs w:val="24"/>
        </w:rPr>
        <w:t>9</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1</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p w14:paraId="07B725C2" w14:textId="4E3C8B74" w:rsidR="00CE5861" w:rsidRPr="001256EA" w:rsidRDefault="00CE5861" w:rsidP="00C618D1">
      <w:pPr>
        <w:spacing w:after="0" w:line="360" w:lineRule="auto"/>
        <w:ind w:firstLine="709"/>
        <w:jc w:val="both"/>
        <w:rPr>
          <w:rFonts w:ascii="Times New Roman" w:hAnsi="Times New Roman" w:cs="Times New Roman"/>
          <w:sz w:val="24"/>
          <w:szCs w:val="24"/>
        </w:rPr>
      </w:pPr>
      <w:r w:rsidRPr="001256EA">
        <w:rPr>
          <w:rFonts w:ascii="Times New Roman" w:hAnsi="Times New Roman" w:cs="Times New Roman"/>
          <w:sz w:val="24"/>
          <w:szCs w:val="24"/>
        </w:rPr>
        <w:t>The results demonstrate broad areas of convergence as well as distinct divergences in perspectives on international legal regulation and patient protection in euthanasia. Convergence is evident across all categories (MOJ, MOH, LHRI, LNHRI, FRA, ICHHR) regarding the importance of international legal frameworks as a foundation, showing shared recognition that global standards are a necessary starting point for protecting patient rights and safety. Similarly, all categories stress the need for national adaptation to local context, reflecting a common understanding that international norms must be tailored to Lithuania’s ethical, legal, healthcare, and human rights settings. There is also unanimous agreement on the priority of patient safety and rights, positioning these as core objectives of any legalization framework. Furthermore, multiple categories (MOJ, MOH, LHRI, FRA) emphasize the necessity of clear and transparent regulations, demonstrating a practical orientation toward effective and ethical implementation.</w:t>
      </w:r>
    </w:p>
    <w:p w14:paraId="183039BA" w14:textId="71504F79" w:rsidR="00CE5861" w:rsidRPr="001256EA" w:rsidRDefault="00CE5861" w:rsidP="00CD2062">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D2062" w:rsidRPr="001256EA">
        <w:rPr>
          <w:rFonts w:ascii="Times New Roman" w:hAnsi="Times New Roman" w:cs="Times New Roman"/>
          <w:b/>
          <w:bCs/>
          <w:sz w:val="24"/>
          <w:szCs w:val="24"/>
        </w:rPr>
        <w:t>5</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International Legal Regulation and Patient Protection in Euthanasia</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160"/>
        <w:gridCol w:w="1902"/>
        <w:gridCol w:w="5010"/>
      </w:tblGrid>
      <w:tr w:rsidR="00CE5861" w:rsidRPr="001256EA" w14:paraId="738C788D"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0D235B88"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207B2469"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agreement</w:t>
            </w:r>
          </w:p>
        </w:tc>
        <w:tc>
          <w:tcPr>
            <w:tcW w:w="0" w:type="auto"/>
            <w:vAlign w:val="center"/>
            <w:hideMark/>
          </w:tcPr>
          <w:p w14:paraId="2F3085DF"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Interpretation </w:t>
            </w:r>
          </w:p>
        </w:tc>
      </w:tr>
      <w:tr w:rsidR="00CE5861" w:rsidRPr="001256EA" w14:paraId="6D45B43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6EF9B06E"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Importance of international legal frameworks as a foundation</w:t>
            </w:r>
          </w:p>
        </w:tc>
        <w:tc>
          <w:tcPr>
            <w:tcW w:w="0" w:type="auto"/>
            <w:vAlign w:val="center"/>
            <w:hideMark/>
          </w:tcPr>
          <w:p w14:paraId="7BF26BDC"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1E20D98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interviewee groups agree that international regulations provide an essential starting point for protecting patient rights and safety in euthanasia legalization.</w:t>
            </w:r>
          </w:p>
        </w:tc>
      </w:tr>
      <w:tr w:rsidR="00CE5861" w:rsidRPr="001256EA" w14:paraId="2774A5CA" w14:textId="77777777" w:rsidTr="00DC2577">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2620315F"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Need for national adaptation to local context</w:t>
            </w:r>
          </w:p>
        </w:tc>
        <w:tc>
          <w:tcPr>
            <w:tcW w:w="0" w:type="auto"/>
            <w:vAlign w:val="center"/>
            <w:hideMark/>
          </w:tcPr>
          <w:p w14:paraId="3C12DFC1"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3B1ECB93"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groups highlight that while international frameworks are valuable, they must be adapted to Lithuania’s ethical, legal, healthcare, and human rights contexts.</w:t>
            </w:r>
          </w:p>
        </w:tc>
      </w:tr>
      <w:tr w:rsidR="00CE5861" w:rsidRPr="001256EA" w14:paraId="2442549F"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4108F2A0"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Priority of patient safety and rights</w:t>
            </w:r>
          </w:p>
        </w:tc>
        <w:tc>
          <w:tcPr>
            <w:tcW w:w="0" w:type="auto"/>
            <w:vAlign w:val="center"/>
            <w:hideMark/>
          </w:tcPr>
          <w:p w14:paraId="0F50BF77"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27CDFBD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There is shared consensus that patient safety and the protection of rights are the central objectives of any euthanasia legalization process.</w:t>
            </w:r>
          </w:p>
        </w:tc>
      </w:tr>
      <w:tr w:rsidR="00CE5861" w:rsidRPr="001256EA" w14:paraId="68004874" w14:textId="77777777" w:rsidTr="00DC2577">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1FB52D7B"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Necessity of clear and transparent regulations</w:t>
            </w:r>
          </w:p>
        </w:tc>
        <w:tc>
          <w:tcPr>
            <w:tcW w:w="0" w:type="auto"/>
            <w:vAlign w:val="center"/>
            <w:hideMark/>
          </w:tcPr>
          <w:p w14:paraId="049E99BC"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LHRI, FRA</w:t>
            </w:r>
          </w:p>
        </w:tc>
        <w:tc>
          <w:tcPr>
            <w:tcW w:w="0" w:type="auto"/>
            <w:vAlign w:val="center"/>
            <w:hideMark/>
          </w:tcPr>
          <w:p w14:paraId="537C70CD"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Multiple categories emphasize the need for a transparent and comprehensive regulatory framework to ensure effective and ethical implementation.</w:t>
            </w:r>
          </w:p>
        </w:tc>
      </w:tr>
    </w:tbl>
    <w:p w14:paraId="6DE87E21" w14:textId="77777777" w:rsidR="00CE5861" w:rsidRPr="001256EA" w:rsidRDefault="00CE5861" w:rsidP="00CE5861">
      <w:pPr>
        <w:jc w:val="both"/>
        <w:rPr>
          <w:rFonts w:ascii="Times New Roman" w:hAnsi="Times New Roman" w:cs="Times New Roman"/>
          <w:sz w:val="24"/>
          <w:szCs w:val="24"/>
        </w:rPr>
      </w:pPr>
    </w:p>
    <w:p w14:paraId="0B3B98B9" w14:textId="0FD76EA4"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Despite these shared views, divergences highlight specific institutional priorities. MOJ places distinct focus on ethical and cultural sensitivity, emphasizing alignment with Lithuania’s values beyond technical regulation. MOH emphasizes medical system-specific challenges, integrating practical healthcare considerations into regulatory design. LNHRI and ICHHR prioritize human rights oversight and safeguards, reflecting a rights-based approach to legalization. LHRI stresses strong local guidelines and oversight, highlighting the importance of stringent domestic mechanisms that go beyond adopting international norms. These divergences suggest complementary perspectives shaped by the mandates of each category, collectively enriching the regulatory debate.</w:t>
      </w:r>
    </w:p>
    <w:p w14:paraId="085EB7DE" w14:textId="76AC194E" w:rsidR="00CE5861" w:rsidRPr="001256EA" w:rsidRDefault="00CE5861" w:rsidP="00CD2062">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D2062" w:rsidRPr="001256EA">
        <w:rPr>
          <w:rFonts w:ascii="Times New Roman" w:hAnsi="Times New Roman" w:cs="Times New Roman"/>
          <w:b/>
          <w:bCs/>
          <w:sz w:val="24"/>
          <w:szCs w:val="24"/>
        </w:rPr>
        <w:t>6</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International Legal Regulation and Patient Protection in Euthanasia</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020"/>
        <w:gridCol w:w="1750"/>
        <w:gridCol w:w="5302"/>
      </w:tblGrid>
      <w:tr w:rsidR="00CE5861" w:rsidRPr="001256EA" w14:paraId="00128909"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C07E2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57B3F149"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disagreement</w:t>
            </w:r>
          </w:p>
        </w:tc>
        <w:tc>
          <w:tcPr>
            <w:tcW w:w="0" w:type="auto"/>
            <w:vAlign w:val="center"/>
            <w:hideMark/>
          </w:tcPr>
          <w:p w14:paraId="2D3C5EEE"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5D4BF35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1FD710"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Ethical and Cultural Sensitivity</w:t>
            </w:r>
          </w:p>
        </w:tc>
        <w:tc>
          <w:tcPr>
            <w:tcW w:w="0" w:type="auto"/>
            <w:vAlign w:val="center"/>
            <w:hideMark/>
          </w:tcPr>
          <w:p w14:paraId="7A8A74E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hideMark/>
          </w:tcPr>
          <w:p w14:paraId="2CB2AAB7"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places distinct emphasis on aligning euthanasia legislation with Lithuania’s cultural and ethical values, beyond technical regulation.</w:t>
            </w:r>
          </w:p>
        </w:tc>
      </w:tr>
      <w:tr w:rsidR="00CE5861" w:rsidRPr="001256EA" w14:paraId="06148854" w14:textId="77777777" w:rsidTr="00DC2577">
        <w:tc>
          <w:tcPr>
            <w:cnfStyle w:val="001000000000" w:firstRow="0" w:lastRow="0" w:firstColumn="1" w:lastColumn="0" w:oddVBand="0" w:evenVBand="0" w:oddHBand="0" w:evenHBand="0" w:firstRowFirstColumn="0" w:firstRowLastColumn="0" w:lastRowFirstColumn="0" w:lastRowLastColumn="0"/>
            <w:tcW w:w="0" w:type="auto"/>
            <w:hideMark/>
          </w:tcPr>
          <w:p w14:paraId="45C327AC"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Medical System-Specific Challenges</w:t>
            </w:r>
          </w:p>
        </w:tc>
        <w:tc>
          <w:tcPr>
            <w:tcW w:w="0" w:type="auto"/>
            <w:vAlign w:val="center"/>
            <w:hideMark/>
          </w:tcPr>
          <w:p w14:paraId="6AD5CDDE"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hideMark/>
          </w:tcPr>
          <w:p w14:paraId="2747BC6E"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focuses on the integration of euthanasia regulation within Lithuania’s healthcare system and addresses practical medical challenges.</w:t>
            </w:r>
          </w:p>
        </w:tc>
      </w:tr>
      <w:tr w:rsidR="00CE5861" w:rsidRPr="001256EA" w14:paraId="6EC7D89A"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BEB31D"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Human Rights Oversight and Safeguards</w:t>
            </w:r>
          </w:p>
        </w:tc>
        <w:tc>
          <w:tcPr>
            <w:tcW w:w="0" w:type="auto"/>
            <w:vAlign w:val="center"/>
            <w:hideMark/>
          </w:tcPr>
          <w:p w14:paraId="1AEA4D02"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ICHHR</w:t>
            </w:r>
          </w:p>
        </w:tc>
        <w:tc>
          <w:tcPr>
            <w:tcW w:w="0" w:type="auto"/>
            <w:hideMark/>
          </w:tcPr>
          <w:p w14:paraId="299907AA"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categories place stronger emphasis on aligning euthanasia legalization with national human rights principles and ensuring rigorous human rights oversight.</w:t>
            </w:r>
          </w:p>
        </w:tc>
      </w:tr>
      <w:tr w:rsidR="00CE5861" w:rsidRPr="001256EA" w14:paraId="3DFA1F05" w14:textId="77777777" w:rsidTr="00DC2577">
        <w:tc>
          <w:tcPr>
            <w:cnfStyle w:val="001000000000" w:firstRow="0" w:lastRow="0" w:firstColumn="1" w:lastColumn="0" w:oddVBand="0" w:evenVBand="0" w:oddHBand="0" w:evenHBand="0" w:firstRowFirstColumn="0" w:firstRowLastColumn="0" w:lastRowFirstColumn="0" w:lastRowLastColumn="0"/>
            <w:tcW w:w="0" w:type="auto"/>
            <w:hideMark/>
          </w:tcPr>
          <w:p w14:paraId="03CD6F9B"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Strong Local Guidelines and Oversight</w:t>
            </w:r>
          </w:p>
        </w:tc>
        <w:tc>
          <w:tcPr>
            <w:tcW w:w="0" w:type="auto"/>
            <w:vAlign w:val="center"/>
            <w:hideMark/>
          </w:tcPr>
          <w:p w14:paraId="7B3F30E5"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hideMark/>
          </w:tcPr>
          <w:p w14:paraId="4243CC1C"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emphasizes the necessity for stringent local guidelines and oversight mechanisms beyond merely adopting international norms.</w:t>
            </w:r>
          </w:p>
        </w:tc>
      </w:tr>
    </w:tbl>
    <w:p w14:paraId="0E05C355" w14:textId="41C0B6D9" w:rsidR="00CE5861" w:rsidRPr="001256EA" w:rsidRDefault="00C618D1" w:rsidP="00C618D1">
      <w:pPr>
        <w:spacing w:after="0" w:line="360" w:lineRule="auto"/>
        <w:ind w:firstLine="709"/>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F46F5D" w:rsidRPr="001256EA">
        <w:rPr>
          <w:rFonts w:ascii="Times New Roman" w:hAnsi="Times New Roman" w:cs="Times New Roman"/>
          <w:sz w:val="24"/>
          <w:szCs w:val="24"/>
        </w:rPr>
        <w:t>10</w:t>
      </w:r>
      <w:r w:rsidR="00CE5861" w:rsidRPr="001256EA">
        <w:rPr>
          <w:rFonts w:ascii="Times New Roman" w:hAnsi="Times New Roman" w:cs="Times New Roman"/>
          <w:sz w:val="24"/>
          <w:szCs w:val="24"/>
        </w:rPr>
        <w:t xml:space="preserve"> demonstrate</w:t>
      </w:r>
      <w:r w:rsidRPr="001256EA">
        <w:rPr>
          <w:rFonts w:ascii="Times New Roman" w:hAnsi="Times New Roman" w:cs="Times New Roman"/>
          <w:sz w:val="24"/>
          <w:szCs w:val="24"/>
        </w:rPr>
        <w:t>s</w:t>
      </w:r>
      <w:r w:rsidR="00CE5861" w:rsidRPr="001256EA">
        <w:rPr>
          <w:rFonts w:ascii="Times New Roman" w:hAnsi="Times New Roman" w:cs="Times New Roman"/>
          <w:sz w:val="24"/>
          <w:szCs w:val="24"/>
        </w:rPr>
        <w:t xml:space="preserve"> a strong link between categories and their thematic focus. For the Cultural and societal alignment bloc, MOJ emphasizes balancing international guidance with Lithuanian ethical and cultural values, highlighting the importance of contextual legitimacy. LNHRI focuses on upholding ethical standards and human rights to maintain public confidence, underscoring social trust and rights protection. FRA aligns with universal ethical principles while respecting cultural differences, reflecting a transnational perspective sensitive to cultural diversity.</w:t>
      </w:r>
    </w:p>
    <w:p w14:paraId="4A2AC8D6" w14:textId="0ACE909D" w:rsidR="005774E0" w:rsidRPr="001256EA" w:rsidRDefault="00CE5861" w:rsidP="00F46F5D">
      <w:pPr>
        <w:spacing w:after="0" w:line="360" w:lineRule="auto"/>
        <w:ind w:firstLine="709"/>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In the Ethical integration in legislation </w:t>
      </w:r>
      <w:r w:rsidR="0056414D" w:rsidRPr="001256EA">
        <w:rPr>
          <w:rFonts w:ascii="Times New Roman" w:hAnsi="Times New Roman" w:cs="Times New Roman"/>
          <w:sz w:val="24"/>
          <w:szCs w:val="24"/>
        </w:rPr>
        <w:t>block</w:t>
      </w:r>
      <w:r w:rsidRPr="001256EA">
        <w:rPr>
          <w:rFonts w:ascii="Times New Roman" w:hAnsi="Times New Roman" w:cs="Times New Roman"/>
          <w:sz w:val="24"/>
          <w:szCs w:val="24"/>
        </w:rPr>
        <w:t>, MOH stresses embedding ethical principles in euthanasia legislation for moral acceptability, showing its mandate to integrate morality directly into law. LHRI highlights combining ethical considerations with legal standards to safeguard patient dignity, demonstrating the focus on individual rights within legal structures. ICHHR advances integrating ethical values and human rights protections for humane practices, emphasizing a human-centered approach with an international dimension.</w:t>
      </w:r>
    </w:p>
    <w:p w14:paraId="786FD702" w14:textId="318E892A" w:rsidR="00CE5861" w:rsidRPr="001256EA" w:rsidRDefault="00CD2062" w:rsidP="00E86D6D">
      <w:pPr>
        <w:spacing w:line="240" w:lineRule="auto"/>
        <w:jc w:val="both"/>
        <w:rPr>
          <w:rFonts w:ascii="Times New Roman" w:hAnsi="Times New Roman" w:cs="Times New Roman"/>
        </w:rPr>
      </w:pPr>
      <w:r w:rsidRPr="001256EA">
        <w:rPr>
          <w:rFonts w:ascii="Times New Roman" w:hAnsi="Times New Roman" w:cs="Times New Roman"/>
          <w:noProof/>
          <w:sz w:val="24"/>
          <w:szCs w:val="24"/>
        </w:rPr>
        <w:drawing>
          <wp:anchor distT="0" distB="0" distL="114300" distR="114300" simplePos="0" relativeHeight="251680768" behindDoc="0" locked="0" layoutInCell="1" allowOverlap="1" wp14:anchorId="249BBBC5" wp14:editId="72D56BBA">
            <wp:simplePos x="0" y="0"/>
            <wp:positionH relativeFrom="column">
              <wp:posOffset>22860</wp:posOffset>
            </wp:positionH>
            <wp:positionV relativeFrom="paragraph">
              <wp:posOffset>361950</wp:posOffset>
            </wp:positionV>
            <wp:extent cx="5746750" cy="2061210"/>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6750" cy="2061210"/>
                    </a:xfrm>
                    <a:prstGeom prst="rect">
                      <a:avLst/>
                    </a:prstGeom>
                    <a:noFill/>
                    <a:ln>
                      <a:noFill/>
                    </a:ln>
                  </pic:spPr>
                </pic:pic>
              </a:graphicData>
            </a:graphic>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F46F5D" w:rsidRPr="001256EA">
        <w:rPr>
          <w:rFonts w:ascii="Times New Roman" w:hAnsi="Times New Roman" w:cs="Times New Roman"/>
          <w:b/>
          <w:bCs/>
          <w:sz w:val="24"/>
          <w:szCs w:val="24"/>
        </w:rPr>
        <w:t>0</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2</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p w14:paraId="6223E523" w14:textId="7C7AAB5F" w:rsidR="0056414D" w:rsidRPr="001256EA" w:rsidRDefault="00CE5861" w:rsidP="00CD2062">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results show broad convergence regarding ethical and moral compliance in euthanasia regulation. All categories (MOJ, MOH, LHRI, LNHRI, FRA, ICHHR) agree on the integration of ethical and moral principles in regulation, underscoring the need for moral acceptability, respect for human dignity, and societal acceptance. Most groups (MOJ, LHRI, LNHRI, FRA, ICHHR) stress respect for human rights and patient dignity, identifying it as a fundamental ethical imperative. Additionally, several categories (MOJ, MOH, LNHRI, FRA) emphasize the necessity of societal acceptance and trust, linking the legitimacy of euthanasia regulation to alignment with societal values and moral norms.</w:t>
      </w:r>
    </w:p>
    <w:p w14:paraId="6EF553F4" w14:textId="10A9ADE9" w:rsidR="00CE5861" w:rsidRPr="001256EA" w:rsidRDefault="00CE5861" w:rsidP="00CD2062">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D2062" w:rsidRPr="001256EA">
        <w:rPr>
          <w:rFonts w:ascii="Times New Roman" w:hAnsi="Times New Roman" w:cs="Times New Roman"/>
          <w:b/>
          <w:bCs/>
          <w:sz w:val="24"/>
          <w:szCs w:val="24"/>
        </w:rPr>
        <w:t>7</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Ethical and Moral Compliance in Euthanasia Regulation</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239"/>
        <w:gridCol w:w="1842"/>
        <w:gridCol w:w="4991"/>
      </w:tblGrid>
      <w:tr w:rsidR="00CE5861" w:rsidRPr="001256EA" w14:paraId="5788182C"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A29E8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7DA816ED" w14:textId="26F097F2"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w:t>
            </w:r>
            <w:r w:rsidR="006D061E" w:rsidRPr="001256EA">
              <w:rPr>
                <w:rFonts w:ascii="Times New Roman" w:eastAsia="Times New Roman" w:hAnsi="Times New Roman" w:cs="Times New Roman"/>
                <w:sz w:val="20"/>
                <w:szCs w:val="20"/>
                <w:lang w:eastAsia="fr-FR"/>
              </w:rPr>
              <w:t>e</w:t>
            </w:r>
            <w:r w:rsidRPr="001256EA">
              <w:rPr>
                <w:rFonts w:ascii="Times New Roman" w:eastAsia="Times New Roman" w:hAnsi="Times New Roman" w:cs="Times New Roman"/>
                <w:sz w:val="20"/>
                <w:szCs w:val="20"/>
                <w:lang w:eastAsia="fr-FR"/>
              </w:rPr>
              <w:t>gories</w:t>
            </w:r>
            <w:r w:rsidR="00CE5861" w:rsidRPr="001256EA">
              <w:rPr>
                <w:rFonts w:ascii="Times New Roman" w:eastAsia="Times New Roman" w:hAnsi="Times New Roman" w:cs="Times New Roman"/>
                <w:sz w:val="20"/>
                <w:szCs w:val="20"/>
                <w:lang w:eastAsia="fr-FR"/>
              </w:rPr>
              <w:t xml:space="preserve"> in Agreement</w:t>
            </w:r>
          </w:p>
        </w:tc>
        <w:tc>
          <w:tcPr>
            <w:tcW w:w="0" w:type="auto"/>
            <w:vAlign w:val="center"/>
            <w:hideMark/>
          </w:tcPr>
          <w:p w14:paraId="34846E4C"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66675A45"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14438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Integration of ethical and moral principles in regulation</w:t>
            </w:r>
          </w:p>
        </w:tc>
        <w:tc>
          <w:tcPr>
            <w:tcW w:w="0" w:type="auto"/>
            <w:vAlign w:val="center"/>
            <w:hideMark/>
          </w:tcPr>
          <w:p w14:paraId="736F48F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0F4F0B0B"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interviewee groups agree that euthanasia regulations must embed ethical and moral standards to ensure moral acceptability, respect for human dignity, and societal acceptance.</w:t>
            </w:r>
          </w:p>
        </w:tc>
      </w:tr>
      <w:tr w:rsidR="00CE5861" w:rsidRPr="001256EA" w14:paraId="12006958"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FEE88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Respect for human rights and patient dignity</w:t>
            </w:r>
          </w:p>
        </w:tc>
        <w:tc>
          <w:tcPr>
            <w:tcW w:w="0" w:type="auto"/>
            <w:vAlign w:val="center"/>
            <w:hideMark/>
          </w:tcPr>
          <w:p w14:paraId="3F2B4641"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fr-FR"/>
              </w:rPr>
            </w:pPr>
            <w:r w:rsidRPr="001256EA">
              <w:rPr>
                <w:rFonts w:ascii="Times New Roman" w:eastAsia="Times New Roman" w:hAnsi="Times New Roman" w:cs="Times New Roman"/>
                <w:sz w:val="20"/>
                <w:szCs w:val="20"/>
                <w:lang w:val="de-DE" w:eastAsia="fr-FR"/>
              </w:rPr>
              <w:t>MOJ, LHRI, LNHRI, FRA, ICHHR</w:t>
            </w:r>
          </w:p>
        </w:tc>
        <w:tc>
          <w:tcPr>
            <w:tcW w:w="0" w:type="auto"/>
            <w:vAlign w:val="center"/>
            <w:hideMark/>
          </w:tcPr>
          <w:p w14:paraId="7A3302D4"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Most groups emphasize that euthanasia regulation must prioritize protecting patient rights and preserving human dignity as a central ethical imperative.</w:t>
            </w:r>
          </w:p>
        </w:tc>
      </w:tr>
      <w:tr w:rsidR="00CE5861" w:rsidRPr="001256EA" w14:paraId="3CC25BE0"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D5FEDB"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Necessity of societal acceptance and trust</w:t>
            </w:r>
          </w:p>
        </w:tc>
        <w:tc>
          <w:tcPr>
            <w:tcW w:w="0" w:type="auto"/>
            <w:vAlign w:val="center"/>
            <w:hideMark/>
          </w:tcPr>
          <w:p w14:paraId="109EDFA5"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LNHRI, FRA</w:t>
            </w:r>
          </w:p>
        </w:tc>
        <w:tc>
          <w:tcPr>
            <w:tcW w:w="0" w:type="auto"/>
            <w:vAlign w:val="center"/>
            <w:hideMark/>
          </w:tcPr>
          <w:p w14:paraId="39F6666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Several groups highlight that public trust and societal acceptance depend on ensuring regulations reflect societal values and moral norms.</w:t>
            </w:r>
          </w:p>
        </w:tc>
      </w:tr>
    </w:tbl>
    <w:p w14:paraId="72100A84"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Divergences reveal institution</w:t>
      </w:r>
      <w:r w:rsidRPr="001256EA">
        <w:rPr>
          <w:rFonts w:ascii="Times New Roman" w:hAnsi="Times New Roman" w:cs="Times New Roman"/>
          <w:sz w:val="24"/>
          <w:szCs w:val="24"/>
        </w:rPr>
        <w:noBreakHyphen/>
        <w:t>specific emphases. MOJ prioritizes cultural and societal context emphasis, focusing on alignment with Lithuania’s ethical values to secure public acceptance. MOH highlights professional standards and healthcare ethics, addressing the moral acceptability of euthanasia for medical professionals. FRA stresses universal ethical baseline versus cultural variation, valuing common ethical principles while acknowledging cultural differences. LNHRI and ICHHR place emphasis on human rights oversight and system integrity, focusing on embedding human rights protections and ensuring public trust in healthcare governance. These differences indicate complementary perspectives shaped by institutional roles, which together reinforce the complexity of ethical considerations in euthanasia regulation.</w:t>
      </w:r>
    </w:p>
    <w:p w14:paraId="6C70679B" w14:textId="7C811260" w:rsidR="00CE5861" w:rsidRPr="001256EA" w:rsidRDefault="00CE5861" w:rsidP="00CD2062">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D2062" w:rsidRPr="001256EA">
        <w:rPr>
          <w:rFonts w:ascii="Times New Roman" w:hAnsi="Times New Roman" w:cs="Times New Roman"/>
          <w:b/>
          <w:bCs/>
          <w:sz w:val="24"/>
          <w:szCs w:val="24"/>
        </w:rPr>
        <w:t>8</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Ethical and Moral Compliance in Euthanasia Regulation</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305"/>
        <w:gridCol w:w="1735"/>
        <w:gridCol w:w="5032"/>
      </w:tblGrid>
      <w:tr w:rsidR="00CE5861" w:rsidRPr="001256EA" w14:paraId="0C0730E8"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4396AD"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hideMark/>
          </w:tcPr>
          <w:p w14:paraId="4EF83DF1"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disagreement</w:t>
            </w:r>
          </w:p>
        </w:tc>
        <w:tc>
          <w:tcPr>
            <w:tcW w:w="0" w:type="auto"/>
            <w:hideMark/>
          </w:tcPr>
          <w:p w14:paraId="246D3140"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44052F88"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EBE0CB"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Cultural and societal context emphasis</w:t>
            </w:r>
          </w:p>
        </w:tc>
        <w:tc>
          <w:tcPr>
            <w:tcW w:w="0" w:type="auto"/>
            <w:vAlign w:val="center"/>
            <w:hideMark/>
          </w:tcPr>
          <w:p w14:paraId="161B7B2E"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3751465D"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places stronger emphasis on aligning euthanasia regulations with Lithuania’s specific cultural values and ethical standards to ensure public acceptance.</w:t>
            </w:r>
          </w:p>
        </w:tc>
      </w:tr>
      <w:tr w:rsidR="00CE5861" w:rsidRPr="001256EA" w14:paraId="3A1D3C79"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FD54C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Professional standards and healthcare ethics</w:t>
            </w:r>
          </w:p>
        </w:tc>
        <w:tc>
          <w:tcPr>
            <w:tcW w:w="0" w:type="auto"/>
            <w:vAlign w:val="center"/>
            <w:hideMark/>
          </w:tcPr>
          <w:p w14:paraId="32A9AD4F"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326A7BD4"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focuses on the ethical acceptability of euthanasia for healthcare professionals, stressing professional moral standards alongside public values.</w:t>
            </w:r>
          </w:p>
        </w:tc>
      </w:tr>
      <w:tr w:rsidR="00CE5861" w:rsidRPr="001256EA" w14:paraId="0BB0CDE3"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A5BA3D"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Universal ethical baseline versus cultural variation</w:t>
            </w:r>
          </w:p>
        </w:tc>
        <w:tc>
          <w:tcPr>
            <w:tcW w:w="0" w:type="auto"/>
            <w:vAlign w:val="center"/>
            <w:hideMark/>
          </w:tcPr>
          <w:p w14:paraId="06E6663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4FEB29D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highlights the importance of universal ethical principles as a baseline, while recognizing variations across cultural contexts.</w:t>
            </w:r>
          </w:p>
        </w:tc>
      </w:tr>
      <w:tr w:rsidR="00CE5861" w:rsidRPr="001256EA" w14:paraId="361C420F"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D73A76"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Human Rights Oversight and System Integrity</w:t>
            </w:r>
          </w:p>
        </w:tc>
        <w:tc>
          <w:tcPr>
            <w:tcW w:w="0" w:type="auto"/>
            <w:vAlign w:val="center"/>
            <w:hideMark/>
          </w:tcPr>
          <w:p w14:paraId="13EA6ECD"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ICHHR</w:t>
            </w:r>
          </w:p>
        </w:tc>
        <w:tc>
          <w:tcPr>
            <w:tcW w:w="0" w:type="auto"/>
            <w:vAlign w:val="center"/>
            <w:hideMark/>
          </w:tcPr>
          <w:p w14:paraId="23A96F36"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These groups emphasize embedding human rights </w:t>
            </w:r>
            <w:proofErr w:type="gramStart"/>
            <w:r w:rsidRPr="001256EA">
              <w:rPr>
                <w:rFonts w:ascii="Times New Roman" w:eastAsia="Times New Roman" w:hAnsi="Times New Roman" w:cs="Times New Roman"/>
                <w:sz w:val="20"/>
                <w:szCs w:val="20"/>
                <w:lang w:eastAsia="fr-FR"/>
              </w:rPr>
              <w:t>protections</w:t>
            </w:r>
            <w:proofErr w:type="gramEnd"/>
            <w:r w:rsidRPr="001256EA">
              <w:rPr>
                <w:rFonts w:ascii="Times New Roman" w:eastAsia="Times New Roman" w:hAnsi="Times New Roman" w:cs="Times New Roman"/>
                <w:sz w:val="20"/>
                <w:szCs w:val="20"/>
                <w:lang w:eastAsia="fr-FR"/>
              </w:rPr>
              <w:t xml:space="preserve"> and maintaining the integrity and public trust of the healthcare system as distinct priorities.</w:t>
            </w:r>
          </w:p>
        </w:tc>
      </w:tr>
    </w:tbl>
    <w:p w14:paraId="791AF378" w14:textId="74628AC8" w:rsidR="00CE5861" w:rsidRPr="001256EA" w:rsidRDefault="00C618D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D101DC" w:rsidRPr="001256EA">
        <w:rPr>
          <w:rFonts w:ascii="Times New Roman" w:hAnsi="Times New Roman" w:cs="Times New Roman"/>
          <w:sz w:val="24"/>
          <w:szCs w:val="24"/>
        </w:rPr>
        <w:t>11</w:t>
      </w:r>
      <w:r w:rsidR="00CE5861" w:rsidRPr="001256EA">
        <w:rPr>
          <w:rFonts w:ascii="Times New Roman" w:hAnsi="Times New Roman" w:cs="Times New Roman"/>
          <w:sz w:val="24"/>
          <w:szCs w:val="24"/>
        </w:rPr>
        <w:t xml:space="preserve"> indicate</w:t>
      </w:r>
      <w:r w:rsidRPr="001256EA">
        <w:rPr>
          <w:rFonts w:ascii="Times New Roman" w:hAnsi="Times New Roman" w:cs="Times New Roman"/>
          <w:sz w:val="24"/>
          <w:szCs w:val="24"/>
        </w:rPr>
        <w:t>s</w:t>
      </w:r>
      <w:r w:rsidR="00CE5861" w:rsidRPr="001256EA">
        <w:rPr>
          <w:rFonts w:ascii="Times New Roman" w:hAnsi="Times New Roman" w:cs="Times New Roman"/>
          <w:sz w:val="24"/>
          <w:szCs w:val="24"/>
        </w:rPr>
        <w:t xml:space="preserve"> two main orientations. For the Oversight and accountability bloc, MOJ stresses independent oversight and transparency for accountability, demonstrating a legal priority on monitoring and control. LNHRI focuses on independent reviews and public transparency to ensure trust and fairness, emphasizing the protection of human rights and public confidence. ICHHR highlights independent enforcement and public awareness for societal acceptance, adding an international dimension centered on legitimacy and civic engagement.</w:t>
      </w:r>
    </w:p>
    <w:p w14:paraId="19FB3948" w14:textId="29DEEDA9"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In the Regulatory infrastructure and procedures </w:t>
      </w:r>
      <w:r w:rsidR="0056414D" w:rsidRPr="001256EA">
        <w:rPr>
          <w:rFonts w:ascii="Times New Roman" w:hAnsi="Times New Roman" w:cs="Times New Roman"/>
          <w:sz w:val="24"/>
          <w:szCs w:val="24"/>
        </w:rPr>
        <w:t>block</w:t>
      </w:r>
      <w:r w:rsidRPr="001256EA">
        <w:rPr>
          <w:rFonts w:ascii="Times New Roman" w:hAnsi="Times New Roman" w:cs="Times New Roman"/>
          <w:sz w:val="24"/>
          <w:szCs w:val="24"/>
        </w:rPr>
        <w:t xml:space="preserve">, MOH emphasizes specialized regulatory body, training, and strict reporting requirements, illustrating the operational need for institutional and technical capacity. LHRI presents clear procedures and continuous legal updates aligned with standards, reflecting an adaptive and legally consistent approach. FRA </w:t>
      </w:r>
      <w:r w:rsidR="00802402" w:rsidRPr="001256EA">
        <w:rPr>
          <w:rFonts w:ascii="Times New Roman" w:hAnsi="Times New Roman" w:cs="Times New Roman"/>
          <w:sz w:val="24"/>
          <w:szCs w:val="24"/>
        </w:rPr>
        <w:t>contributes to the</w:t>
      </w:r>
      <w:r w:rsidRPr="001256EA">
        <w:rPr>
          <w:rFonts w:ascii="Times New Roman" w:hAnsi="Times New Roman" w:cs="Times New Roman"/>
          <w:sz w:val="24"/>
          <w:szCs w:val="24"/>
        </w:rPr>
        <w:t xml:space="preserve"> adoption of best practices, multidisciplinary expertise, and ongoing monitoring, indicating a focus on professionalization and continuous improvement.</w:t>
      </w:r>
    </w:p>
    <w:p w14:paraId="55D14E34" w14:textId="3FEAE6E7" w:rsidR="00CE5861" w:rsidRPr="001256EA" w:rsidRDefault="00CD2062" w:rsidP="00E86D6D">
      <w:pPr>
        <w:spacing w:line="240" w:lineRule="auto"/>
        <w:jc w:val="both"/>
        <w:rPr>
          <w:rFonts w:ascii="Times New Roman" w:hAnsi="Times New Roman" w:cs="Times New Roman"/>
        </w:rPr>
      </w:pPr>
      <w:r w:rsidRPr="001256EA">
        <w:rPr>
          <w:rFonts w:ascii="Times New Roman" w:hAnsi="Times New Roman" w:cs="Times New Roman"/>
          <w:noProof/>
          <w:sz w:val="24"/>
          <w:szCs w:val="24"/>
        </w:rPr>
        <w:drawing>
          <wp:anchor distT="0" distB="0" distL="114300" distR="114300" simplePos="0" relativeHeight="251681792" behindDoc="0" locked="0" layoutInCell="1" allowOverlap="1" wp14:anchorId="5A89D256" wp14:editId="3D6C7D2C">
            <wp:simplePos x="0" y="0"/>
            <wp:positionH relativeFrom="margin">
              <wp:align>right</wp:align>
            </wp:positionH>
            <wp:positionV relativeFrom="paragraph">
              <wp:posOffset>353060</wp:posOffset>
            </wp:positionV>
            <wp:extent cx="5753100" cy="20764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D101DC" w:rsidRPr="001256EA">
        <w:rPr>
          <w:rFonts w:ascii="Times New Roman" w:hAnsi="Times New Roman" w:cs="Times New Roman"/>
          <w:b/>
          <w:bCs/>
          <w:sz w:val="24"/>
          <w:szCs w:val="24"/>
        </w:rPr>
        <w:t>1</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3</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p w14:paraId="59B212EE"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thematic results reveal a strong convergence on key aspects of legal regulation and oversight of euthanasia. All categories (MOJ, MOH, LHRI, LNHRI, FRA, ICHHR) agree on the establishment of a strong legal framework, emphasizing explicit criteria, structured procedures, and robust compliance mechanisms. Several groups (MOJ, MOH, LNHRI, ICHHR) stress the importance of independent oversight mechanisms, highlighting the need for review bodies to ensure adherence to ethical and legal standards. Other convergences include the value of transparency and accountability (MOJ, LNHRI, ICHHR), which are seen as essential for public trust and legitimacy, continuous monitoring and updates (LHRI, FRA) to adapt to evolving ethical, medical, and social contexts, and multidisciplinary and educational approaches (MOH, FRA, ICHHR) to integrate diverse expertise and ensure informed professional practice.</w:t>
      </w:r>
    </w:p>
    <w:p w14:paraId="1F8D1FD6" w14:textId="023005BA"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235481" w:rsidRPr="001256EA">
        <w:rPr>
          <w:rFonts w:ascii="Times New Roman" w:hAnsi="Times New Roman" w:cs="Times New Roman"/>
          <w:b/>
          <w:bCs/>
          <w:sz w:val="24"/>
          <w:szCs w:val="24"/>
        </w:rPr>
        <w:t>9</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Legal Regulation and Oversight of the Euthanasia Institute</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304"/>
        <w:gridCol w:w="1777"/>
        <w:gridCol w:w="4991"/>
      </w:tblGrid>
      <w:tr w:rsidR="00CE5861" w:rsidRPr="001256EA" w14:paraId="5A62D2E8"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0B1363"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37F36ABF"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Agreement</w:t>
            </w:r>
          </w:p>
        </w:tc>
        <w:tc>
          <w:tcPr>
            <w:tcW w:w="0" w:type="auto"/>
            <w:vAlign w:val="center"/>
            <w:hideMark/>
          </w:tcPr>
          <w:p w14:paraId="1052FA8E"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5A80C78A"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41E666"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Establishment of a strong legal framework</w:t>
            </w:r>
          </w:p>
        </w:tc>
        <w:tc>
          <w:tcPr>
            <w:tcW w:w="0" w:type="auto"/>
            <w:vAlign w:val="center"/>
            <w:hideMark/>
          </w:tcPr>
          <w:p w14:paraId="2730A1E9"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0FC02CBB"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categories agree that euthanasia must be regulated through clear, robust legal frameworks that provide explicit criteria, procedures, and compliance mechanisms.</w:t>
            </w:r>
          </w:p>
        </w:tc>
      </w:tr>
      <w:tr w:rsidR="00CE5861" w:rsidRPr="001256EA" w14:paraId="4A113FB8"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73EF86"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Independent oversight mechanisms</w:t>
            </w:r>
          </w:p>
        </w:tc>
        <w:tc>
          <w:tcPr>
            <w:tcW w:w="0" w:type="auto"/>
            <w:vAlign w:val="center"/>
            <w:hideMark/>
          </w:tcPr>
          <w:p w14:paraId="0FB89ADC"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LNHRI, ICHHR</w:t>
            </w:r>
          </w:p>
        </w:tc>
        <w:tc>
          <w:tcPr>
            <w:tcW w:w="0" w:type="auto"/>
            <w:vAlign w:val="center"/>
            <w:hideMark/>
          </w:tcPr>
          <w:p w14:paraId="38199FB9"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Several groups emphasize the need for independent bodies or review boards to monitor euthanasia practices and ensure adherence to legal and ethical standards.</w:t>
            </w:r>
          </w:p>
        </w:tc>
      </w:tr>
      <w:tr w:rsidR="00CE5861" w:rsidRPr="001256EA" w14:paraId="425FAE89"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C64293"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Transparency and accountability</w:t>
            </w:r>
          </w:p>
        </w:tc>
        <w:tc>
          <w:tcPr>
            <w:tcW w:w="0" w:type="auto"/>
            <w:vAlign w:val="center"/>
            <w:hideMark/>
          </w:tcPr>
          <w:p w14:paraId="5AF4B4E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LNHRI, ICHHR</w:t>
            </w:r>
          </w:p>
        </w:tc>
        <w:tc>
          <w:tcPr>
            <w:tcW w:w="0" w:type="auto"/>
            <w:vAlign w:val="center"/>
            <w:hideMark/>
          </w:tcPr>
          <w:p w14:paraId="78CBED68"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groups highlight the importance of transparency, public trust, and accountability through audits, reporting systems, and public engagement.</w:t>
            </w:r>
          </w:p>
        </w:tc>
      </w:tr>
      <w:tr w:rsidR="00CE5861" w:rsidRPr="001256EA" w14:paraId="28E0D27F"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B78C11"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Continuous monitoring and updates</w:t>
            </w:r>
          </w:p>
        </w:tc>
        <w:tc>
          <w:tcPr>
            <w:tcW w:w="0" w:type="auto"/>
            <w:vAlign w:val="center"/>
            <w:hideMark/>
          </w:tcPr>
          <w:p w14:paraId="7B856142"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FRA</w:t>
            </w:r>
          </w:p>
        </w:tc>
        <w:tc>
          <w:tcPr>
            <w:tcW w:w="0" w:type="auto"/>
            <w:vAlign w:val="center"/>
            <w:hideMark/>
          </w:tcPr>
          <w:p w14:paraId="46F10F32"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Both categories stress the need for ongoing review and adaptation of regulations to respond to emerging ethical, medical, and social developments.</w:t>
            </w:r>
          </w:p>
        </w:tc>
      </w:tr>
      <w:tr w:rsidR="00CE5861" w:rsidRPr="001256EA" w14:paraId="00FB926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F82A1A"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Multidisciplinary and educational approaches</w:t>
            </w:r>
          </w:p>
        </w:tc>
        <w:tc>
          <w:tcPr>
            <w:tcW w:w="0" w:type="auto"/>
            <w:vAlign w:val="center"/>
            <w:hideMark/>
          </w:tcPr>
          <w:p w14:paraId="72740AB9"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FRA, ICHHR</w:t>
            </w:r>
          </w:p>
        </w:tc>
        <w:tc>
          <w:tcPr>
            <w:tcW w:w="0" w:type="auto"/>
            <w:vAlign w:val="center"/>
            <w:hideMark/>
          </w:tcPr>
          <w:p w14:paraId="68CC4EE5"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groups note the importance of multidisciplinary expertise (legal, medical, ethical) and public or professional education to ensure proper understanding and compliance with regulations.</w:t>
            </w:r>
          </w:p>
        </w:tc>
      </w:tr>
    </w:tbl>
    <w:p w14:paraId="21890943" w14:textId="2599C6EE" w:rsidR="00235481" w:rsidRPr="001256EA" w:rsidRDefault="00CE5861" w:rsidP="00D0195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Divergences reflect the distinct mandates of each category. MOJ prioritizes regular audits and compliance control, reflecting a legalistic approach to accountability. MOH emphasizes professional training as a core element, underlining the practical readiness of healthcare professionals. LHRI focuses on international alignment and legal adaptability, emphasizing harmonization with global standards. LNHRI highlights public participation in regulation, linking societal involvement with legitimacy and trust. FRA emphasizes adoption of best practices from other countries, showing an outward-looking orientation. ICHHR uniquely prioritizes public education and awareness campaigns, focusing on public understanding and acceptance of the regulatory framework. These divergences illustrate how shared regulatory goals are pursued through different operational strategies, reflecting institutional roles and perspectives.</w:t>
      </w:r>
    </w:p>
    <w:p w14:paraId="0EA5BB44" w14:textId="2097640F"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235481" w:rsidRPr="001256EA">
        <w:rPr>
          <w:rFonts w:ascii="Times New Roman" w:hAnsi="Times New Roman" w:cs="Times New Roman"/>
          <w:b/>
          <w:bCs/>
          <w:sz w:val="24"/>
          <w:szCs w:val="24"/>
        </w:rPr>
        <w:t>10</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Legal Regulation and Oversight of the Euthanasia Institute</w:t>
      </w:r>
      <w:r w:rsidR="005A2D5A" w:rsidRPr="001256EA">
        <w:rPr>
          <w:rFonts w:ascii="Times New Roman" w:hAnsi="Times New Roman" w:cs="Times New Roman"/>
          <w:sz w:val="24"/>
          <w:szCs w:val="24"/>
        </w:rPr>
        <w:t xml:space="preserve"> </w:t>
      </w:r>
      <w:r w:rsidR="0056414D" w:rsidRPr="001256EA">
        <w:rPr>
          <w:rFonts w:ascii="Times New Roman" w:eastAsia="Calibri" w:hAnsi="Times New Roman" w:cs="Times New Roman"/>
          <w:sz w:val="24"/>
          <w:szCs w:val="24"/>
        </w:rPr>
        <w:t>(compiled by the author b</w:t>
      </w:r>
      <w:r w:rsidR="0056414D"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457"/>
        <w:gridCol w:w="1760"/>
        <w:gridCol w:w="4855"/>
      </w:tblGrid>
      <w:tr w:rsidR="00CE5861" w:rsidRPr="001256EA" w14:paraId="53B8A8AD"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0DD80E"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392634FA" w14:textId="77777777" w:rsidR="00CE5861" w:rsidRPr="001256EA" w:rsidRDefault="00CE5861" w:rsidP="00EA5C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disagreement</w:t>
            </w:r>
          </w:p>
        </w:tc>
        <w:tc>
          <w:tcPr>
            <w:tcW w:w="0" w:type="auto"/>
            <w:vAlign w:val="center"/>
            <w:hideMark/>
          </w:tcPr>
          <w:p w14:paraId="09CB34E3" w14:textId="77777777" w:rsidR="00CE5861" w:rsidRPr="001256EA" w:rsidRDefault="00CE5861" w:rsidP="00EA5C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363B7A0D"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2BE83C"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Emphasis on regular audits and compliance control</w:t>
            </w:r>
          </w:p>
        </w:tc>
        <w:tc>
          <w:tcPr>
            <w:tcW w:w="0" w:type="auto"/>
            <w:vAlign w:val="center"/>
            <w:hideMark/>
          </w:tcPr>
          <w:p w14:paraId="25793B83"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36ECD1DA"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focuses strongly on audit systems and structured compliance mechanisms as key regulatory tools.</w:t>
            </w:r>
          </w:p>
        </w:tc>
      </w:tr>
      <w:tr w:rsidR="00CE5861" w:rsidRPr="001256EA" w14:paraId="34980B87"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C6271B"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Professional training as a core element</w:t>
            </w:r>
          </w:p>
        </w:tc>
        <w:tc>
          <w:tcPr>
            <w:tcW w:w="0" w:type="auto"/>
            <w:vAlign w:val="center"/>
            <w:hideMark/>
          </w:tcPr>
          <w:p w14:paraId="26D6FD3E"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20BE0379"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highlights training healthcare professionals on legal and ethical aspects as a central requirement for implementation.</w:t>
            </w:r>
          </w:p>
        </w:tc>
      </w:tr>
      <w:tr w:rsidR="00CE5861" w:rsidRPr="001256EA" w14:paraId="1C9A2074"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FF1A53"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International alignment and legal adaptability</w:t>
            </w:r>
          </w:p>
        </w:tc>
        <w:tc>
          <w:tcPr>
            <w:tcW w:w="0" w:type="auto"/>
            <w:vAlign w:val="center"/>
            <w:hideMark/>
          </w:tcPr>
          <w:p w14:paraId="20A1CBA7"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vAlign w:val="center"/>
            <w:hideMark/>
          </w:tcPr>
          <w:p w14:paraId="7A0E95EA"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emphasizes aligning regulations with international standards and updating laws in response to evolving ethical and medical contexts.</w:t>
            </w:r>
          </w:p>
        </w:tc>
      </w:tr>
      <w:tr w:rsidR="00CE5861" w:rsidRPr="001256EA" w14:paraId="59DC44BC"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DBD216"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Public participation in regulation</w:t>
            </w:r>
          </w:p>
        </w:tc>
        <w:tc>
          <w:tcPr>
            <w:tcW w:w="0" w:type="auto"/>
            <w:vAlign w:val="center"/>
            <w:hideMark/>
          </w:tcPr>
          <w:p w14:paraId="0F178EEE"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w:t>
            </w:r>
          </w:p>
        </w:tc>
        <w:tc>
          <w:tcPr>
            <w:tcW w:w="0" w:type="auto"/>
            <w:vAlign w:val="center"/>
            <w:hideMark/>
          </w:tcPr>
          <w:p w14:paraId="15D2FA62"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underscores involving the public in regulatory processes to enhance transparency and societal trust.</w:t>
            </w:r>
          </w:p>
        </w:tc>
      </w:tr>
      <w:tr w:rsidR="00CE5861" w:rsidRPr="001256EA" w14:paraId="0C4C43F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45D6E8"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Adoption of best practices from other countries</w:t>
            </w:r>
          </w:p>
        </w:tc>
        <w:tc>
          <w:tcPr>
            <w:tcW w:w="0" w:type="auto"/>
            <w:vAlign w:val="center"/>
            <w:hideMark/>
          </w:tcPr>
          <w:p w14:paraId="7C5270B9"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01BB5F86" w14:textId="77777777" w:rsidR="00CE5861" w:rsidRPr="001256EA" w:rsidRDefault="00CE5861" w:rsidP="00EA5C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prioritizes learning from international experiences and applying comparative best practices to strengthen regulation.</w:t>
            </w:r>
          </w:p>
        </w:tc>
      </w:tr>
      <w:tr w:rsidR="00CE5861" w:rsidRPr="001256EA" w14:paraId="4A311A2D" w14:textId="77777777" w:rsidTr="00DC2577">
        <w:trPr>
          <w:trHeight w:val="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D81B9E" w14:textId="77777777" w:rsidR="00CE5861" w:rsidRPr="001256EA" w:rsidRDefault="00CE5861" w:rsidP="00EA5C5B">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Public education and awareness campaigns</w:t>
            </w:r>
          </w:p>
        </w:tc>
        <w:tc>
          <w:tcPr>
            <w:tcW w:w="0" w:type="auto"/>
            <w:vAlign w:val="center"/>
            <w:hideMark/>
          </w:tcPr>
          <w:p w14:paraId="51A878C5"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w:t>
            </w:r>
          </w:p>
        </w:tc>
        <w:tc>
          <w:tcPr>
            <w:tcW w:w="0" w:type="auto"/>
            <w:vAlign w:val="center"/>
            <w:hideMark/>
          </w:tcPr>
          <w:p w14:paraId="472DFC33" w14:textId="77777777" w:rsidR="00CE5861" w:rsidRPr="001256EA" w:rsidRDefault="00CE5861" w:rsidP="00EA5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uniquely emphasizes educating the public on the legal and ethical frameworks to foster understanding and acceptance.</w:t>
            </w:r>
          </w:p>
        </w:tc>
      </w:tr>
    </w:tbl>
    <w:p w14:paraId="290EB43B" w14:textId="561071B8" w:rsidR="00C618D1" w:rsidRPr="001256EA" w:rsidRDefault="002F0A02" w:rsidP="003239B1">
      <w:pPr>
        <w:spacing w:after="0" w:line="360" w:lineRule="auto"/>
        <w:ind w:firstLine="737"/>
        <w:jc w:val="both"/>
        <w:rPr>
          <w:rFonts w:ascii="Times New Roman" w:hAnsi="Times New Roman" w:cs="Times New Roman"/>
          <w:sz w:val="24"/>
          <w:szCs w:val="24"/>
        </w:rPr>
      </w:pPr>
      <w:r w:rsidRPr="001256EA">
        <w:rPr>
          <w:rFonts w:ascii="Times New Roman" w:hAnsi="Times New Roman" w:cs="Times New Roman"/>
          <w:sz w:val="24"/>
          <w:szCs w:val="24"/>
        </w:rPr>
        <w:t xml:space="preserve">Table No </w:t>
      </w:r>
      <w:r w:rsidR="00235481" w:rsidRPr="001256EA">
        <w:rPr>
          <w:rFonts w:ascii="Times New Roman" w:hAnsi="Times New Roman" w:cs="Times New Roman"/>
          <w:sz w:val="24"/>
          <w:szCs w:val="24"/>
        </w:rPr>
        <w:t>10</w:t>
      </w:r>
      <w:r w:rsidRPr="001256EA">
        <w:rPr>
          <w:rFonts w:ascii="Times New Roman" w:hAnsi="Times New Roman" w:cs="Times New Roman"/>
          <w:sz w:val="24"/>
          <w:szCs w:val="24"/>
        </w:rPr>
        <w:t xml:space="preserve"> summarizes the positions of different institutions on the legal regulation and supervision of the institution of euthanasia. It is revealed that the approaches of the institutions differ in the emphasis on regulatory measures – from administrative control and professional training to international compatibility, public involvement and public education. These differences indicate the multifaceted nature of euthanasia regulation and the need to reconcile different aspects of institutional responsibility and public interest.</w:t>
      </w:r>
    </w:p>
    <w:p w14:paraId="449BFA38" w14:textId="4C197C83" w:rsidR="00CE5861" w:rsidRPr="001256EA" w:rsidRDefault="00C618D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D101DC" w:rsidRPr="001256EA">
        <w:rPr>
          <w:rFonts w:ascii="Times New Roman" w:hAnsi="Times New Roman" w:cs="Times New Roman"/>
          <w:sz w:val="24"/>
          <w:szCs w:val="24"/>
        </w:rPr>
        <w:t>12</w:t>
      </w:r>
      <w:r w:rsidR="00CE5861" w:rsidRPr="001256EA">
        <w:rPr>
          <w:rFonts w:ascii="Times New Roman" w:hAnsi="Times New Roman" w:cs="Times New Roman"/>
          <w:sz w:val="24"/>
          <w:szCs w:val="24"/>
        </w:rPr>
        <w:t xml:space="preserve"> show</w:t>
      </w:r>
      <w:r w:rsidRPr="001256EA">
        <w:rPr>
          <w:rFonts w:ascii="Times New Roman" w:hAnsi="Times New Roman" w:cs="Times New Roman"/>
          <w:sz w:val="24"/>
          <w:szCs w:val="24"/>
        </w:rPr>
        <w:t>s</w:t>
      </w:r>
      <w:r w:rsidR="00CE5861" w:rsidRPr="001256EA">
        <w:rPr>
          <w:rFonts w:ascii="Times New Roman" w:hAnsi="Times New Roman" w:cs="Times New Roman"/>
          <w:sz w:val="24"/>
          <w:szCs w:val="24"/>
        </w:rPr>
        <w:t xml:space="preserve"> two distinct yet interconnected orientations. For the Ethical safeguards and professional practices </w:t>
      </w:r>
      <w:r w:rsidR="002F0A02" w:rsidRPr="001256EA">
        <w:rPr>
          <w:rFonts w:ascii="Times New Roman" w:hAnsi="Times New Roman" w:cs="Times New Roman"/>
          <w:sz w:val="24"/>
          <w:szCs w:val="24"/>
        </w:rPr>
        <w:t>block</w:t>
      </w:r>
      <w:r w:rsidR="00CE5861" w:rsidRPr="001256EA">
        <w:rPr>
          <w:rFonts w:ascii="Times New Roman" w:hAnsi="Times New Roman" w:cs="Times New Roman"/>
          <w:sz w:val="24"/>
          <w:szCs w:val="24"/>
        </w:rPr>
        <w:t>, MOH highlights second opinions, documentation, and ethical training to prevent misconduct, emphasizing preventive measures rooted in medical ethics. LNHRI focuses on independent ethical reviews, informed consent, and transparency for public trust, reflecting a human rights perspective that prioritizes social legitimacy. FRA stresses adoption of best practices, regulatory updates, and ethical responsibility promotion, indicating a commitment to continuous improvement and ethical accountability.</w:t>
      </w:r>
    </w:p>
    <w:p w14:paraId="6A9E6A12" w14:textId="3AE319CE" w:rsidR="002F3F6D"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For the Oversight and monitoring systems </w:t>
      </w:r>
      <w:r w:rsidR="002F0A02" w:rsidRPr="001256EA">
        <w:rPr>
          <w:rFonts w:ascii="Times New Roman" w:hAnsi="Times New Roman" w:cs="Times New Roman"/>
          <w:sz w:val="24"/>
          <w:szCs w:val="24"/>
        </w:rPr>
        <w:t>block</w:t>
      </w:r>
      <w:r w:rsidRPr="001256EA">
        <w:rPr>
          <w:rFonts w:ascii="Times New Roman" w:hAnsi="Times New Roman" w:cs="Times New Roman"/>
          <w:sz w:val="24"/>
          <w:szCs w:val="24"/>
        </w:rPr>
        <w:t>, MOJ underlines strict eligibility checks, independent oversight, and complaint mechanisms for abuse prevention, illustrating a legal and procedural focus on risk mitigation. LHRI emphasizes monitoring systems, ethical reviews, and strict penalties to deter abuse, combining regulatory enforcement with ethical controls. ICHHR highlights robust checks, independent audits, and public awareness of standards, adding an international dimension focused on transparency and public engagement.</w:t>
      </w:r>
    </w:p>
    <w:p w14:paraId="268CBB4A" w14:textId="3561D385" w:rsidR="00CE5861" w:rsidRPr="001256EA" w:rsidRDefault="00235481" w:rsidP="00E86D6D">
      <w:pPr>
        <w:spacing w:line="240" w:lineRule="auto"/>
        <w:jc w:val="both"/>
        <w:rPr>
          <w:rFonts w:ascii="Times New Roman" w:hAnsi="Times New Roman" w:cs="Times New Roman"/>
        </w:rPr>
      </w:pPr>
      <w:r w:rsidRPr="001256EA">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3F366B49" wp14:editId="5AA962F6">
            <wp:simplePos x="0" y="0"/>
            <wp:positionH relativeFrom="margin">
              <wp:posOffset>-1270</wp:posOffset>
            </wp:positionH>
            <wp:positionV relativeFrom="paragraph">
              <wp:posOffset>390525</wp:posOffset>
            </wp:positionV>
            <wp:extent cx="5759450" cy="20828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D101DC" w:rsidRPr="001256EA">
        <w:rPr>
          <w:rFonts w:ascii="Times New Roman" w:hAnsi="Times New Roman" w:cs="Times New Roman"/>
          <w:b/>
          <w:bCs/>
          <w:sz w:val="24"/>
          <w:szCs w:val="24"/>
        </w:rPr>
        <w:t>2</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4</w:t>
      </w:r>
      <w:r w:rsidR="005A2D5A" w:rsidRPr="001256EA">
        <w:rPr>
          <w:rFonts w:ascii="Times New Roman" w:hAnsi="Times New Roman" w:cs="Times New Roman"/>
          <w:sz w:val="24"/>
          <w:szCs w:val="24"/>
        </w:rPr>
        <w:t xml:space="preserve"> </w:t>
      </w:r>
      <w:r w:rsidR="002F0A02" w:rsidRPr="001256EA">
        <w:rPr>
          <w:rFonts w:ascii="Times New Roman" w:eastAsia="Calibri" w:hAnsi="Times New Roman" w:cs="Times New Roman"/>
          <w:sz w:val="24"/>
          <w:szCs w:val="24"/>
        </w:rPr>
        <w:t>(compiled by the author b</w:t>
      </w:r>
      <w:r w:rsidR="002F0A02" w:rsidRPr="001256EA">
        <w:rPr>
          <w:rFonts w:ascii="Times New Roman" w:hAnsi="Times New Roman" w:cs="Times New Roman"/>
          <w:sz w:val="24"/>
          <w:szCs w:val="24"/>
        </w:rPr>
        <w:t xml:space="preserve">ased on the </w:t>
      </w:r>
      <w:proofErr w:type="gramStart"/>
      <w:r w:rsidR="002F0A02" w:rsidRPr="001256EA">
        <w:rPr>
          <w:rFonts w:ascii="Times New Roman" w:hAnsi="Times New Roman" w:cs="Times New Roman"/>
          <w:sz w:val="24"/>
          <w:szCs w:val="24"/>
        </w:rPr>
        <w:t>research’s</w:t>
      </w:r>
      <w:proofErr w:type="gramEnd"/>
      <w:r w:rsidR="002F0A02" w:rsidRPr="001256EA">
        <w:rPr>
          <w:rFonts w:ascii="Times New Roman" w:hAnsi="Times New Roman" w:cs="Times New Roman"/>
          <w:sz w:val="24"/>
          <w:szCs w:val="24"/>
        </w:rPr>
        <w:t xml:space="preserve"> results)</w:t>
      </w:r>
    </w:p>
    <w:p w14:paraId="7FF9CC03" w14:textId="726A8F25"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thematic results show strong convergence on key measures to prevent abuses within the euthanasia institute. Several groups (MOJ, LHRI, LNHRI, ICHHR) emphasize independent oversight and monitoring, highlighting the role of review bodies, audits, and ethics committees in ensuring compliance. MOJ, MOH, LNHRI, ICHHR agree on the need for transparent complaint and reporting mechanisms, stressing detailed documentation and clear accountability processes to address misconduct effectively. LHRI, FRA, MOH focus on continuous ethical and legal review, underscoring the importance of regulatory updates and ethical vigilance to respond to emerging challenges. In addition, MOH and FRA highlight ethical culture and professional training, aimed at strengthening ethical responsibility among healthcare providers. Finally, LNHRI and ICHHR emphasize public awareness and trust-building, linking transparency and public engagement with abuse prevention.</w:t>
      </w:r>
    </w:p>
    <w:p w14:paraId="2D148FE5" w14:textId="3BB10FC1"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24734A" w:rsidRPr="001256EA">
        <w:rPr>
          <w:rFonts w:ascii="Times New Roman" w:hAnsi="Times New Roman" w:cs="Times New Roman"/>
          <w:b/>
          <w:bCs/>
          <w:sz w:val="24"/>
          <w:szCs w:val="24"/>
        </w:rPr>
        <w:t>1</w:t>
      </w:r>
      <w:r w:rsidR="00235481" w:rsidRPr="001256EA">
        <w:rPr>
          <w:rFonts w:ascii="Times New Roman" w:hAnsi="Times New Roman" w:cs="Times New Roman"/>
          <w:b/>
          <w:bCs/>
          <w:sz w:val="24"/>
          <w:szCs w:val="24"/>
        </w:rPr>
        <w:t>1</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Preventing Abuses Within the Euthanasia Institute</w:t>
      </w:r>
      <w:r w:rsidR="005A2D5A" w:rsidRPr="001256EA">
        <w:rPr>
          <w:rFonts w:ascii="Times New Roman" w:hAnsi="Times New Roman" w:cs="Times New Roman"/>
          <w:sz w:val="24"/>
          <w:szCs w:val="24"/>
        </w:rPr>
        <w:t xml:space="preserve"> </w:t>
      </w:r>
      <w:r w:rsidR="002F0A02" w:rsidRPr="001256EA">
        <w:rPr>
          <w:rFonts w:ascii="Times New Roman" w:eastAsia="Calibri" w:hAnsi="Times New Roman" w:cs="Times New Roman"/>
          <w:sz w:val="24"/>
          <w:szCs w:val="24"/>
        </w:rPr>
        <w:t>(compiled by the author b</w:t>
      </w:r>
      <w:r w:rsidR="002F0A02"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314"/>
        <w:gridCol w:w="1619"/>
        <w:gridCol w:w="5139"/>
      </w:tblGrid>
      <w:tr w:rsidR="00CE5861" w:rsidRPr="001256EA" w14:paraId="02F78316"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E100F6"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3AEE9CC2" w14:textId="2DE8005C"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Agreement</w:t>
            </w:r>
          </w:p>
        </w:tc>
        <w:tc>
          <w:tcPr>
            <w:tcW w:w="0" w:type="auto"/>
            <w:vAlign w:val="center"/>
            <w:hideMark/>
          </w:tcPr>
          <w:p w14:paraId="6F008B93" w14:textId="6C516ECE"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185F5E12"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6CA00E"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Independent oversight and monitoring</w:t>
            </w:r>
          </w:p>
        </w:tc>
        <w:tc>
          <w:tcPr>
            <w:tcW w:w="0" w:type="auto"/>
            <w:vAlign w:val="center"/>
            <w:hideMark/>
          </w:tcPr>
          <w:p w14:paraId="1E453AB7"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LHRI, LNHRI, ICHHR</w:t>
            </w:r>
          </w:p>
        </w:tc>
        <w:tc>
          <w:tcPr>
            <w:tcW w:w="0" w:type="auto"/>
            <w:vAlign w:val="center"/>
            <w:hideMark/>
          </w:tcPr>
          <w:p w14:paraId="60EA522C" w14:textId="1F6698FE"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Multiple groups emphasize the need for independent review bodies, audits, or ethics committees to oversee euthanasia practices and detect potential misconduct.</w:t>
            </w:r>
          </w:p>
        </w:tc>
      </w:tr>
      <w:tr w:rsidR="00CE5861" w:rsidRPr="001256EA" w14:paraId="58268297"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A8843A"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Transparent complaint and reporting mechanisms</w:t>
            </w:r>
          </w:p>
        </w:tc>
        <w:tc>
          <w:tcPr>
            <w:tcW w:w="0" w:type="auto"/>
            <w:vAlign w:val="center"/>
            <w:hideMark/>
          </w:tcPr>
          <w:p w14:paraId="64E55493"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LNHRI, ICHHR</w:t>
            </w:r>
          </w:p>
        </w:tc>
        <w:tc>
          <w:tcPr>
            <w:tcW w:w="0" w:type="auto"/>
            <w:vAlign w:val="center"/>
            <w:hideMark/>
          </w:tcPr>
          <w:p w14:paraId="4CEA6B63"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groups stress the importance of detailed documentation, transparent complaint systems, and accountability measures to prevent and address abuses.</w:t>
            </w:r>
          </w:p>
        </w:tc>
      </w:tr>
      <w:tr w:rsidR="00CE5861" w:rsidRPr="001256EA" w14:paraId="739AA5BA"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6CBB96"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Continuous ethical and legal review</w:t>
            </w:r>
          </w:p>
        </w:tc>
        <w:tc>
          <w:tcPr>
            <w:tcW w:w="0" w:type="auto"/>
            <w:vAlign w:val="center"/>
            <w:hideMark/>
          </w:tcPr>
          <w:p w14:paraId="5E65567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FRA, MOH</w:t>
            </w:r>
          </w:p>
        </w:tc>
        <w:tc>
          <w:tcPr>
            <w:tcW w:w="0" w:type="auto"/>
            <w:vAlign w:val="center"/>
            <w:hideMark/>
          </w:tcPr>
          <w:p w14:paraId="70B1E492"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Several categories agree on the need for ongoing updates to regulations and ethical standards to adapt to emerging challenges and maintain strong safeguards.</w:t>
            </w:r>
          </w:p>
        </w:tc>
      </w:tr>
      <w:tr w:rsidR="00CE5861" w:rsidRPr="001256EA" w14:paraId="69867CD2"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D4D7F8"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Ethical culture and professional training</w:t>
            </w:r>
          </w:p>
        </w:tc>
        <w:tc>
          <w:tcPr>
            <w:tcW w:w="0" w:type="auto"/>
            <w:vAlign w:val="center"/>
            <w:hideMark/>
          </w:tcPr>
          <w:p w14:paraId="166E0144"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FRA</w:t>
            </w:r>
          </w:p>
        </w:tc>
        <w:tc>
          <w:tcPr>
            <w:tcW w:w="0" w:type="auto"/>
            <w:vAlign w:val="center"/>
            <w:hideMark/>
          </w:tcPr>
          <w:p w14:paraId="15333BB6"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Some groups highlight cultivating ethical responsibility among healthcare providers and providing training on legal and ethical standards as preventive measures.</w:t>
            </w:r>
          </w:p>
        </w:tc>
      </w:tr>
      <w:tr w:rsidR="00CE5861" w:rsidRPr="001256EA" w14:paraId="77C8006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6F7DF8"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Public awareness and trust-building</w:t>
            </w:r>
          </w:p>
        </w:tc>
        <w:tc>
          <w:tcPr>
            <w:tcW w:w="0" w:type="auto"/>
            <w:vAlign w:val="center"/>
            <w:hideMark/>
          </w:tcPr>
          <w:p w14:paraId="3B4092B2"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ICHHR</w:t>
            </w:r>
          </w:p>
        </w:tc>
        <w:tc>
          <w:tcPr>
            <w:tcW w:w="0" w:type="auto"/>
            <w:vAlign w:val="center"/>
            <w:hideMark/>
          </w:tcPr>
          <w:p w14:paraId="37489D5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Both categories emphasize informing the public about euthanasia procedures and ethical standards to foster trust and deter potential abuse.</w:t>
            </w:r>
          </w:p>
        </w:tc>
      </w:tr>
    </w:tbl>
    <w:p w14:paraId="75C968CA" w14:textId="057E302A"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Divergences reveal how institutional priorities shape the approach to safeguards. MOJ places unique emphasis on eligibility criteria and complaint processes, prioritizing rigorous vetting and transparent reviews. MOH focuses on second opinions and paper trail emphasis, ensuring robust case documentation. LHRI stresses strict penalties for violations as a deterrent, while LNHRI prioritizes informed consent emphasis to protect patient rights. FRA underscores adoption of international best practices, drawing lessons from established frameworks, and ICHHR highlights checks and balances with public awareness as critical to fostering trust and preventing misconduct. These differences indicate a shared commitment to preventing </w:t>
      </w:r>
      <w:r w:rsidR="002F0A02" w:rsidRPr="001256EA">
        <w:rPr>
          <w:rFonts w:ascii="Times New Roman" w:hAnsi="Times New Roman" w:cs="Times New Roman"/>
          <w:sz w:val="24"/>
          <w:szCs w:val="24"/>
        </w:rPr>
        <w:t>abuse</w:t>
      </w:r>
      <w:r w:rsidRPr="001256EA">
        <w:rPr>
          <w:rFonts w:ascii="Times New Roman" w:hAnsi="Times New Roman" w:cs="Times New Roman"/>
          <w:sz w:val="24"/>
          <w:szCs w:val="24"/>
        </w:rPr>
        <w:t>, implemented through institution-specific mechanisms.</w:t>
      </w:r>
    </w:p>
    <w:p w14:paraId="4AC60B1D" w14:textId="1533AC65"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24734A" w:rsidRPr="001256EA">
        <w:rPr>
          <w:rFonts w:ascii="Times New Roman" w:hAnsi="Times New Roman" w:cs="Times New Roman"/>
          <w:b/>
          <w:bCs/>
          <w:sz w:val="24"/>
          <w:szCs w:val="24"/>
        </w:rPr>
        <w:t>1</w:t>
      </w:r>
      <w:r w:rsidR="00235481" w:rsidRPr="001256EA">
        <w:rPr>
          <w:rFonts w:ascii="Times New Roman" w:hAnsi="Times New Roman" w:cs="Times New Roman"/>
          <w:b/>
          <w:bCs/>
          <w:sz w:val="24"/>
          <w:szCs w:val="24"/>
        </w:rPr>
        <w:t>2</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Preventing Abuses Within the Euthanasia Institute</w:t>
      </w:r>
      <w:r w:rsidR="002F0A02" w:rsidRPr="001256EA">
        <w:rPr>
          <w:rFonts w:ascii="Times New Roman" w:hAnsi="Times New Roman" w:cs="Times New Roman"/>
          <w:sz w:val="24"/>
          <w:szCs w:val="24"/>
        </w:rPr>
        <w:t xml:space="preserve"> </w:t>
      </w:r>
      <w:r w:rsidR="002F0A02" w:rsidRPr="001256EA">
        <w:rPr>
          <w:rFonts w:ascii="Times New Roman" w:eastAsia="Calibri" w:hAnsi="Times New Roman" w:cs="Times New Roman"/>
          <w:sz w:val="24"/>
          <w:szCs w:val="24"/>
        </w:rPr>
        <w:t>(compiled by the author b</w:t>
      </w:r>
      <w:r w:rsidR="002F0A02"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324"/>
        <w:gridCol w:w="1811"/>
        <w:gridCol w:w="4937"/>
      </w:tblGrid>
      <w:tr w:rsidR="00CE5861" w:rsidRPr="001256EA" w14:paraId="15199D64"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A52995"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1D390F00" w14:textId="75BB5AE7"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disagreement</w:t>
            </w:r>
          </w:p>
        </w:tc>
        <w:tc>
          <w:tcPr>
            <w:tcW w:w="0" w:type="auto"/>
            <w:vAlign w:val="center"/>
            <w:hideMark/>
          </w:tcPr>
          <w:p w14:paraId="31012C9F"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655B9A4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B7BFB3"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Eligibility criteria and complaint processes</w:t>
            </w:r>
          </w:p>
        </w:tc>
        <w:tc>
          <w:tcPr>
            <w:tcW w:w="0" w:type="auto"/>
            <w:vAlign w:val="center"/>
            <w:hideMark/>
          </w:tcPr>
          <w:p w14:paraId="2E41FC9C"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3484CA8F"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uniquely emphasizes strict eligibility vetting and transparent complaint reviews as the core of abuse prevention.</w:t>
            </w:r>
          </w:p>
        </w:tc>
      </w:tr>
      <w:tr w:rsidR="00CE5861" w:rsidRPr="001256EA" w14:paraId="73AC0D3A"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3A76D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Second opinions and paper trail emphasis</w:t>
            </w:r>
          </w:p>
        </w:tc>
        <w:tc>
          <w:tcPr>
            <w:tcW w:w="0" w:type="auto"/>
            <w:vAlign w:val="center"/>
            <w:hideMark/>
          </w:tcPr>
          <w:p w14:paraId="0BED5F1D"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2C668293"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focuses on mandatory second opinions and detailed case documentation as key safeguards.</w:t>
            </w:r>
          </w:p>
        </w:tc>
      </w:tr>
      <w:tr w:rsidR="00CE5861" w:rsidRPr="001256EA" w14:paraId="3C559634"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846361" w14:textId="04CC3946" w:rsidR="00CE5861" w:rsidRPr="001256EA" w:rsidRDefault="00C618D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Strict penalty</w:t>
            </w:r>
            <w:r w:rsidR="00CE5861" w:rsidRPr="001256EA">
              <w:rPr>
                <w:rFonts w:ascii="Times New Roman" w:eastAsia="Times New Roman" w:hAnsi="Times New Roman" w:cs="Times New Roman"/>
                <w:sz w:val="20"/>
                <w:szCs w:val="20"/>
                <w:lang w:eastAsia="fr-FR"/>
              </w:rPr>
              <w:t xml:space="preserve"> for violations</w:t>
            </w:r>
          </w:p>
        </w:tc>
        <w:tc>
          <w:tcPr>
            <w:tcW w:w="0" w:type="auto"/>
            <w:vAlign w:val="center"/>
            <w:hideMark/>
          </w:tcPr>
          <w:p w14:paraId="33E55D13"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vAlign w:val="center"/>
            <w:hideMark/>
          </w:tcPr>
          <w:p w14:paraId="01307DC5"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highlights punitive measures, such as strong penalties, as deterrents against misconduct.</w:t>
            </w:r>
          </w:p>
        </w:tc>
      </w:tr>
      <w:tr w:rsidR="00CE5861" w:rsidRPr="001256EA" w14:paraId="762063B8"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70261A" w14:textId="05315B0D" w:rsidR="00CE5861" w:rsidRPr="001256EA" w:rsidRDefault="00C618D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Informe</w:t>
            </w:r>
            <w:r w:rsidR="00CE5861" w:rsidRPr="001256EA">
              <w:rPr>
                <w:rFonts w:ascii="Times New Roman" w:eastAsia="Times New Roman" w:hAnsi="Times New Roman" w:cs="Times New Roman"/>
                <w:sz w:val="20"/>
                <w:szCs w:val="20"/>
                <w:lang w:eastAsia="fr-FR"/>
              </w:rPr>
              <w:t xml:space="preserve"> consent </w:t>
            </w:r>
            <w:r w:rsidRPr="001256EA">
              <w:rPr>
                <w:rFonts w:ascii="Times New Roman" w:eastAsia="Times New Roman" w:hAnsi="Times New Roman" w:cs="Times New Roman"/>
                <w:sz w:val="20"/>
                <w:szCs w:val="20"/>
                <w:lang w:eastAsia="fr-FR"/>
              </w:rPr>
              <w:t>emphases</w:t>
            </w:r>
          </w:p>
        </w:tc>
        <w:tc>
          <w:tcPr>
            <w:tcW w:w="0" w:type="auto"/>
            <w:vAlign w:val="center"/>
            <w:hideMark/>
          </w:tcPr>
          <w:p w14:paraId="7B72973F"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w:t>
            </w:r>
          </w:p>
        </w:tc>
        <w:tc>
          <w:tcPr>
            <w:tcW w:w="0" w:type="auto"/>
            <w:vAlign w:val="center"/>
            <w:hideMark/>
          </w:tcPr>
          <w:p w14:paraId="762149FD" w14:textId="57712216"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LNHRI prioritizes comprehensive informed consent processes to protect </w:t>
            </w:r>
            <w:r w:rsidR="002F0A02" w:rsidRPr="001256EA">
              <w:rPr>
                <w:rFonts w:ascii="Times New Roman" w:eastAsia="Times New Roman" w:hAnsi="Times New Roman" w:cs="Times New Roman"/>
                <w:sz w:val="20"/>
                <w:szCs w:val="20"/>
                <w:lang w:eastAsia="fr-FR"/>
              </w:rPr>
              <w:t>patients’</w:t>
            </w:r>
            <w:r w:rsidRPr="001256EA">
              <w:rPr>
                <w:rFonts w:ascii="Times New Roman" w:eastAsia="Times New Roman" w:hAnsi="Times New Roman" w:cs="Times New Roman"/>
                <w:sz w:val="20"/>
                <w:szCs w:val="20"/>
                <w:lang w:eastAsia="fr-FR"/>
              </w:rPr>
              <w:t xml:space="preserve"> rights and prevent misuse.</w:t>
            </w:r>
          </w:p>
        </w:tc>
      </w:tr>
      <w:tr w:rsidR="00CE5861" w:rsidRPr="001256EA" w14:paraId="49B68A61"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9E90F0"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Adoption of international best practices</w:t>
            </w:r>
          </w:p>
        </w:tc>
        <w:tc>
          <w:tcPr>
            <w:tcW w:w="0" w:type="auto"/>
            <w:vAlign w:val="center"/>
            <w:hideMark/>
          </w:tcPr>
          <w:p w14:paraId="052B343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657EBA1B"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focuses on learning from established foreign regulatory frameworks and promoting an ethical healthcare culture.</w:t>
            </w:r>
          </w:p>
        </w:tc>
      </w:tr>
      <w:tr w:rsidR="00CE5861" w:rsidRPr="001256EA" w14:paraId="0944F958"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E78CA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Checks and balances with public awareness</w:t>
            </w:r>
          </w:p>
        </w:tc>
        <w:tc>
          <w:tcPr>
            <w:tcW w:w="0" w:type="auto"/>
            <w:vAlign w:val="center"/>
            <w:hideMark/>
          </w:tcPr>
          <w:p w14:paraId="200B74E1"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w:t>
            </w:r>
          </w:p>
        </w:tc>
        <w:tc>
          <w:tcPr>
            <w:tcW w:w="0" w:type="auto"/>
            <w:vAlign w:val="center"/>
            <w:hideMark/>
          </w:tcPr>
          <w:p w14:paraId="728F949B"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emphasizes a broad regulatory framework with built-in checks and balances and public education as essential safeguards.</w:t>
            </w:r>
          </w:p>
        </w:tc>
      </w:tr>
    </w:tbl>
    <w:p w14:paraId="6786BA2D" w14:textId="292C4E3E" w:rsidR="00351DA3" w:rsidRPr="001256EA" w:rsidRDefault="002F0A02" w:rsidP="002F0A02">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table highlights the systematized and summarized different institutional approaches to the prevention of abuse in the process of applying to the institute of euthanasia. It was found that the risk of abuse is associated with differently emphasized protective </w:t>
      </w:r>
      <w:r w:rsidRPr="001256EA">
        <w:rPr>
          <w:rFonts w:ascii="Times New Roman" w:hAnsi="Times New Roman" w:cs="Times New Roman"/>
          <w:sz w:val="24"/>
          <w:szCs w:val="24"/>
        </w:rPr>
        <w:lastRenderedPageBreak/>
        <w:t>measures, including strict eligibility criteria, additional medical opinions, ensuring informed consent, liability mechanisms and the adoption of international practice. The diversity of these positions reveals the complex nature of prevention and the need to integrate legal, medical and ethical guarantees.</w:t>
      </w:r>
    </w:p>
    <w:p w14:paraId="05BCA9CC" w14:textId="77777777" w:rsidR="008128CC" w:rsidRPr="001256EA" w:rsidRDefault="008128CC" w:rsidP="002F0A02">
      <w:pPr>
        <w:spacing w:after="0" w:line="360" w:lineRule="auto"/>
        <w:ind w:firstLine="851"/>
        <w:jc w:val="both"/>
        <w:rPr>
          <w:rFonts w:ascii="Times New Roman" w:hAnsi="Times New Roman" w:cs="Times New Roman"/>
          <w:sz w:val="24"/>
          <w:szCs w:val="24"/>
        </w:rPr>
      </w:pPr>
    </w:p>
    <w:p w14:paraId="46AF4E04" w14:textId="34628EB7" w:rsidR="00CE5861" w:rsidRPr="001256EA" w:rsidRDefault="008128CC" w:rsidP="00235481">
      <w:pPr>
        <w:pStyle w:val="Heading2"/>
        <w:jc w:val="center"/>
        <w:rPr>
          <w:rFonts w:ascii="Times New Roman" w:hAnsi="Times New Roman" w:cs="Times New Roman"/>
          <w:b/>
          <w:bCs/>
          <w:sz w:val="24"/>
          <w:szCs w:val="24"/>
        </w:rPr>
      </w:pPr>
      <w:r w:rsidRPr="001256EA">
        <w:rPr>
          <w:rFonts w:ascii="Times New Roman" w:hAnsi="Times New Roman" w:cs="Times New Roman"/>
          <w:b/>
          <w:bCs/>
          <w:color w:val="auto"/>
          <w:sz w:val="24"/>
          <w:szCs w:val="24"/>
        </w:rPr>
        <w:t>3.3.</w:t>
      </w:r>
      <w:r w:rsidR="00CE5861" w:rsidRPr="001256EA">
        <w:rPr>
          <w:rFonts w:ascii="Times New Roman" w:hAnsi="Times New Roman" w:cs="Times New Roman"/>
          <w:b/>
          <w:bCs/>
          <w:color w:val="auto"/>
          <w:sz w:val="24"/>
          <w:szCs w:val="24"/>
        </w:rPr>
        <w:t xml:space="preserve"> </w:t>
      </w:r>
      <w:bookmarkStart w:id="80" w:name="_Toc216374411"/>
      <w:r w:rsidR="00CE5861" w:rsidRPr="001256EA">
        <w:rPr>
          <w:rFonts w:ascii="Times New Roman" w:hAnsi="Times New Roman" w:cs="Times New Roman"/>
          <w:b/>
          <w:bCs/>
          <w:color w:val="auto"/>
          <w:sz w:val="24"/>
          <w:szCs w:val="24"/>
        </w:rPr>
        <w:t xml:space="preserve">Patient </w:t>
      </w:r>
      <w:r w:rsidRPr="001256EA">
        <w:rPr>
          <w:rFonts w:ascii="Times New Roman" w:hAnsi="Times New Roman" w:cs="Times New Roman"/>
          <w:b/>
          <w:bCs/>
          <w:color w:val="auto"/>
          <w:sz w:val="24"/>
          <w:szCs w:val="24"/>
        </w:rPr>
        <w:t>date analysis</w:t>
      </w:r>
      <w:r w:rsidR="00CE5861" w:rsidRPr="001256EA">
        <w:rPr>
          <w:rFonts w:ascii="Times New Roman" w:hAnsi="Times New Roman" w:cs="Times New Roman"/>
          <w:b/>
          <w:bCs/>
          <w:color w:val="auto"/>
          <w:sz w:val="24"/>
          <w:szCs w:val="24"/>
        </w:rPr>
        <w:t xml:space="preserve"> </w:t>
      </w:r>
      <w:r w:rsidRPr="001256EA">
        <w:rPr>
          <w:rFonts w:ascii="Times New Roman" w:hAnsi="Times New Roman" w:cs="Times New Roman"/>
          <w:b/>
          <w:bCs/>
          <w:color w:val="auto"/>
          <w:sz w:val="24"/>
          <w:szCs w:val="24"/>
        </w:rPr>
        <w:t>of</w:t>
      </w:r>
      <w:r w:rsidR="00CE5861" w:rsidRPr="001256EA">
        <w:rPr>
          <w:rFonts w:ascii="Times New Roman" w:hAnsi="Times New Roman" w:cs="Times New Roman"/>
          <w:b/>
          <w:bCs/>
          <w:color w:val="auto"/>
          <w:sz w:val="24"/>
          <w:szCs w:val="24"/>
        </w:rPr>
        <w:t xml:space="preserve"> the legal regulation of the euthanasia institute</w:t>
      </w:r>
      <w:bookmarkEnd w:id="80"/>
    </w:p>
    <w:p w14:paraId="737A9A59" w14:textId="77777777" w:rsidR="00C618D1" w:rsidRPr="001256EA" w:rsidRDefault="00C618D1" w:rsidP="00CE5861">
      <w:pPr>
        <w:spacing w:line="360" w:lineRule="auto"/>
        <w:jc w:val="both"/>
        <w:rPr>
          <w:rFonts w:ascii="Times New Roman" w:hAnsi="Times New Roman" w:cs="Times New Roman"/>
          <w:sz w:val="24"/>
          <w:szCs w:val="24"/>
        </w:rPr>
      </w:pPr>
    </w:p>
    <w:p w14:paraId="4E50C1F3" w14:textId="3D0038B3" w:rsidR="00CE5861" w:rsidRPr="001256EA" w:rsidRDefault="00C618D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CF70FF" w:rsidRPr="001256EA">
        <w:rPr>
          <w:rFonts w:ascii="Times New Roman" w:hAnsi="Times New Roman" w:cs="Times New Roman"/>
          <w:sz w:val="24"/>
          <w:szCs w:val="24"/>
        </w:rPr>
        <w:t>13</w:t>
      </w:r>
      <w:r w:rsidR="00CE5861" w:rsidRPr="001256EA">
        <w:rPr>
          <w:rFonts w:ascii="Times New Roman" w:hAnsi="Times New Roman" w:cs="Times New Roman"/>
          <w:sz w:val="24"/>
          <w:szCs w:val="24"/>
        </w:rPr>
        <w:t xml:space="preserve"> is structured around two complementary </w:t>
      </w:r>
      <w:r w:rsidR="0056414D" w:rsidRPr="001256EA">
        <w:rPr>
          <w:rFonts w:ascii="Times New Roman" w:hAnsi="Times New Roman" w:cs="Times New Roman"/>
          <w:sz w:val="24"/>
          <w:szCs w:val="24"/>
        </w:rPr>
        <w:t>blocks</w:t>
      </w:r>
      <w:r w:rsidR="00CE5861" w:rsidRPr="001256EA">
        <w:rPr>
          <w:rFonts w:ascii="Times New Roman" w:hAnsi="Times New Roman" w:cs="Times New Roman"/>
          <w:sz w:val="24"/>
          <w:szCs w:val="24"/>
        </w:rPr>
        <w:t xml:space="preserve">. For the Consent frameworks and best practices </w:t>
      </w:r>
      <w:r w:rsidR="0056414D" w:rsidRPr="001256EA">
        <w:rPr>
          <w:rFonts w:ascii="Times New Roman" w:hAnsi="Times New Roman" w:cs="Times New Roman"/>
          <w:sz w:val="24"/>
          <w:szCs w:val="24"/>
        </w:rPr>
        <w:t>block</w:t>
      </w:r>
      <w:r w:rsidR="00CE5861" w:rsidRPr="001256EA">
        <w:rPr>
          <w:rFonts w:ascii="Times New Roman" w:hAnsi="Times New Roman" w:cs="Times New Roman"/>
          <w:sz w:val="24"/>
          <w:szCs w:val="24"/>
        </w:rPr>
        <w:t xml:space="preserve">, FRA highlights international best practices ensuring unequivocal informed consent and autonomy, demonstrating </w:t>
      </w:r>
      <w:r w:rsidR="0056414D" w:rsidRPr="001256EA">
        <w:rPr>
          <w:rFonts w:ascii="Times New Roman" w:hAnsi="Times New Roman" w:cs="Times New Roman"/>
          <w:sz w:val="24"/>
          <w:szCs w:val="24"/>
        </w:rPr>
        <w:t>commitment</w:t>
      </w:r>
      <w:r w:rsidR="00CE5861" w:rsidRPr="001256EA">
        <w:rPr>
          <w:rFonts w:ascii="Times New Roman" w:hAnsi="Times New Roman" w:cs="Times New Roman"/>
          <w:sz w:val="24"/>
          <w:szCs w:val="24"/>
        </w:rPr>
        <w:t xml:space="preserve"> to global standards of ethical clarity. ICHHR emphasizes a transparent and robust consent framework for ethical patient protection, reflecting an international human rights perspective focused on patient safety and transparency.</w:t>
      </w:r>
    </w:p>
    <w:p w14:paraId="0B2D6098" w14:textId="6A9F2C32"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For the Informed consent and patient autonomy </w:t>
      </w:r>
      <w:r w:rsidR="0056414D" w:rsidRPr="001256EA">
        <w:rPr>
          <w:rFonts w:ascii="Times New Roman" w:hAnsi="Times New Roman" w:cs="Times New Roman"/>
          <w:sz w:val="24"/>
          <w:szCs w:val="24"/>
        </w:rPr>
        <w:t>block</w:t>
      </w:r>
      <w:r w:rsidRPr="001256EA">
        <w:rPr>
          <w:rFonts w:ascii="Times New Roman" w:hAnsi="Times New Roman" w:cs="Times New Roman"/>
          <w:sz w:val="24"/>
          <w:szCs w:val="24"/>
        </w:rPr>
        <w:t>, MOJ focuses on comprehensive patient information, transparent consent, and respect for autonomy, illustrating a legal and procedural emphasis on patient rights. MOH stresses mandatory disclosure and explicit documented consent for patient protection, showing a regulatory approach to safeguarding individuals. LHRI highlights clear guidelines and risk disclosure to safeguard autonomy and rights, combining legal standards with ethical responsibility. LNHRI addresses free, informed, and non‑coercive consent supported by legal safeguards, reinforcing a human rights perspective anchored in non‑coercion and legal protection.</w:t>
      </w:r>
    </w:p>
    <w:p w14:paraId="66DF6E79" w14:textId="776F7BB6" w:rsidR="00CE5861" w:rsidRPr="001256EA" w:rsidRDefault="00235481" w:rsidP="00E86D6D">
      <w:pPr>
        <w:spacing w:line="240" w:lineRule="auto"/>
        <w:jc w:val="both"/>
        <w:rPr>
          <w:rFonts w:ascii="Times New Roman" w:hAnsi="Times New Roman" w:cs="Times New Roman"/>
        </w:rPr>
      </w:pPr>
      <w:r w:rsidRPr="001256EA">
        <w:rPr>
          <w:rFonts w:ascii="Times New Roman" w:hAnsi="Times New Roman" w:cs="Times New Roman"/>
          <w:noProof/>
          <w:sz w:val="24"/>
          <w:szCs w:val="24"/>
        </w:rPr>
        <w:drawing>
          <wp:anchor distT="0" distB="0" distL="114300" distR="114300" simplePos="0" relativeHeight="251683840" behindDoc="0" locked="0" layoutInCell="1" allowOverlap="1" wp14:anchorId="06D154FD" wp14:editId="7BA2962A">
            <wp:simplePos x="0" y="0"/>
            <wp:positionH relativeFrom="margin">
              <wp:align>right</wp:align>
            </wp:positionH>
            <wp:positionV relativeFrom="paragraph">
              <wp:posOffset>370840</wp:posOffset>
            </wp:positionV>
            <wp:extent cx="5753100" cy="2057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CF70FF" w:rsidRPr="001256EA">
        <w:rPr>
          <w:rFonts w:ascii="Times New Roman" w:hAnsi="Times New Roman" w:cs="Times New Roman"/>
          <w:b/>
          <w:bCs/>
          <w:sz w:val="24"/>
          <w:szCs w:val="24"/>
        </w:rPr>
        <w:t>3</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5</w:t>
      </w:r>
      <w:r w:rsidR="005A2D5A" w:rsidRPr="001256EA">
        <w:rPr>
          <w:rFonts w:ascii="Times New Roman" w:hAnsi="Times New Roman" w:cs="Times New Roman"/>
          <w:sz w:val="24"/>
          <w:szCs w:val="24"/>
        </w:rPr>
        <w:t xml:space="preserve"> </w:t>
      </w:r>
      <w:r w:rsidR="008128CC" w:rsidRPr="001256EA">
        <w:rPr>
          <w:rFonts w:ascii="Times New Roman" w:eastAsia="Calibri" w:hAnsi="Times New Roman" w:cs="Times New Roman"/>
          <w:sz w:val="24"/>
          <w:szCs w:val="24"/>
        </w:rPr>
        <w:t>(compiled by the author b</w:t>
      </w:r>
      <w:r w:rsidR="008128CC" w:rsidRPr="001256EA">
        <w:rPr>
          <w:rFonts w:ascii="Times New Roman" w:hAnsi="Times New Roman" w:cs="Times New Roman"/>
          <w:sz w:val="24"/>
          <w:szCs w:val="24"/>
        </w:rPr>
        <w:t>ased on the research’s results)</w:t>
      </w:r>
    </w:p>
    <w:p w14:paraId="249E0E32"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thematic results indicate strong convergence regarding patient information, consent, and rights protection in euthanasia regulation. All categories (MOJ, MOH, LHRI, LNHRI, FRA, ICHHR) agree on informed consent as a core ethical principle, emphasizing its </w:t>
      </w:r>
      <w:r w:rsidRPr="001256EA">
        <w:rPr>
          <w:rFonts w:ascii="Times New Roman" w:hAnsi="Times New Roman" w:cs="Times New Roman"/>
          <w:sz w:val="24"/>
          <w:szCs w:val="24"/>
        </w:rPr>
        <w:lastRenderedPageBreak/>
        <w:t>explicit inclusion in the legal framework as essential for ethical practice. The same six categories stress the importance of comprehensive patient information, ensuring that patients receive full and transparent details on implications, risks, and alternatives to enable autonomous decision-making. Several groups (MOJ, MOH, LNHRI, ICHHR) focus on documentation and transparency in consent, highlighting procedural safeguards to prevent misuse. Others (LHRI, LNHRI, FRA) emphasize protection of patient rights and autonomy, ensuring voluntary, coercion-free decision-making as a central ethical imperative. FRA further underlines the value of alignment with international best practices, reinforcing national regulations through lessons drawn from global experience.</w:t>
      </w:r>
    </w:p>
    <w:p w14:paraId="5E935FC4" w14:textId="28122B95"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Table 1</w:t>
      </w:r>
      <w:r w:rsidR="00235481" w:rsidRPr="001256EA">
        <w:rPr>
          <w:rFonts w:ascii="Times New Roman" w:hAnsi="Times New Roman" w:cs="Times New Roman"/>
          <w:b/>
          <w:bCs/>
          <w:sz w:val="24"/>
          <w:szCs w:val="24"/>
        </w:rPr>
        <w:t>3</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Patient Information, Consent, and Rights Protection in Euthanasia Regulation</w:t>
      </w:r>
      <w:r w:rsidR="005A2D5A" w:rsidRPr="001256EA">
        <w:rPr>
          <w:rFonts w:ascii="Times New Roman" w:hAnsi="Times New Roman" w:cs="Times New Roman"/>
          <w:sz w:val="24"/>
          <w:szCs w:val="24"/>
        </w:rPr>
        <w:t xml:space="preserve"> </w:t>
      </w:r>
      <w:r w:rsidR="002F0A02" w:rsidRPr="001256EA">
        <w:rPr>
          <w:rFonts w:ascii="Times New Roman" w:eastAsia="Calibri" w:hAnsi="Times New Roman" w:cs="Times New Roman"/>
          <w:sz w:val="24"/>
          <w:szCs w:val="24"/>
        </w:rPr>
        <w:t>(compiled by the author b</w:t>
      </w:r>
      <w:r w:rsidR="002F0A02"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164"/>
        <w:gridCol w:w="1791"/>
        <w:gridCol w:w="5117"/>
      </w:tblGrid>
      <w:tr w:rsidR="00CE5861" w:rsidRPr="001256EA" w14:paraId="1533AC68"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CDC69B"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2F49116F" w14:textId="67ABC4FE"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Agreement</w:t>
            </w:r>
          </w:p>
        </w:tc>
        <w:tc>
          <w:tcPr>
            <w:tcW w:w="0" w:type="auto"/>
            <w:vAlign w:val="center"/>
            <w:hideMark/>
          </w:tcPr>
          <w:p w14:paraId="212EA319"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15FD1D5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69DFB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Informed consent as a core ethical principle</w:t>
            </w:r>
          </w:p>
        </w:tc>
        <w:tc>
          <w:tcPr>
            <w:tcW w:w="0" w:type="auto"/>
            <w:vAlign w:val="center"/>
            <w:hideMark/>
          </w:tcPr>
          <w:p w14:paraId="4AB7F8FF"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0ED82B2D"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groups agree that obtaining informed consent is fundamental to ethical euthanasia practices and must be explicitly embedded in the legal framework.</w:t>
            </w:r>
          </w:p>
        </w:tc>
      </w:tr>
      <w:tr w:rsidR="00CE5861" w:rsidRPr="001256EA" w14:paraId="04806E96"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5B4ABA" w14:textId="5BADEDD5" w:rsidR="00CE5861" w:rsidRPr="001256EA" w:rsidRDefault="008128CC"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Comprehensive</w:t>
            </w:r>
            <w:r w:rsidR="00CE5861" w:rsidRPr="001256EA">
              <w:rPr>
                <w:rFonts w:ascii="Times New Roman" w:eastAsia="Times New Roman" w:hAnsi="Times New Roman" w:cs="Times New Roman"/>
                <w:sz w:val="20"/>
                <w:szCs w:val="20"/>
                <w:lang w:eastAsia="fr-FR"/>
              </w:rPr>
              <w:t xml:space="preserve"> patient information</w:t>
            </w:r>
          </w:p>
        </w:tc>
        <w:tc>
          <w:tcPr>
            <w:tcW w:w="0" w:type="auto"/>
            <w:vAlign w:val="center"/>
            <w:hideMark/>
          </w:tcPr>
          <w:p w14:paraId="0B4E9D49"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61F4B995"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Every category emphasizes the need to provide patients with full and transparent information about euthanasia, including implications, risks, and alternatives, to ensure autonomous decision-making.</w:t>
            </w:r>
          </w:p>
        </w:tc>
      </w:tr>
      <w:tr w:rsidR="00CE5861" w:rsidRPr="001256EA" w14:paraId="1359495D"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1F21B8"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Documentation and transparency in consent</w:t>
            </w:r>
          </w:p>
        </w:tc>
        <w:tc>
          <w:tcPr>
            <w:tcW w:w="0" w:type="auto"/>
            <w:vAlign w:val="center"/>
            <w:hideMark/>
          </w:tcPr>
          <w:p w14:paraId="1B5D76A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LNHRI, ICHHR</w:t>
            </w:r>
          </w:p>
        </w:tc>
        <w:tc>
          <w:tcPr>
            <w:tcW w:w="0" w:type="auto"/>
            <w:vAlign w:val="center"/>
            <w:hideMark/>
          </w:tcPr>
          <w:p w14:paraId="6B9D79DF"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Several groups highlight that consent must be documented and transparent to protect patients’ rights and prevent potential abuses.</w:t>
            </w:r>
          </w:p>
        </w:tc>
      </w:tr>
      <w:tr w:rsidR="00CE5861" w:rsidRPr="001256EA" w14:paraId="4D5A0589"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60373F"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Protection of patient rights and autonomy</w:t>
            </w:r>
          </w:p>
        </w:tc>
        <w:tc>
          <w:tcPr>
            <w:tcW w:w="0" w:type="auto"/>
            <w:vAlign w:val="center"/>
            <w:hideMark/>
          </w:tcPr>
          <w:p w14:paraId="7D344A25"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LNHRI, FRA</w:t>
            </w:r>
          </w:p>
        </w:tc>
        <w:tc>
          <w:tcPr>
            <w:tcW w:w="0" w:type="auto"/>
            <w:vAlign w:val="center"/>
            <w:hideMark/>
          </w:tcPr>
          <w:p w14:paraId="5A0D5A9C"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Some groups particularly focus on safeguarding individual autonomy and ensuring that consent is voluntary and free from coercion, reinforcing the ethical basis of euthanasia practices.</w:t>
            </w:r>
          </w:p>
        </w:tc>
      </w:tr>
      <w:tr w:rsidR="00CE5861" w:rsidRPr="001256EA" w14:paraId="34A017E5"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934412"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Alignment with international best practices</w:t>
            </w:r>
          </w:p>
        </w:tc>
        <w:tc>
          <w:tcPr>
            <w:tcW w:w="0" w:type="auto"/>
            <w:vAlign w:val="center"/>
            <w:hideMark/>
          </w:tcPr>
          <w:p w14:paraId="59A71E36"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7B3ED5E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specifically emphasizes incorporating lessons from established international frameworks on informed consent to strengthen national regulations.</w:t>
            </w:r>
          </w:p>
        </w:tc>
      </w:tr>
    </w:tbl>
    <w:p w14:paraId="22EA2480"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Divergences show how each category frames its priorities. MOJ highlights the tension between balancing comprehensive information and autonomy, seeking to inform thoroughly while respecting individual choice. MOH focuses on explicit and voluntary consent emphasis, making written voluntary consent a mandatory legal requirement. LHRI prioritizes detailed disclosure of risks and alternatives as a precondition for valid consent, whereas LNHRI stresses safeguards against coercion by embedding stringent protections directly into legislation. FRA emphasizes incorporating international ethical standards, ensuring regulatory consistency with </w:t>
      </w:r>
      <w:r w:rsidRPr="001256EA">
        <w:rPr>
          <w:rFonts w:ascii="Times New Roman" w:hAnsi="Times New Roman" w:cs="Times New Roman"/>
          <w:sz w:val="24"/>
          <w:szCs w:val="24"/>
        </w:rPr>
        <w:lastRenderedPageBreak/>
        <w:t>established global practices, and ICHHR focuses on building a transparent consent framework, centered on procedural clarity and rights protection. These divergences illustrate a shared commitment to patient autonomy, implemented through varied institutional approaches.</w:t>
      </w:r>
    </w:p>
    <w:p w14:paraId="0B87075D" w14:textId="39B901F2"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Table 1</w:t>
      </w:r>
      <w:r w:rsidR="00235481" w:rsidRPr="001256EA">
        <w:rPr>
          <w:rFonts w:ascii="Times New Roman" w:hAnsi="Times New Roman" w:cs="Times New Roman"/>
          <w:b/>
          <w:bCs/>
          <w:sz w:val="24"/>
          <w:szCs w:val="24"/>
        </w:rPr>
        <w:t>4</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Patient Information, Consent, and Rights Protection in Euthanasia Regulation</w:t>
      </w:r>
      <w:r w:rsidR="005A2D5A" w:rsidRPr="001256EA">
        <w:rPr>
          <w:rFonts w:ascii="Times New Roman" w:hAnsi="Times New Roman" w:cs="Times New Roman"/>
          <w:sz w:val="24"/>
          <w:szCs w:val="24"/>
        </w:rPr>
        <w:t xml:space="preserve"> </w:t>
      </w:r>
      <w:r w:rsidR="002F0A02" w:rsidRPr="001256EA">
        <w:rPr>
          <w:rFonts w:ascii="Times New Roman" w:eastAsia="Calibri" w:hAnsi="Times New Roman" w:cs="Times New Roman"/>
          <w:sz w:val="24"/>
          <w:szCs w:val="24"/>
        </w:rPr>
        <w:t>(compiled by the author b</w:t>
      </w:r>
      <w:r w:rsidR="002F0A02"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650"/>
        <w:gridCol w:w="1779"/>
        <w:gridCol w:w="4643"/>
      </w:tblGrid>
      <w:tr w:rsidR="00CE5861" w:rsidRPr="001256EA" w14:paraId="047DE369"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322B7D"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5DBB36CC" w14:textId="77A86D73"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disagreement</w:t>
            </w:r>
          </w:p>
        </w:tc>
        <w:tc>
          <w:tcPr>
            <w:tcW w:w="0" w:type="auto"/>
            <w:vAlign w:val="center"/>
            <w:hideMark/>
          </w:tcPr>
          <w:p w14:paraId="72320886"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6EE2B7B1"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89E7D1"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Balancing comprehensive information and autonomy</w:t>
            </w:r>
          </w:p>
        </w:tc>
        <w:tc>
          <w:tcPr>
            <w:tcW w:w="0" w:type="auto"/>
            <w:vAlign w:val="center"/>
            <w:hideMark/>
          </w:tcPr>
          <w:p w14:paraId="018F315E"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6D65A11D"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highlights the challenge of providing thorough information while respecting individual autonomy in decision-making.</w:t>
            </w:r>
          </w:p>
        </w:tc>
      </w:tr>
      <w:tr w:rsidR="00CE5861" w:rsidRPr="001256EA" w14:paraId="41E12726"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ADE4BC"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Explicit and voluntary consent emphasis</w:t>
            </w:r>
          </w:p>
        </w:tc>
        <w:tc>
          <w:tcPr>
            <w:tcW w:w="0" w:type="auto"/>
            <w:vAlign w:val="center"/>
            <w:hideMark/>
          </w:tcPr>
          <w:p w14:paraId="4C2CB545"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6A330203"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focuses on making explicit, voluntary consent a mandatory legal requirement for all euthanasia cases.</w:t>
            </w:r>
          </w:p>
        </w:tc>
      </w:tr>
      <w:tr w:rsidR="00CE5861" w:rsidRPr="001256EA" w14:paraId="39C1598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A7B285"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Detailed disclosure of risks and alternatives</w:t>
            </w:r>
          </w:p>
        </w:tc>
        <w:tc>
          <w:tcPr>
            <w:tcW w:w="0" w:type="auto"/>
            <w:vAlign w:val="center"/>
            <w:hideMark/>
          </w:tcPr>
          <w:p w14:paraId="3D7890BA"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vAlign w:val="center"/>
            <w:hideMark/>
          </w:tcPr>
          <w:p w14:paraId="55550583"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prioritizes informing patients about all risks and alternatives as a condition for valid consent.</w:t>
            </w:r>
          </w:p>
        </w:tc>
      </w:tr>
      <w:tr w:rsidR="00CE5861" w:rsidRPr="001256EA" w14:paraId="29973027"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94F300"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Safeguards against coercion</w:t>
            </w:r>
          </w:p>
        </w:tc>
        <w:tc>
          <w:tcPr>
            <w:tcW w:w="0" w:type="auto"/>
            <w:vAlign w:val="center"/>
            <w:hideMark/>
          </w:tcPr>
          <w:p w14:paraId="723B281B"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w:t>
            </w:r>
          </w:p>
        </w:tc>
        <w:tc>
          <w:tcPr>
            <w:tcW w:w="0" w:type="auto"/>
            <w:vAlign w:val="center"/>
            <w:hideMark/>
          </w:tcPr>
          <w:p w14:paraId="627E7D3B"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stresses preventing coercion and embedding stringent consent protections directly into the legal framework.</w:t>
            </w:r>
          </w:p>
        </w:tc>
      </w:tr>
      <w:tr w:rsidR="00CE5861" w:rsidRPr="001256EA" w14:paraId="6B78939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1F1B5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Incorporating international ethical standards</w:t>
            </w:r>
          </w:p>
        </w:tc>
        <w:tc>
          <w:tcPr>
            <w:tcW w:w="0" w:type="auto"/>
            <w:vAlign w:val="center"/>
            <w:hideMark/>
          </w:tcPr>
          <w:p w14:paraId="4C68A3E8"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6564EA2C"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emphasizes aligning national euthanasia consent regulations with international best practices to ensure ethical consistency.</w:t>
            </w:r>
          </w:p>
        </w:tc>
      </w:tr>
      <w:tr w:rsidR="00CE5861" w:rsidRPr="001256EA" w14:paraId="57164B32"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C3007E"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Building a transparent consent framework</w:t>
            </w:r>
          </w:p>
        </w:tc>
        <w:tc>
          <w:tcPr>
            <w:tcW w:w="0" w:type="auto"/>
            <w:vAlign w:val="center"/>
            <w:hideMark/>
          </w:tcPr>
          <w:p w14:paraId="52F6A655"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w:t>
            </w:r>
          </w:p>
        </w:tc>
        <w:tc>
          <w:tcPr>
            <w:tcW w:w="0" w:type="auto"/>
            <w:vAlign w:val="center"/>
            <w:hideMark/>
          </w:tcPr>
          <w:p w14:paraId="5B57EC6F"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focuses on ensuring transparency and strong procedural safeguards within the consent process to protect patient rights.</w:t>
            </w:r>
          </w:p>
        </w:tc>
      </w:tr>
    </w:tbl>
    <w:p w14:paraId="2902E819" w14:textId="450F3542" w:rsidR="00C618D1" w:rsidRPr="001256EA" w:rsidRDefault="00115728" w:rsidP="008128CC">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Table No. 1</w:t>
      </w:r>
      <w:r w:rsidR="00235481" w:rsidRPr="001256EA">
        <w:rPr>
          <w:rFonts w:ascii="Times New Roman" w:hAnsi="Times New Roman" w:cs="Times New Roman"/>
          <w:sz w:val="24"/>
          <w:szCs w:val="24"/>
        </w:rPr>
        <w:t>4</w:t>
      </w:r>
      <w:r w:rsidRPr="001256EA">
        <w:rPr>
          <w:rFonts w:ascii="Times New Roman" w:hAnsi="Times New Roman" w:cs="Times New Roman"/>
          <w:sz w:val="24"/>
          <w:szCs w:val="24"/>
        </w:rPr>
        <w:t xml:space="preserve"> systematically summarizes data on the approaches of different institutions to ensuring patient information, consent and protection of rights in the legal regulation of euthanasia. It has been found that although all institutions recognize the importance of informed and voluntary consent, their emphases differ – from patient autonomy and provision of comprehensive information to protection against coercion, procedural transparency and integration of international ethical standards. These differences reveal the need for a comprehensive combination of legal, ethical and procedural guarantees </w:t>
      </w:r>
      <w:proofErr w:type="gramStart"/>
      <w:r w:rsidRPr="001256EA">
        <w:rPr>
          <w:rFonts w:ascii="Times New Roman" w:hAnsi="Times New Roman" w:cs="Times New Roman"/>
          <w:sz w:val="24"/>
          <w:szCs w:val="24"/>
        </w:rPr>
        <w:t>in order to</w:t>
      </w:r>
      <w:proofErr w:type="gramEnd"/>
      <w:r w:rsidRPr="001256EA">
        <w:rPr>
          <w:rFonts w:ascii="Times New Roman" w:hAnsi="Times New Roman" w:cs="Times New Roman"/>
          <w:sz w:val="24"/>
          <w:szCs w:val="24"/>
        </w:rPr>
        <w:t xml:space="preserve"> achieve effective protection of patient rights.</w:t>
      </w:r>
    </w:p>
    <w:p w14:paraId="6DD2B7EC" w14:textId="2B29AD0C" w:rsidR="00CE5861" w:rsidRPr="001256EA" w:rsidRDefault="00C618D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CF70FF" w:rsidRPr="001256EA">
        <w:rPr>
          <w:rFonts w:ascii="Times New Roman" w:hAnsi="Times New Roman" w:cs="Times New Roman"/>
          <w:sz w:val="24"/>
          <w:szCs w:val="24"/>
        </w:rPr>
        <w:t>14</w:t>
      </w:r>
      <w:r w:rsidR="00CE5861" w:rsidRPr="001256EA">
        <w:rPr>
          <w:rFonts w:ascii="Times New Roman" w:hAnsi="Times New Roman" w:cs="Times New Roman"/>
          <w:sz w:val="24"/>
          <w:szCs w:val="24"/>
        </w:rPr>
        <w:t xml:space="preserve"> highlights two complementary </w:t>
      </w:r>
      <w:r w:rsidR="00115728" w:rsidRPr="001256EA">
        <w:rPr>
          <w:rFonts w:ascii="Times New Roman" w:hAnsi="Times New Roman" w:cs="Times New Roman"/>
          <w:sz w:val="24"/>
          <w:szCs w:val="24"/>
        </w:rPr>
        <w:t>blocks</w:t>
      </w:r>
      <w:r w:rsidR="00CE5861" w:rsidRPr="001256EA">
        <w:rPr>
          <w:rFonts w:ascii="Times New Roman" w:hAnsi="Times New Roman" w:cs="Times New Roman"/>
          <w:sz w:val="24"/>
          <w:szCs w:val="24"/>
        </w:rPr>
        <w:t xml:space="preserve"> focused on collective involvement and social legitimacy. For the Public participation and engagement </w:t>
      </w:r>
      <w:r w:rsidR="00115728" w:rsidRPr="001256EA">
        <w:rPr>
          <w:rFonts w:ascii="Times New Roman" w:hAnsi="Times New Roman" w:cs="Times New Roman"/>
          <w:sz w:val="24"/>
          <w:szCs w:val="24"/>
        </w:rPr>
        <w:t>block</w:t>
      </w:r>
      <w:r w:rsidR="00CE5861" w:rsidRPr="001256EA">
        <w:rPr>
          <w:rFonts w:ascii="Times New Roman" w:hAnsi="Times New Roman" w:cs="Times New Roman"/>
          <w:sz w:val="24"/>
          <w:szCs w:val="24"/>
        </w:rPr>
        <w:t xml:space="preserve">, MOJ emphasizes public consultation and feedback to balance autonomy and societal values, indicating a legal commitment to democratic dialogue. MOH focuses on public engagement and flexible legal frameworks for social alignment, linking policy adaptability with social participation. LHRI </w:t>
      </w:r>
      <w:r w:rsidR="00CE5861" w:rsidRPr="001256EA">
        <w:rPr>
          <w:rFonts w:ascii="Times New Roman" w:hAnsi="Times New Roman" w:cs="Times New Roman"/>
          <w:sz w:val="24"/>
          <w:szCs w:val="24"/>
        </w:rPr>
        <w:lastRenderedPageBreak/>
        <w:t>stresses broad stakeholder participation and transparent decision</w:t>
      </w:r>
      <w:r w:rsidR="00CE5861" w:rsidRPr="001256EA">
        <w:rPr>
          <w:rFonts w:ascii="Times New Roman" w:hAnsi="Times New Roman" w:cs="Times New Roman"/>
          <w:sz w:val="24"/>
          <w:szCs w:val="24"/>
        </w:rPr>
        <w:noBreakHyphen/>
        <w:t>making for legitimacy, reflecting an approach centered on inclusiveness and procedural fairness.</w:t>
      </w:r>
    </w:p>
    <w:p w14:paraId="049B5582" w14:textId="788F1914" w:rsidR="002F3F6D"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For the Societal trust and cultural inclusivity </w:t>
      </w:r>
      <w:r w:rsidR="00115728" w:rsidRPr="001256EA">
        <w:rPr>
          <w:rFonts w:ascii="Times New Roman" w:hAnsi="Times New Roman" w:cs="Times New Roman"/>
          <w:sz w:val="24"/>
          <w:szCs w:val="24"/>
        </w:rPr>
        <w:t>block</w:t>
      </w:r>
      <w:r w:rsidRPr="001256EA">
        <w:rPr>
          <w:rFonts w:ascii="Times New Roman" w:hAnsi="Times New Roman" w:cs="Times New Roman"/>
          <w:sz w:val="24"/>
          <w:szCs w:val="24"/>
        </w:rPr>
        <w:t>, LNHRI prioritizes inclusive processes and feedback mechanisms to respect societal values and rights, highlighting the human rights dimension of participatory governance. FRA emphasizes comparative evidence and public consultations to foster trust and acceptance, integrating international perspectives with domestic legitimacy. ICHHR underlines continuous dialogue and cultural inclusivity for social relevance and support, illustrating the importance of long-term engagement and cultural sensitivity.</w:t>
      </w:r>
    </w:p>
    <w:p w14:paraId="7A2F2E32" w14:textId="24C21A50" w:rsidR="00CE5861" w:rsidRPr="001256EA" w:rsidRDefault="00235481" w:rsidP="00235481">
      <w:pPr>
        <w:spacing w:after="0" w:line="360" w:lineRule="auto"/>
        <w:jc w:val="both"/>
        <w:rPr>
          <w:rFonts w:ascii="Times New Roman" w:hAnsi="Times New Roman" w:cs="Times New Roman"/>
          <w:sz w:val="24"/>
          <w:szCs w:val="24"/>
        </w:rPr>
      </w:pPr>
      <w:r w:rsidRPr="001256EA">
        <w:rPr>
          <w:rFonts w:ascii="Times New Roman" w:hAnsi="Times New Roman" w:cs="Times New Roman"/>
          <w:noProof/>
          <w:sz w:val="24"/>
          <w:szCs w:val="24"/>
        </w:rPr>
        <w:drawing>
          <wp:anchor distT="0" distB="0" distL="114300" distR="114300" simplePos="0" relativeHeight="251684864" behindDoc="0" locked="0" layoutInCell="1" allowOverlap="1" wp14:anchorId="5EA0AE50" wp14:editId="5A410FFB">
            <wp:simplePos x="0" y="0"/>
            <wp:positionH relativeFrom="margin">
              <wp:align>right</wp:align>
            </wp:positionH>
            <wp:positionV relativeFrom="paragraph">
              <wp:posOffset>459105</wp:posOffset>
            </wp:positionV>
            <wp:extent cx="5753100" cy="20637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063750"/>
                    </a:xfrm>
                    <a:prstGeom prst="rect">
                      <a:avLst/>
                    </a:prstGeom>
                    <a:noFill/>
                    <a:ln>
                      <a:noFill/>
                    </a:ln>
                  </pic:spPr>
                </pic:pic>
              </a:graphicData>
            </a:graphic>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CF70FF" w:rsidRPr="001256EA">
        <w:rPr>
          <w:rFonts w:ascii="Times New Roman" w:hAnsi="Times New Roman" w:cs="Times New Roman"/>
          <w:b/>
          <w:bCs/>
          <w:sz w:val="24"/>
          <w:szCs w:val="24"/>
        </w:rPr>
        <w:t>4</w:t>
      </w:r>
      <w:r w:rsidR="00CE5861" w:rsidRPr="001256EA">
        <w:rPr>
          <w:rFonts w:ascii="Times New Roman" w:hAnsi="Times New Roman" w:cs="Times New Roman"/>
          <w:b/>
          <w:bCs/>
          <w:sz w:val="24"/>
          <w:szCs w:val="24"/>
        </w:rPr>
        <w:t xml:space="preserve">. </w:t>
      </w:r>
      <w:r w:rsidR="00CE5861" w:rsidRPr="001256EA">
        <w:rPr>
          <w:rFonts w:ascii="Times New Roman" w:hAnsi="Times New Roman" w:cs="Times New Roman"/>
          <w:sz w:val="24"/>
          <w:szCs w:val="24"/>
        </w:rPr>
        <w:t>Thematic findings by interviewee category for question 6</w:t>
      </w:r>
      <w:r w:rsidR="005A2D5A"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p w14:paraId="7F0C2B72"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thematic results reveal broad consensus on the importance of integrating societal interests and values into euthanasia regulation. All categories (MOJ, MOH, LHRI, LNHRI, FRA, ICHHR) agree on the value of public consultation and engagement, recognizing consultations, forums, and feedback mechanisms as key tools to ensure regulations reflect societal values. Several groups (MOJ, LHRI, LNHRI, ICHHR) stress inclusion of diverse stakeholders, calling for participation from community representatives, human rights organizations, cultural and religious groups, and advisory committees. Other shared priorities include flexibility and responsiveness of regulations (MOJ, MOH, LNHRI), highlighting the need for periodic review and updates; transparency and trust-building (LHRI, FRA), viewed as fundamental for legitimacy; and cultural and ethical considerations (ICHHR, MOJ), emphasizing integration of ethical and cultural perspectives to maintain social acceptance.</w:t>
      </w:r>
    </w:p>
    <w:p w14:paraId="10EBBB37" w14:textId="79EBFECC"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Table 1</w:t>
      </w:r>
      <w:r w:rsidR="00235481" w:rsidRPr="001256EA">
        <w:rPr>
          <w:rFonts w:ascii="Times New Roman" w:hAnsi="Times New Roman" w:cs="Times New Roman"/>
          <w:b/>
          <w:bCs/>
          <w:sz w:val="24"/>
          <w:szCs w:val="24"/>
        </w:rPr>
        <w:t>5</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Convergent Perspectives on Societal Interests and Values in Euthanasia Regulation</w:t>
      </w:r>
      <w:r w:rsidR="005A2D5A"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108"/>
        <w:gridCol w:w="1797"/>
        <w:gridCol w:w="5167"/>
      </w:tblGrid>
      <w:tr w:rsidR="00CE5861" w:rsidRPr="001256EA" w14:paraId="43C4AE5D"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79D7C4"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Convergent focus</w:t>
            </w:r>
          </w:p>
        </w:tc>
        <w:tc>
          <w:tcPr>
            <w:tcW w:w="0" w:type="auto"/>
            <w:vAlign w:val="center"/>
            <w:hideMark/>
          </w:tcPr>
          <w:p w14:paraId="6357492D" w14:textId="3337C90B"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Agreement</w:t>
            </w:r>
          </w:p>
        </w:tc>
        <w:tc>
          <w:tcPr>
            <w:tcW w:w="0" w:type="auto"/>
            <w:vAlign w:val="center"/>
            <w:hideMark/>
          </w:tcPr>
          <w:p w14:paraId="269F2E6C"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0A9F16A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620A69"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Public consultation and engagement</w:t>
            </w:r>
          </w:p>
        </w:tc>
        <w:tc>
          <w:tcPr>
            <w:tcW w:w="0" w:type="auto"/>
            <w:vAlign w:val="center"/>
            <w:hideMark/>
          </w:tcPr>
          <w:p w14:paraId="2B365C2D"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5F7AF1E7"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groups agree that public consultations, forums, and feedback mechanisms are essential to ensure euthanasia regulations reflect societal values and interests.</w:t>
            </w:r>
          </w:p>
        </w:tc>
      </w:tr>
      <w:tr w:rsidR="00CE5861" w:rsidRPr="001256EA" w14:paraId="207A5046"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35593E"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Inclusion of diverse stakeholders</w:t>
            </w:r>
          </w:p>
        </w:tc>
        <w:tc>
          <w:tcPr>
            <w:tcW w:w="0" w:type="auto"/>
            <w:vAlign w:val="center"/>
            <w:hideMark/>
          </w:tcPr>
          <w:p w14:paraId="5DAD5F10"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LHRI, LNHRI, ICHHR</w:t>
            </w:r>
          </w:p>
        </w:tc>
        <w:tc>
          <w:tcPr>
            <w:tcW w:w="0" w:type="auto"/>
            <w:vAlign w:val="center"/>
            <w:hideMark/>
          </w:tcPr>
          <w:p w14:paraId="5F24C3D9" w14:textId="79E69D6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Several groups emphasize involving community representatives, human rights organizations, cultural and religious groups, and advisory committees in the regulatory process to ensure </w:t>
            </w:r>
            <w:r w:rsidR="00802402" w:rsidRPr="001256EA">
              <w:rPr>
                <w:rFonts w:ascii="Times New Roman" w:eastAsia="Times New Roman" w:hAnsi="Times New Roman" w:cs="Times New Roman"/>
                <w:sz w:val="20"/>
                <w:szCs w:val="20"/>
                <w:lang w:eastAsia="fr-FR"/>
              </w:rPr>
              <w:t>inclusiveness</w:t>
            </w:r>
            <w:r w:rsidRPr="001256EA">
              <w:rPr>
                <w:rFonts w:ascii="Times New Roman" w:eastAsia="Times New Roman" w:hAnsi="Times New Roman" w:cs="Times New Roman"/>
                <w:sz w:val="20"/>
                <w:szCs w:val="20"/>
                <w:lang w:eastAsia="fr-FR"/>
              </w:rPr>
              <w:t>.</w:t>
            </w:r>
          </w:p>
        </w:tc>
      </w:tr>
      <w:tr w:rsidR="00CE5861" w:rsidRPr="001256EA" w14:paraId="2C3CFC1D"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664B40"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Flexibility and responsiveness of regulations</w:t>
            </w:r>
          </w:p>
        </w:tc>
        <w:tc>
          <w:tcPr>
            <w:tcW w:w="0" w:type="auto"/>
            <w:vAlign w:val="center"/>
            <w:hideMark/>
          </w:tcPr>
          <w:p w14:paraId="6261841B"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LNHRI</w:t>
            </w:r>
          </w:p>
        </w:tc>
        <w:tc>
          <w:tcPr>
            <w:tcW w:w="0" w:type="auto"/>
            <w:vAlign w:val="center"/>
            <w:hideMark/>
          </w:tcPr>
          <w:p w14:paraId="5215DFF1"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categories stress that regulations should be regularly reviewed and updated based on societal feedback and evolving values.</w:t>
            </w:r>
          </w:p>
        </w:tc>
      </w:tr>
      <w:tr w:rsidR="00CE5861" w:rsidRPr="001256EA" w14:paraId="3DCE4FD3"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A0BD0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Transparency and trust-building</w:t>
            </w:r>
          </w:p>
        </w:tc>
        <w:tc>
          <w:tcPr>
            <w:tcW w:w="0" w:type="auto"/>
            <w:vAlign w:val="center"/>
            <w:hideMark/>
          </w:tcPr>
          <w:p w14:paraId="43807CE0"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FRA</w:t>
            </w:r>
          </w:p>
        </w:tc>
        <w:tc>
          <w:tcPr>
            <w:tcW w:w="0" w:type="auto"/>
            <w:vAlign w:val="center"/>
            <w:hideMark/>
          </w:tcPr>
          <w:p w14:paraId="33437438"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Both groups highlight the importance of transparent decision-making and public trust as fundamental to legitimate euthanasia regulation.</w:t>
            </w:r>
          </w:p>
        </w:tc>
      </w:tr>
      <w:tr w:rsidR="00CE5861" w:rsidRPr="001256EA" w14:paraId="0CC542A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D9366F"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Cultural and ethical considerations</w:t>
            </w:r>
          </w:p>
        </w:tc>
        <w:tc>
          <w:tcPr>
            <w:tcW w:w="0" w:type="auto"/>
            <w:vAlign w:val="center"/>
            <w:hideMark/>
          </w:tcPr>
          <w:p w14:paraId="5E09FF9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MOJ</w:t>
            </w:r>
          </w:p>
        </w:tc>
        <w:tc>
          <w:tcPr>
            <w:tcW w:w="0" w:type="auto"/>
            <w:vAlign w:val="center"/>
            <w:hideMark/>
          </w:tcPr>
          <w:p w14:paraId="409E1CD7"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Some groups stress integrating cultural, ethical, and religious perspectives into euthanasia regulations to maintain social relevance and acceptance.</w:t>
            </w:r>
          </w:p>
        </w:tc>
      </w:tr>
    </w:tbl>
    <w:p w14:paraId="6EDCAE0B" w14:textId="1C362D59" w:rsidR="00235481" w:rsidRPr="001256EA" w:rsidRDefault="00CE5861" w:rsidP="00D0195E">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Divergences reflect how institutional roles shape perspectives. MOJ uniquely emphasizes balancing autonomy and societal values, advocating structured public debates to reconcile individual rights with collective norms. MOH focuses on educational campaigns to raise awareness, promoting public understanding of euthanasia regulation. LHRI prioritizes use of public opinion polls to measure societal attitudes, while LNHRI stresses engagement with human rights organizations as a safeguard for ethical compliance. FRA underscores comparative international evidence, leveraging global experiences to enhance trust and legitimacy, and ICHHR highlights advisory committees with cultural and religious representation as essential for ensuring regulatory inclusivity. These differences illustrate complementary strategies, with each category contributing distinct mechanisms for aligning euthanasia regulations with societal expectations.</w:t>
      </w:r>
    </w:p>
    <w:p w14:paraId="64AA3E19" w14:textId="643E73DC" w:rsidR="00CE5861" w:rsidRPr="001256EA" w:rsidRDefault="00CE5861" w:rsidP="00235481">
      <w:pPr>
        <w:spacing w:after="0" w:line="360" w:lineRule="auto"/>
        <w:jc w:val="both"/>
        <w:rPr>
          <w:rFonts w:ascii="Times New Roman" w:hAnsi="Times New Roman" w:cs="Times New Roman"/>
          <w:sz w:val="24"/>
          <w:szCs w:val="24"/>
        </w:rPr>
      </w:pPr>
      <w:r w:rsidRPr="001256EA">
        <w:rPr>
          <w:rFonts w:ascii="Times New Roman" w:hAnsi="Times New Roman" w:cs="Times New Roman"/>
          <w:b/>
          <w:bCs/>
          <w:sz w:val="24"/>
          <w:szCs w:val="24"/>
        </w:rPr>
        <w:t>Table 1</w:t>
      </w:r>
      <w:r w:rsidR="00235481" w:rsidRPr="001256EA">
        <w:rPr>
          <w:rFonts w:ascii="Times New Roman" w:hAnsi="Times New Roman" w:cs="Times New Roman"/>
          <w:b/>
          <w:bCs/>
          <w:sz w:val="24"/>
          <w:szCs w:val="24"/>
        </w:rPr>
        <w:t>6</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Societal Interests and Values in Euthanasia Regulation</w:t>
      </w:r>
      <w:r w:rsidR="005A2D5A"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984"/>
        <w:gridCol w:w="2240"/>
        <w:gridCol w:w="3848"/>
      </w:tblGrid>
      <w:tr w:rsidR="00CE5861" w:rsidRPr="001256EA" w14:paraId="781A5E48"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1D3F83"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671A7D26" w14:textId="77777777" w:rsidR="00CE5861" w:rsidRPr="001256EA" w:rsidRDefault="00CE5861" w:rsidP="00C618D1">
            <w:pPr>
              <w:spacing w:line="360" w:lineRule="auto"/>
              <w:ind w:firstLine="8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disagreement</w:t>
            </w:r>
          </w:p>
        </w:tc>
        <w:tc>
          <w:tcPr>
            <w:tcW w:w="0" w:type="auto"/>
            <w:vAlign w:val="center"/>
            <w:hideMark/>
          </w:tcPr>
          <w:p w14:paraId="7E3FFEAE" w14:textId="77777777" w:rsidR="00CE5861" w:rsidRPr="001256EA" w:rsidRDefault="00CE5861" w:rsidP="00C618D1">
            <w:pPr>
              <w:spacing w:line="360" w:lineRule="auto"/>
              <w:ind w:firstLine="8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372E0D1D"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9FE0C6"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Balancing autonomy and societal values</w:t>
            </w:r>
          </w:p>
        </w:tc>
        <w:tc>
          <w:tcPr>
            <w:tcW w:w="0" w:type="auto"/>
            <w:vAlign w:val="center"/>
            <w:hideMark/>
          </w:tcPr>
          <w:p w14:paraId="5E7EE611"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454D07B9"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uniquely emphasizes balancing individual autonomy with societal values through structured public debates.</w:t>
            </w:r>
          </w:p>
        </w:tc>
      </w:tr>
      <w:tr w:rsidR="00CE5861" w:rsidRPr="001256EA" w14:paraId="489668F9"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B9E141"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Educational campaigns to raise awareness</w:t>
            </w:r>
          </w:p>
        </w:tc>
        <w:tc>
          <w:tcPr>
            <w:tcW w:w="0" w:type="auto"/>
            <w:vAlign w:val="center"/>
            <w:hideMark/>
          </w:tcPr>
          <w:p w14:paraId="02038503"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5C126415"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highlights the importance of public education initiatives as part of engagement strategies.</w:t>
            </w:r>
          </w:p>
        </w:tc>
      </w:tr>
      <w:tr w:rsidR="00CE5861" w:rsidRPr="001256EA" w14:paraId="2C795CD2"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460627"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Use of public opinion polls</w:t>
            </w:r>
          </w:p>
        </w:tc>
        <w:tc>
          <w:tcPr>
            <w:tcW w:w="0" w:type="auto"/>
            <w:vAlign w:val="center"/>
            <w:hideMark/>
          </w:tcPr>
          <w:p w14:paraId="1266DD03"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vAlign w:val="center"/>
            <w:hideMark/>
          </w:tcPr>
          <w:p w14:paraId="0F398393"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specifically promotes surveys and polls as tools to assess societal attitudes toward euthanasia.</w:t>
            </w:r>
          </w:p>
        </w:tc>
      </w:tr>
      <w:tr w:rsidR="00CE5861" w:rsidRPr="001256EA" w14:paraId="4BAC8243"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EAA387"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Engagement with human rights organizations</w:t>
            </w:r>
          </w:p>
        </w:tc>
        <w:tc>
          <w:tcPr>
            <w:tcW w:w="0" w:type="auto"/>
            <w:vAlign w:val="center"/>
            <w:hideMark/>
          </w:tcPr>
          <w:p w14:paraId="32905792"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w:t>
            </w:r>
          </w:p>
        </w:tc>
        <w:tc>
          <w:tcPr>
            <w:tcW w:w="0" w:type="auto"/>
            <w:vAlign w:val="center"/>
            <w:hideMark/>
          </w:tcPr>
          <w:p w14:paraId="667C5A99"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focuses on ongoing collaboration with human rights groups to safeguard societal and ethical values.</w:t>
            </w:r>
          </w:p>
        </w:tc>
      </w:tr>
      <w:tr w:rsidR="00CE5861" w:rsidRPr="001256EA" w14:paraId="5EA12969"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0E26A6"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Comparative international evidence</w:t>
            </w:r>
          </w:p>
        </w:tc>
        <w:tc>
          <w:tcPr>
            <w:tcW w:w="0" w:type="auto"/>
            <w:vAlign w:val="center"/>
            <w:hideMark/>
          </w:tcPr>
          <w:p w14:paraId="1DED6DC5"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3898F2A3"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emphasizes learning from international experiences to align regulations with societal values and build public trust.</w:t>
            </w:r>
          </w:p>
        </w:tc>
      </w:tr>
      <w:tr w:rsidR="00CE5861" w:rsidRPr="001256EA" w14:paraId="11542D7E"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BE84F2"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Advisory committees with cultural and religious representation</w:t>
            </w:r>
          </w:p>
        </w:tc>
        <w:tc>
          <w:tcPr>
            <w:tcW w:w="0" w:type="auto"/>
            <w:vAlign w:val="center"/>
            <w:hideMark/>
          </w:tcPr>
          <w:p w14:paraId="12FF3605"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w:t>
            </w:r>
          </w:p>
        </w:tc>
        <w:tc>
          <w:tcPr>
            <w:tcW w:w="0" w:type="auto"/>
            <w:vAlign w:val="center"/>
            <w:hideMark/>
          </w:tcPr>
          <w:p w14:paraId="63C82C31"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highlights the importance of advisory committees reflecting diverse cultural, ethical, and religious perspectives.</w:t>
            </w:r>
          </w:p>
        </w:tc>
      </w:tr>
    </w:tbl>
    <w:p w14:paraId="213BA9F4" w14:textId="693F2EE9" w:rsidR="00C618D1" w:rsidRPr="001256EA" w:rsidRDefault="00115728" w:rsidP="003239B1">
      <w:pPr>
        <w:tabs>
          <w:tab w:val="left" w:pos="2855"/>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Table No 1</w:t>
      </w:r>
      <w:r w:rsidR="00235481" w:rsidRPr="001256EA">
        <w:rPr>
          <w:rFonts w:ascii="Times New Roman" w:hAnsi="Times New Roman" w:cs="Times New Roman"/>
          <w:sz w:val="24"/>
          <w:szCs w:val="24"/>
        </w:rPr>
        <w:t>6</w:t>
      </w:r>
      <w:r w:rsidRPr="001256EA">
        <w:rPr>
          <w:rFonts w:ascii="Times New Roman" w:hAnsi="Times New Roman" w:cs="Times New Roman"/>
          <w:sz w:val="24"/>
          <w:szCs w:val="24"/>
        </w:rPr>
        <w:t xml:space="preserve"> presents systematized and summarized data on the approaches of different institutions to the protection of public interests and values in the legal regulation of euthanasia. It has been established that the emphasis of the institutions varies – from the reconciliation of personal autonomy and public values to public education, assessment of public opinion, cooperation with human rights organizations and the inclusion of cultural and religious dialogue. This diversity of positions reveals the need to form an inclusive and socially sensitive regulatory system that meets the values of society and strengthens trust in legal regulation.</w:t>
      </w:r>
    </w:p>
    <w:p w14:paraId="380D9F66" w14:textId="4910BED8" w:rsidR="00CE5861" w:rsidRPr="001256EA" w:rsidRDefault="00C618D1" w:rsidP="00C618D1">
      <w:pPr>
        <w:tabs>
          <w:tab w:val="left" w:pos="2855"/>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Figure</w:t>
      </w:r>
      <w:r w:rsidR="00CE5861" w:rsidRPr="001256EA">
        <w:rPr>
          <w:rFonts w:ascii="Times New Roman" w:hAnsi="Times New Roman" w:cs="Times New Roman"/>
          <w:sz w:val="24"/>
          <w:szCs w:val="24"/>
        </w:rPr>
        <w:t xml:space="preserve"> </w:t>
      </w:r>
      <w:r w:rsidR="00CF70FF" w:rsidRPr="001256EA">
        <w:rPr>
          <w:rFonts w:ascii="Times New Roman" w:hAnsi="Times New Roman" w:cs="Times New Roman"/>
          <w:sz w:val="24"/>
          <w:szCs w:val="24"/>
        </w:rPr>
        <w:t>15</w:t>
      </w:r>
      <w:r w:rsidR="00CE5861" w:rsidRPr="001256EA">
        <w:rPr>
          <w:rFonts w:ascii="Times New Roman" w:hAnsi="Times New Roman" w:cs="Times New Roman"/>
          <w:sz w:val="24"/>
          <w:szCs w:val="24"/>
        </w:rPr>
        <w:t xml:space="preserve"> </w:t>
      </w:r>
      <w:r w:rsidRPr="001256EA">
        <w:rPr>
          <w:rFonts w:ascii="Times New Roman" w:hAnsi="Times New Roman" w:cs="Times New Roman"/>
          <w:sz w:val="24"/>
          <w:szCs w:val="24"/>
        </w:rPr>
        <w:t>reveals</w:t>
      </w:r>
      <w:r w:rsidR="00CE5861" w:rsidRPr="001256EA">
        <w:rPr>
          <w:rFonts w:ascii="Times New Roman" w:hAnsi="Times New Roman" w:cs="Times New Roman"/>
          <w:sz w:val="24"/>
          <w:szCs w:val="24"/>
        </w:rPr>
        <w:t xml:space="preserve"> two complementary </w:t>
      </w:r>
      <w:r w:rsidR="00115728" w:rsidRPr="001256EA">
        <w:rPr>
          <w:rFonts w:ascii="Times New Roman" w:hAnsi="Times New Roman" w:cs="Times New Roman"/>
          <w:sz w:val="24"/>
          <w:szCs w:val="24"/>
        </w:rPr>
        <w:t>blocks</w:t>
      </w:r>
      <w:r w:rsidR="00CE5861" w:rsidRPr="001256EA">
        <w:rPr>
          <w:rFonts w:ascii="Times New Roman" w:hAnsi="Times New Roman" w:cs="Times New Roman"/>
          <w:sz w:val="24"/>
          <w:szCs w:val="24"/>
        </w:rPr>
        <w:t xml:space="preserve"> focused on compliance and deterrence. For the Enforcement and accountability bloc, MOJ highlights strong legal penalties and oversight to deter abuse, demonstrating a legal focus on prevention and control. MOH emphasizes disciplinary sanctions and transparent audits to detect illegal activities, reflecting operational mechanisms for integrity. LHRI underscores legal and professional sanctions with public reporting for accountability, combining legal rigor with public transparency. ICHHR adds an international dimension with transparent enforcement and strict accountability to safeguard public trust, reinforcing the link between enforcement and societal confidence.</w:t>
      </w:r>
    </w:p>
    <w:p w14:paraId="7DA8DEFF" w14:textId="0233EE2C" w:rsidR="00CE5861" w:rsidRPr="001256EA" w:rsidRDefault="00CE5861" w:rsidP="00C618D1">
      <w:pPr>
        <w:tabs>
          <w:tab w:val="left" w:pos="2855"/>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For the Oversight and cooperation bloc, LNHRI stresses zero</w:t>
      </w:r>
      <w:r w:rsidRPr="001256EA">
        <w:rPr>
          <w:rFonts w:ascii="Times New Roman" w:hAnsi="Times New Roman" w:cs="Times New Roman"/>
          <w:sz w:val="24"/>
          <w:szCs w:val="24"/>
        </w:rPr>
        <w:noBreakHyphen/>
        <w:t>tolerance enforcement and independent oversight for rights protection, showing a human rights perspective rooted in independence and strict compliance. FRA focuses on severe penalties and cross</w:t>
      </w:r>
      <w:r w:rsidRPr="001256EA">
        <w:rPr>
          <w:rFonts w:ascii="Times New Roman" w:hAnsi="Times New Roman" w:cs="Times New Roman"/>
          <w:sz w:val="24"/>
          <w:szCs w:val="24"/>
        </w:rPr>
        <w:noBreakHyphen/>
        <w:t>border cooperation for thorough investigations, integrating international collaboration with punitive measures.</w:t>
      </w:r>
    </w:p>
    <w:p w14:paraId="527FDFC3" w14:textId="1D44C67C" w:rsidR="00CE5861" w:rsidRPr="001256EA" w:rsidRDefault="00235481" w:rsidP="00235481">
      <w:pPr>
        <w:tabs>
          <w:tab w:val="left" w:pos="2855"/>
        </w:tabs>
        <w:spacing w:after="0" w:line="240" w:lineRule="auto"/>
        <w:jc w:val="both"/>
        <w:rPr>
          <w:rFonts w:ascii="Times New Roman" w:hAnsi="Times New Roman" w:cs="Times New Roman"/>
        </w:rPr>
      </w:pPr>
      <w:r w:rsidRPr="001256EA">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327B7319" wp14:editId="0386F8E7">
            <wp:simplePos x="0" y="0"/>
            <wp:positionH relativeFrom="column">
              <wp:posOffset>11430</wp:posOffset>
            </wp:positionH>
            <wp:positionV relativeFrom="paragraph">
              <wp:posOffset>460375</wp:posOffset>
            </wp:positionV>
            <wp:extent cx="5759450" cy="206375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063750"/>
                    </a:xfrm>
                    <a:prstGeom prst="rect">
                      <a:avLst/>
                    </a:prstGeom>
                    <a:noFill/>
                    <a:ln>
                      <a:noFill/>
                    </a:ln>
                  </pic:spPr>
                </pic:pic>
              </a:graphicData>
            </a:graphic>
          </wp:anchor>
        </w:drawing>
      </w:r>
      <w:r w:rsidR="00CE5861" w:rsidRPr="001256EA">
        <w:rPr>
          <w:rFonts w:ascii="Times New Roman" w:hAnsi="Times New Roman" w:cs="Times New Roman"/>
          <w:b/>
          <w:bCs/>
          <w:sz w:val="24"/>
          <w:szCs w:val="24"/>
        </w:rPr>
        <w:t>Figure</w:t>
      </w:r>
      <w:r w:rsidR="0024734A" w:rsidRPr="001256EA">
        <w:rPr>
          <w:rFonts w:ascii="Times New Roman" w:hAnsi="Times New Roman" w:cs="Times New Roman"/>
          <w:b/>
          <w:bCs/>
          <w:sz w:val="24"/>
          <w:szCs w:val="24"/>
        </w:rPr>
        <w:t xml:space="preserve"> 1</w:t>
      </w:r>
      <w:r w:rsidR="00CF70FF" w:rsidRPr="001256EA">
        <w:rPr>
          <w:rFonts w:ascii="Times New Roman" w:hAnsi="Times New Roman" w:cs="Times New Roman"/>
          <w:b/>
          <w:bCs/>
          <w:sz w:val="24"/>
          <w:szCs w:val="24"/>
        </w:rPr>
        <w:t>5</w:t>
      </w:r>
      <w:r w:rsidR="00CE5861" w:rsidRPr="001256EA">
        <w:rPr>
          <w:rFonts w:ascii="Times New Roman" w:hAnsi="Times New Roman" w:cs="Times New Roman"/>
          <w:b/>
          <w:bCs/>
          <w:sz w:val="24"/>
          <w:szCs w:val="24"/>
        </w:rPr>
        <w:t>.</w:t>
      </w:r>
      <w:r w:rsidR="00CE5861" w:rsidRPr="001256EA">
        <w:rPr>
          <w:rFonts w:ascii="Times New Roman" w:hAnsi="Times New Roman" w:cs="Times New Roman"/>
          <w:sz w:val="24"/>
          <w:szCs w:val="24"/>
        </w:rPr>
        <w:t xml:space="preserve"> Thematic findings by interviewee category for question 7</w:t>
      </w:r>
      <w:r w:rsidR="005A2D5A"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p w14:paraId="0EB810E3" w14:textId="77777777" w:rsidR="00CE5861" w:rsidRPr="001256EA" w:rsidRDefault="00CE5861" w:rsidP="00C618D1">
      <w:pPr>
        <w:tabs>
          <w:tab w:val="left" w:pos="2855"/>
        </w:tabs>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thematic results show strong convergence on accountability and sanctions within euthanasia regulation. All categories (MOJ, MOH, LHRI, LNHRI, FRA, ICHHR) agree on the necessity of strict legal penalties for abuse, including imprisonment and fines, to deter illegal practices and protect system integrity. Several groups (MOJ, LNHRI, ICHHR) emphasize independent oversight and enforcement, supporting the creation of bodies with authority to investigate and take swift action. Other shared priorities include professional and disciplinary sanctions (MOH, LHRI) targeting healthcare practitioners, transparency and reporting mechanisms (MOJ, MOH, LHRI, ICHHR) as tools to identify and address misconduct quickly, and public trust and ethical integrity (LHRI, LNHRI, ICHHR) as essential outcomes of robust enforcement frameworks.</w:t>
      </w:r>
    </w:p>
    <w:p w14:paraId="466C8E29" w14:textId="1084A96F" w:rsidR="00CE5861" w:rsidRPr="001256EA" w:rsidRDefault="00CE5861" w:rsidP="00235481">
      <w:pPr>
        <w:spacing w:after="0" w:line="360" w:lineRule="auto"/>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62508" w:rsidRPr="001256EA">
        <w:rPr>
          <w:rFonts w:ascii="Times New Roman" w:hAnsi="Times New Roman" w:cs="Times New Roman"/>
          <w:b/>
          <w:bCs/>
          <w:sz w:val="24"/>
          <w:szCs w:val="24"/>
        </w:rPr>
        <w:t>1</w:t>
      </w:r>
      <w:r w:rsidR="00235481" w:rsidRPr="001256EA">
        <w:rPr>
          <w:rFonts w:ascii="Times New Roman" w:hAnsi="Times New Roman" w:cs="Times New Roman"/>
          <w:b/>
          <w:bCs/>
          <w:sz w:val="24"/>
          <w:szCs w:val="24"/>
        </w:rPr>
        <w:t>7</w:t>
      </w:r>
      <w:r w:rsidRPr="001256EA">
        <w:rPr>
          <w:rFonts w:ascii="Times New Roman" w:hAnsi="Times New Roman" w:cs="Times New Roman"/>
          <w:b/>
          <w:bCs/>
          <w:sz w:val="24"/>
          <w:szCs w:val="24"/>
        </w:rPr>
        <w:t xml:space="preserve">. </w:t>
      </w:r>
      <w:r w:rsidRPr="001256EA">
        <w:rPr>
          <w:rFonts w:ascii="Times New Roman" w:hAnsi="Times New Roman" w:cs="Times New Roman"/>
          <w:sz w:val="24"/>
          <w:szCs w:val="24"/>
        </w:rPr>
        <w:t>Convergent Perspectives on Accountability and Sanctions in Euthanasia Regulation</w:t>
      </w:r>
      <w:r w:rsidR="002B3A50"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681"/>
        <w:gridCol w:w="2106"/>
        <w:gridCol w:w="4285"/>
      </w:tblGrid>
      <w:tr w:rsidR="00CE5861" w:rsidRPr="001256EA" w14:paraId="7E671513"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968F7D" w14:textId="00419AE3" w:rsidR="00CE5861" w:rsidRPr="001256EA" w:rsidRDefault="00312DC1" w:rsidP="00312DC1">
            <w:pPr>
              <w:spacing w:line="360" w:lineRule="auto"/>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           </w:t>
            </w:r>
            <w:r w:rsidR="00CE5861" w:rsidRPr="001256EA">
              <w:rPr>
                <w:rFonts w:ascii="Times New Roman" w:eastAsia="Times New Roman" w:hAnsi="Times New Roman" w:cs="Times New Roman"/>
                <w:sz w:val="20"/>
                <w:szCs w:val="20"/>
                <w:lang w:eastAsia="fr-FR"/>
              </w:rPr>
              <w:t>Convergent focus</w:t>
            </w:r>
          </w:p>
        </w:tc>
        <w:tc>
          <w:tcPr>
            <w:tcW w:w="0" w:type="auto"/>
            <w:vAlign w:val="center"/>
            <w:hideMark/>
          </w:tcPr>
          <w:p w14:paraId="240B8B06" w14:textId="3BB9768B" w:rsidR="00CE5861" w:rsidRPr="001256EA" w:rsidRDefault="00CE5861" w:rsidP="00312D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Categories in Agreement</w:t>
            </w:r>
          </w:p>
        </w:tc>
        <w:tc>
          <w:tcPr>
            <w:tcW w:w="0" w:type="auto"/>
            <w:vAlign w:val="center"/>
            <w:hideMark/>
          </w:tcPr>
          <w:p w14:paraId="69E12C22" w14:textId="77777777" w:rsidR="00CE5861" w:rsidRPr="001256EA" w:rsidRDefault="00CE5861" w:rsidP="00C618D1">
            <w:pPr>
              <w:spacing w:line="360" w:lineRule="auto"/>
              <w:ind w:firstLine="8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112D861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A07C5A" w14:textId="48E5EE49" w:rsidR="00CE5861" w:rsidRPr="001256EA" w:rsidRDefault="00312DC1" w:rsidP="00312DC1">
            <w:pPr>
              <w:spacing w:line="360" w:lineRule="auto"/>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 xml:space="preserve">    </w:t>
            </w:r>
            <w:r w:rsidR="00CE5861" w:rsidRPr="001256EA">
              <w:rPr>
                <w:rFonts w:ascii="Times New Roman" w:eastAsia="Times New Roman" w:hAnsi="Times New Roman" w:cs="Times New Roman"/>
                <w:sz w:val="20"/>
                <w:szCs w:val="20"/>
                <w:lang w:eastAsia="fr-FR"/>
              </w:rPr>
              <w:t>Strict legal penalties for abuse</w:t>
            </w:r>
          </w:p>
        </w:tc>
        <w:tc>
          <w:tcPr>
            <w:tcW w:w="0" w:type="auto"/>
            <w:vAlign w:val="center"/>
            <w:hideMark/>
          </w:tcPr>
          <w:p w14:paraId="4ECF6BAD"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a-DK" w:eastAsia="fr-FR"/>
              </w:rPr>
            </w:pPr>
            <w:r w:rsidRPr="001256EA">
              <w:rPr>
                <w:rFonts w:ascii="Times New Roman" w:eastAsia="Times New Roman" w:hAnsi="Times New Roman" w:cs="Times New Roman"/>
                <w:sz w:val="20"/>
                <w:szCs w:val="20"/>
                <w:lang w:val="da-DK" w:eastAsia="fr-FR"/>
              </w:rPr>
              <w:t>MOJ, MOH, LHRI, LNHRI, FRA, ICHHR</w:t>
            </w:r>
          </w:p>
        </w:tc>
        <w:tc>
          <w:tcPr>
            <w:tcW w:w="0" w:type="auto"/>
            <w:vAlign w:val="center"/>
            <w:hideMark/>
          </w:tcPr>
          <w:p w14:paraId="0662A3AB"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All categories agree on the need for strong legal penalties, including imprisonment and fines, to deter illegal activities and abuse within euthanasia systems.</w:t>
            </w:r>
          </w:p>
        </w:tc>
      </w:tr>
      <w:tr w:rsidR="00CE5861" w:rsidRPr="001256EA" w14:paraId="63338A77"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7E6904"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Independent oversight and enforcement</w:t>
            </w:r>
          </w:p>
        </w:tc>
        <w:tc>
          <w:tcPr>
            <w:tcW w:w="0" w:type="auto"/>
            <w:vAlign w:val="center"/>
            <w:hideMark/>
          </w:tcPr>
          <w:p w14:paraId="7E8F828F"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LNHRI, ICHHR</w:t>
            </w:r>
          </w:p>
        </w:tc>
        <w:tc>
          <w:tcPr>
            <w:tcW w:w="0" w:type="auto"/>
            <w:vAlign w:val="center"/>
            <w:hideMark/>
          </w:tcPr>
          <w:p w14:paraId="6290AC6C"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groups emphasize establishing dedicated or independent oversight bodies to investigate abuses and ensure swift enforcement actions.</w:t>
            </w:r>
          </w:p>
        </w:tc>
      </w:tr>
      <w:tr w:rsidR="00CE5861" w:rsidRPr="001256EA" w14:paraId="290B2AC7"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53F243"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Professional and disciplinary sanctions</w:t>
            </w:r>
          </w:p>
        </w:tc>
        <w:tc>
          <w:tcPr>
            <w:tcW w:w="0" w:type="auto"/>
            <w:vAlign w:val="center"/>
            <w:hideMark/>
          </w:tcPr>
          <w:p w14:paraId="6E81D7EB"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LHRI</w:t>
            </w:r>
          </w:p>
        </w:tc>
        <w:tc>
          <w:tcPr>
            <w:tcW w:w="0" w:type="auto"/>
            <w:vAlign w:val="center"/>
            <w:hideMark/>
          </w:tcPr>
          <w:p w14:paraId="06453B93"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Some categories focus on professional accountability measures, including loss of medical licenses and disciplinary actions for healthcare professionals.</w:t>
            </w:r>
          </w:p>
        </w:tc>
      </w:tr>
      <w:tr w:rsidR="00CE5861" w:rsidRPr="001256EA" w14:paraId="34751ED1"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74ECDC"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lastRenderedPageBreak/>
              <w:t>Transparency and reporting mechanisms</w:t>
            </w:r>
          </w:p>
        </w:tc>
        <w:tc>
          <w:tcPr>
            <w:tcW w:w="0" w:type="auto"/>
            <w:vAlign w:val="center"/>
            <w:hideMark/>
          </w:tcPr>
          <w:p w14:paraId="1CAF8239"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MOH, LHRI, ICHHR</w:t>
            </w:r>
          </w:p>
        </w:tc>
        <w:tc>
          <w:tcPr>
            <w:tcW w:w="0" w:type="auto"/>
            <w:vAlign w:val="center"/>
            <w:hideMark/>
          </w:tcPr>
          <w:p w14:paraId="1423976E" w14:textId="77777777" w:rsidR="00CE5861" w:rsidRPr="001256EA" w:rsidRDefault="00CE5861" w:rsidP="00C618D1">
            <w:pPr>
              <w:spacing w:line="360" w:lineRule="auto"/>
              <w:ind w:firstLine="8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Multiple categories highlight the importance of transparent reporting, audits, and public awareness to detect and address abuses promptly.</w:t>
            </w:r>
          </w:p>
        </w:tc>
      </w:tr>
      <w:tr w:rsidR="00CE5861" w:rsidRPr="001256EA" w14:paraId="1BF9B881"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2C1930" w14:textId="77777777" w:rsidR="00CE5861" w:rsidRPr="001256EA" w:rsidRDefault="00CE5861" w:rsidP="00C618D1">
            <w:pPr>
              <w:spacing w:line="360" w:lineRule="auto"/>
              <w:ind w:firstLine="851"/>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Public trust and ethical integrity</w:t>
            </w:r>
          </w:p>
        </w:tc>
        <w:tc>
          <w:tcPr>
            <w:tcW w:w="0" w:type="auto"/>
            <w:vAlign w:val="center"/>
            <w:hideMark/>
          </w:tcPr>
          <w:p w14:paraId="12CEF113"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LNHRI, ICHHR</w:t>
            </w:r>
          </w:p>
        </w:tc>
        <w:tc>
          <w:tcPr>
            <w:tcW w:w="0" w:type="auto"/>
            <w:vAlign w:val="center"/>
            <w:hideMark/>
          </w:tcPr>
          <w:p w14:paraId="280326F1" w14:textId="77777777" w:rsidR="00CE5861" w:rsidRPr="001256EA" w:rsidRDefault="00CE5861" w:rsidP="00C618D1">
            <w:pPr>
              <w:spacing w:line="360" w:lineRule="auto"/>
              <w:ind w:firstLine="8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These groups stress that enforcement mechanisms are critical to maintaining public trust and upholding ethical and human rights standards.</w:t>
            </w:r>
          </w:p>
        </w:tc>
      </w:tr>
    </w:tbl>
    <w:p w14:paraId="55F83732"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Divergences reveal differences in emphasis. MOJ uniquely stresses the creation of a dedicated regulatory body for enforcement and investigations. MOH focuses on healthcare professional licensing, especially revoking licenses as a deterrent. LHRI prioritizes public reporting as an early detection tool, using awareness and reporting to trigger enforcement action. LNHRI adopts a zero</w:t>
      </w:r>
      <w:r w:rsidRPr="001256EA">
        <w:rPr>
          <w:rFonts w:ascii="Times New Roman" w:hAnsi="Times New Roman" w:cs="Times New Roman"/>
          <w:sz w:val="24"/>
          <w:szCs w:val="24"/>
        </w:rPr>
        <w:noBreakHyphen/>
        <w:t>tolerance human rights focus, framing accountability as a human rights issue requiring strict enforcement. FRA highlights cross</w:t>
      </w:r>
      <w:r w:rsidRPr="001256EA">
        <w:rPr>
          <w:rFonts w:ascii="Times New Roman" w:hAnsi="Times New Roman" w:cs="Times New Roman"/>
          <w:sz w:val="24"/>
          <w:szCs w:val="24"/>
        </w:rPr>
        <w:noBreakHyphen/>
        <w:t>border cooperation, addressing abuses with international dimensions, while ICHHR underscores transparency as a core principle to maintain institutional integrity and public trust. These differences illustrate how shared objectives are operationalized differently across institutional perspectives.</w:t>
      </w:r>
    </w:p>
    <w:p w14:paraId="2E6A53AE" w14:textId="50E60A8E" w:rsidR="00CE5861" w:rsidRPr="001256EA" w:rsidRDefault="00CE5861" w:rsidP="00235481">
      <w:pPr>
        <w:jc w:val="both"/>
        <w:rPr>
          <w:rFonts w:ascii="Times New Roman" w:hAnsi="Times New Roman" w:cs="Times New Roman"/>
          <w:sz w:val="24"/>
          <w:szCs w:val="24"/>
        </w:rPr>
      </w:pPr>
      <w:r w:rsidRPr="001256EA">
        <w:rPr>
          <w:rFonts w:ascii="Times New Roman" w:hAnsi="Times New Roman" w:cs="Times New Roman"/>
          <w:b/>
          <w:bCs/>
          <w:sz w:val="24"/>
          <w:szCs w:val="24"/>
        </w:rPr>
        <w:t xml:space="preserve">Table </w:t>
      </w:r>
      <w:r w:rsidR="00C62508" w:rsidRPr="001256EA">
        <w:rPr>
          <w:rFonts w:ascii="Times New Roman" w:hAnsi="Times New Roman" w:cs="Times New Roman"/>
          <w:b/>
          <w:bCs/>
          <w:sz w:val="24"/>
          <w:szCs w:val="24"/>
        </w:rPr>
        <w:t>1</w:t>
      </w:r>
      <w:r w:rsidR="00235481" w:rsidRPr="001256EA">
        <w:rPr>
          <w:rFonts w:ascii="Times New Roman" w:hAnsi="Times New Roman" w:cs="Times New Roman"/>
          <w:b/>
          <w:bCs/>
          <w:sz w:val="24"/>
          <w:szCs w:val="24"/>
        </w:rPr>
        <w:t>8</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Divergent Perspectives on Accountability and Sanctions in Euthanasia Regulation</w:t>
      </w:r>
      <w:r w:rsidR="002B3A50" w:rsidRPr="001256EA">
        <w:rPr>
          <w:rFonts w:ascii="Times New Roman" w:hAnsi="Times New Roman" w:cs="Times New Roman"/>
          <w:sz w:val="24"/>
          <w:szCs w:val="24"/>
        </w:rPr>
        <w:t xml:space="preserve"> </w:t>
      </w:r>
      <w:r w:rsidR="00115728" w:rsidRPr="001256EA">
        <w:rPr>
          <w:rFonts w:ascii="Times New Roman" w:eastAsia="Calibri" w:hAnsi="Times New Roman" w:cs="Times New Roman"/>
          <w:sz w:val="24"/>
          <w:szCs w:val="24"/>
        </w:rPr>
        <w:t>(compiled by the author b</w:t>
      </w:r>
      <w:r w:rsidR="00115728" w:rsidRPr="001256EA">
        <w:rPr>
          <w:rFonts w:ascii="Times New Roman" w:hAnsi="Times New Roman" w:cs="Times New Roman"/>
          <w:sz w:val="24"/>
          <w:szCs w:val="24"/>
        </w:rPr>
        <w:t>ased on the research’s results)</w:t>
      </w:r>
    </w:p>
    <w:tbl>
      <w:tblPr>
        <w:tblStyle w:val="PlainTable22"/>
        <w:tblW w:w="0" w:type="auto"/>
        <w:tblLook w:val="04A0" w:firstRow="1" w:lastRow="0" w:firstColumn="1" w:lastColumn="0" w:noHBand="0" w:noVBand="1"/>
      </w:tblPr>
      <w:tblGrid>
        <w:gridCol w:w="2398"/>
        <w:gridCol w:w="1844"/>
        <w:gridCol w:w="4830"/>
      </w:tblGrid>
      <w:tr w:rsidR="00CE5861" w:rsidRPr="001256EA" w14:paraId="00CF0BD7" w14:textId="77777777" w:rsidTr="00DC2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18FDDF"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Divergent focus</w:t>
            </w:r>
          </w:p>
        </w:tc>
        <w:tc>
          <w:tcPr>
            <w:tcW w:w="0" w:type="auto"/>
            <w:vAlign w:val="center"/>
            <w:hideMark/>
          </w:tcPr>
          <w:p w14:paraId="19D02EAD" w14:textId="21DBE678" w:rsidR="00CE5861" w:rsidRPr="001256EA" w:rsidRDefault="00C618D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roofErr w:type="spellStart"/>
            <w:r w:rsidRPr="001256EA">
              <w:rPr>
                <w:rFonts w:ascii="Times New Roman" w:eastAsia="Times New Roman" w:hAnsi="Times New Roman" w:cs="Times New Roman"/>
                <w:sz w:val="20"/>
                <w:szCs w:val="20"/>
                <w:lang w:eastAsia="fr-FR"/>
              </w:rPr>
              <w:t>Catégories</w:t>
            </w:r>
            <w:proofErr w:type="spellEnd"/>
            <w:r w:rsidR="00CE5861" w:rsidRPr="001256EA">
              <w:rPr>
                <w:rFonts w:ascii="Times New Roman" w:eastAsia="Times New Roman" w:hAnsi="Times New Roman" w:cs="Times New Roman"/>
                <w:sz w:val="20"/>
                <w:szCs w:val="20"/>
                <w:lang w:eastAsia="fr-FR"/>
              </w:rPr>
              <w:t xml:space="preserve"> in disagreement</w:t>
            </w:r>
          </w:p>
        </w:tc>
        <w:tc>
          <w:tcPr>
            <w:tcW w:w="0" w:type="auto"/>
            <w:vAlign w:val="center"/>
            <w:hideMark/>
          </w:tcPr>
          <w:p w14:paraId="629B7471" w14:textId="77777777" w:rsidR="00CE5861" w:rsidRPr="001256EA" w:rsidRDefault="00CE5861" w:rsidP="00CE58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Interpretation</w:t>
            </w:r>
          </w:p>
        </w:tc>
      </w:tr>
      <w:tr w:rsidR="00CE5861" w:rsidRPr="001256EA" w14:paraId="2C48206C"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05E31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Dedicated regulatory body</w:t>
            </w:r>
          </w:p>
        </w:tc>
        <w:tc>
          <w:tcPr>
            <w:tcW w:w="0" w:type="auto"/>
            <w:vAlign w:val="center"/>
            <w:hideMark/>
          </w:tcPr>
          <w:p w14:paraId="56E5B4BC"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w:t>
            </w:r>
          </w:p>
        </w:tc>
        <w:tc>
          <w:tcPr>
            <w:tcW w:w="0" w:type="auto"/>
            <w:vAlign w:val="center"/>
            <w:hideMark/>
          </w:tcPr>
          <w:p w14:paraId="45536B4C"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MOJ uniquely stresses the creation of a specific regulatory body tasked with enforcement and investigations.</w:t>
            </w:r>
          </w:p>
        </w:tc>
      </w:tr>
      <w:tr w:rsidR="00CE5861" w:rsidRPr="001256EA" w14:paraId="39D26424"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109298"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Focus on healthcare professional licensing</w:t>
            </w:r>
          </w:p>
        </w:tc>
        <w:tc>
          <w:tcPr>
            <w:tcW w:w="0" w:type="auto"/>
            <w:vAlign w:val="center"/>
            <w:hideMark/>
          </w:tcPr>
          <w:p w14:paraId="24D4B660"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w:t>
            </w:r>
          </w:p>
        </w:tc>
        <w:tc>
          <w:tcPr>
            <w:tcW w:w="0" w:type="auto"/>
            <w:vAlign w:val="center"/>
            <w:hideMark/>
          </w:tcPr>
          <w:p w14:paraId="0F653C99"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MOH highlights disciplinary measures, especially the removal of medical licenses, as a deterrent for abuse.</w:t>
            </w:r>
          </w:p>
        </w:tc>
      </w:tr>
      <w:tr w:rsidR="00CE5861" w:rsidRPr="001256EA" w14:paraId="7B9C441B"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589982"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Public reporting as an early detection tool</w:t>
            </w:r>
          </w:p>
        </w:tc>
        <w:tc>
          <w:tcPr>
            <w:tcW w:w="0" w:type="auto"/>
            <w:vAlign w:val="center"/>
            <w:hideMark/>
          </w:tcPr>
          <w:p w14:paraId="7D0607A9"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w:t>
            </w:r>
          </w:p>
        </w:tc>
        <w:tc>
          <w:tcPr>
            <w:tcW w:w="0" w:type="auto"/>
            <w:vAlign w:val="center"/>
            <w:hideMark/>
          </w:tcPr>
          <w:p w14:paraId="6B60CCC3"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LHRI prioritizes public awareness and reporting mechanisms as means to detect and prosecute abuses quickly.</w:t>
            </w:r>
          </w:p>
        </w:tc>
      </w:tr>
      <w:tr w:rsidR="00CE5861" w:rsidRPr="001256EA" w14:paraId="37A1C261"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EDB5F9"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Zero-tolerance human rights focus</w:t>
            </w:r>
          </w:p>
        </w:tc>
        <w:tc>
          <w:tcPr>
            <w:tcW w:w="0" w:type="auto"/>
            <w:vAlign w:val="center"/>
            <w:hideMark/>
          </w:tcPr>
          <w:p w14:paraId="1E6AD62B"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w:t>
            </w:r>
          </w:p>
        </w:tc>
        <w:tc>
          <w:tcPr>
            <w:tcW w:w="0" w:type="auto"/>
            <w:vAlign w:val="center"/>
            <w:hideMark/>
          </w:tcPr>
          <w:p w14:paraId="03A6F8C1"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LNHRI frames enforcement around protecting human rights, calling for a strict zero-tolerance approach.</w:t>
            </w:r>
          </w:p>
        </w:tc>
      </w:tr>
      <w:tr w:rsidR="00CE5861" w:rsidRPr="001256EA" w14:paraId="3D12171C" w14:textId="77777777" w:rsidTr="00DC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AADAE7"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Cross-border cooperation</w:t>
            </w:r>
          </w:p>
        </w:tc>
        <w:tc>
          <w:tcPr>
            <w:tcW w:w="0" w:type="auto"/>
            <w:vAlign w:val="center"/>
            <w:hideMark/>
          </w:tcPr>
          <w:p w14:paraId="5C9CBDB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w:t>
            </w:r>
          </w:p>
        </w:tc>
        <w:tc>
          <w:tcPr>
            <w:tcW w:w="0" w:type="auto"/>
            <w:vAlign w:val="center"/>
            <w:hideMark/>
          </w:tcPr>
          <w:p w14:paraId="0425E6C0" w14:textId="77777777" w:rsidR="00CE5861" w:rsidRPr="001256EA" w:rsidRDefault="00CE5861" w:rsidP="00CE5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FRA emphasizes international cooperation to address abuses with potential cross-border dimensions.</w:t>
            </w:r>
          </w:p>
        </w:tc>
      </w:tr>
      <w:tr w:rsidR="00CE5861" w:rsidRPr="001256EA" w14:paraId="2E69C539" w14:textId="77777777" w:rsidTr="00DC25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0D7252" w14:textId="77777777" w:rsidR="00CE5861" w:rsidRPr="001256EA" w:rsidRDefault="00CE5861" w:rsidP="00CE5861">
            <w:pPr>
              <w:spacing w:line="360" w:lineRule="auto"/>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Transparency as core principle</w:t>
            </w:r>
          </w:p>
        </w:tc>
        <w:tc>
          <w:tcPr>
            <w:tcW w:w="0" w:type="auto"/>
            <w:vAlign w:val="center"/>
            <w:hideMark/>
          </w:tcPr>
          <w:p w14:paraId="70E7BC3B"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w:t>
            </w:r>
          </w:p>
        </w:tc>
        <w:tc>
          <w:tcPr>
            <w:tcW w:w="0" w:type="auto"/>
            <w:vAlign w:val="center"/>
            <w:hideMark/>
          </w:tcPr>
          <w:p w14:paraId="052D1ACC" w14:textId="77777777" w:rsidR="00CE5861" w:rsidRPr="001256EA" w:rsidRDefault="00CE5861" w:rsidP="00CE5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ICHHR particularly highlights transparency in handling abuse cases to maintain institutional integrity and public trust.</w:t>
            </w:r>
          </w:p>
        </w:tc>
      </w:tr>
    </w:tbl>
    <w:p w14:paraId="2ABFEFA1" w14:textId="77777777" w:rsidR="00CE5861" w:rsidRPr="001256EA" w:rsidRDefault="00CE5861" w:rsidP="00CE5861">
      <w:pPr>
        <w:rPr>
          <w:rFonts w:ascii="Times New Roman" w:hAnsi="Times New Roman" w:cs="Times New Roman"/>
        </w:rPr>
      </w:pPr>
    </w:p>
    <w:p w14:paraId="2058B7C0" w14:textId="2F60186B" w:rsidR="00CE5861" w:rsidRPr="001256EA" w:rsidRDefault="008128CC" w:rsidP="00235481">
      <w:pPr>
        <w:pStyle w:val="Heading2"/>
        <w:ind w:left="1080"/>
        <w:jc w:val="center"/>
        <w:rPr>
          <w:rFonts w:ascii="Times New Roman" w:hAnsi="Times New Roman" w:cs="Times New Roman"/>
          <w:b/>
          <w:bCs/>
          <w:color w:val="auto"/>
          <w:sz w:val="24"/>
          <w:szCs w:val="24"/>
        </w:rPr>
      </w:pPr>
      <w:bookmarkStart w:id="81" w:name="_Toc216374414"/>
      <w:r w:rsidRPr="001256EA">
        <w:rPr>
          <w:rFonts w:ascii="Times New Roman" w:hAnsi="Times New Roman" w:cs="Times New Roman"/>
          <w:b/>
          <w:bCs/>
          <w:color w:val="auto"/>
          <w:sz w:val="24"/>
          <w:szCs w:val="24"/>
        </w:rPr>
        <w:lastRenderedPageBreak/>
        <w:t>3.4.</w:t>
      </w:r>
      <w:r w:rsidR="003239B1" w:rsidRPr="001256EA">
        <w:rPr>
          <w:rFonts w:ascii="Times New Roman" w:hAnsi="Times New Roman" w:cs="Times New Roman"/>
          <w:b/>
          <w:bCs/>
          <w:color w:val="auto"/>
          <w:sz w:val="24"/>
          <w:szCs w:val="24"/>
        </w:rPr>
        <w:t xml:space="preserve"> </w:t>
      </w:r>
      <w:r w:rsidR="004D5550" w:rsidRPr="001256EA">
        <w:rPr>
          <w:rFonts w:ascii="Times New Roman" w:hAnsi="Times New Roman" w:cs="Times New Roman"/>
          <w:b/>
          <w:bCs/>
          <w:color w:val="auto"/>
          <w:sz w:val="24"/>
          <w:szCs w:val="24"/>
        </w:rPr>
        <w:t>Comparative discussion of international and European experiences in relation to the Lithuanian context of euthanasia</w:t>
      </w:r>
      <w:bookmarkEnd w:id="81"/>
    </w:p>
    <w:p w14:paraId="519FC000" w14:textId="77777777" w:rsidR="00115728" w:rsidRPr="001256EA" w:rsidRDefault="00115728" w:rsidP="00C618D1">
      <w:pPr>
        <w:spacing w:after="0" w:line="360" w:lineRule="auto"/>
        <w:ind w:firstLine="851"/>
        <w:jc w:val="both"/>
        <w:rPr>
          <w:rFonts w:ascii="Times New Roman" w:hAnsi="Times New Roman" w:cs="Times New Roman"/>
          <w:sz w:val="24"/>
          <w:szCs w:val="24"/>
        </w:rPr>
      </w:pPr>
    </w:p>
    <w:p w14:paraId="068E0670" w14:textId="3FFCD7A9" w:rsidR="00CE5861" w:rsidRPr="001256EA" w:rsidRDefault="00C61CDF"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This subsection of the dissertation analyses the research results, linking them to the questions raised during the interviews and comparing them with the findings of previous empirical research at the European and international levels. The focus is on comparing the experiences of Western Europe, Europe and the Asia-Pacific region, to assess their significance and applicability in the context of the legal regulation of euthanasia in Lithuania.</w:t>
      </w:r>
    </w:p>
    <w:p w14:paraId="4EB4A3D8" w14:textId="1012DA1E"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findings of this study demonstrate a broad consensus among Lithuanian institutional actors regarding the role of international legal regulation as a foundation for protecting patient rights and ensuring safe euthanasia practices. This convergence is consistent with observations in countries where euthanasia has been legalized and regulated, notably the Netherlands and Belgium, where international legal principles have informed domestic legislation and oversight mechanisms. For example,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w:t>
      </w:r>
      <w:r w:rsidRPr="001256EA">
        <w:rPr>
          <w:rFonts w:ascii="Times New Roman" w:hAnsi="Times New Roman" w:cs="Times New Roman"/>
          <w:sz w:val="24"/>
          <w:szCs w:val="24"/>
          <w:vertAlign w:val="superscript"/>
        </w:rPr>
        <w:footnoteReference w:id="344"/>
      </w:r>
      <w:r w:rsidRPr="001256EA">
        <w:rPr>
          <w:rFonts w:ascii="Times New Roman" w:hAnsi="Times New Roman" w:cs="Times New Roman"/>
          <w:sz w:val="24"/>
          <w:szCs w:val="24"/>
        </w:rPr>
        <w:t xml:space="preserve"> showed that the Dutch regulatory framework, rooted in international human rights norms and ethical safeguards, facilitated transparent euthanasia practices, with 77% of cases being reported to review committees and life-ending acts without explicit request declining over time. Similarly, Bernal and Trejo-Gabriel-Galan</w:t>
      </w:r>
      <w:r w:rsidRPr="001256EA">
        <w:rPr>
          <w:rFonts w:ascii="Times New Roman" w:hAnsi="Times New Roman" w:cs="Times New Roman"/>
          <w:sz w:val="24"/>
          <w:szCs w:val="24"/>
          <w:vertAlign w:val="superscript"/>
        </w:rPr>
        <w:footnoteReference w:id="345"/>
      </w:r>
      <w:r w:rsidRPr="001256EA">
        <w:rPr>
          <w:rFonts w:ascii="Times New Roman" w:hAnsi="Times New Roman" w:cs="Times New Roman"/>
          <w:sz w:val="24"/>
          <w:szCs w:val="24"/>
        </w:rPr>
        <w:t xml:space="preserve"> demonstrated that Spain’s euthanasia law deliberately followed international legal precedents, particularly those from the Netherlands and Belgium, to ensure patient safety and procedural clarity.</w:t>
      </w:r>
    </w:p>
    <w:p w14:paraId="02FE7202" w14:textId="63E458FF"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also emphasized the need for contextual adaptation of international frameworks to align with national cultural, ethical, and human rights norms. This mirrors findings from Belgium, where legislative amendments, such as the extension of euthanasia rights to minors, were justified based on domestic ethical debates and local consensus rather than solely adopting foreign models</w:t>
      </w:r>
      <w:r w:rsidRPr="001256EA">
        <w:rPr>
          <w:rFonts w:ascii="Times New Roman" w:hAnsi="Times New Roman" w:cs="Times New Roman"/>
          <w:sz w:val="24"/>
          <w:szCs w:val="24"/>
          <w:vertAlign w:val="superscript"/>
        </w:rPr>
        <w:footnoteReference w:id="346"/>
      </w:r>
      <w:r w:rsidRPr="001256EA">
        <w:rPr>
          <w:rFonts w:ascii="Times New Roman" w:hAnsi="Times New Roman" w:cs="Times New Roman"/>
          <w:sz w:val="24"/>
          <w:szCs w:val="24"/>
        </w:rPr>
        <w:t>. Similarly, Smets et al.</w:t>
      </w:r>
      <w:r w:rsidRPr="001256EA">
        <w:rPr>
          <w:rFonts w:ascii="Times New Roman" w:hAnsi="Times New Roman" w:cs="Times New Roman"/>
          <w:sz w:val="24"/>
          <w:szCs w:val="24"/>
          <w:vertAlign w:val="superscript"/>
        </w:rPr>
        <w:footnoteReference w:id="347"/>
      </w:r>
      <w:r w:rsidRPr="001256EA">
        <w:rPr>
          <w:rFonts w:ascii="Times New Roman" w:hAnsi="Times New Roman" w:cs="Times New Roman"/>
          <w:sz w:val="24"/>
          <w:szCs w:val="24"/>
        </w:rPr>
        <w:t xml:space="preserve"> showed that Belgian physicians’ attitudes toward euthanasia were shaped by local cultural and religious </w:t>
      </w:r>
      <w:r w:rsidRPr="001256EA">
        <w:rPr>
          <w:rFonts w:ascii="Times New Roman" w:hAnsi="Times New Roman" w:cs="Times New Roman"/>
          <w:sz w:val="24"/>
          <w:szCs w:val="24"/>
        </w:rPr>
        <w:lastRenderedPageBreak/>
        <w:t>factors, even under a common European legal structure. In the Lithuanian context, the MOJ placed particular emphasis on aligning euthanasia legislation with national ethical values, paralleling the cultural sensitivity observed in Belgian and Dutch debates over dementia-related euthanasia</w:t>
      </w:r>
      <w:r w:rsidRPr="001256EA">
        <w:rPr>
          <w:rFonts w:ascii="Times New Roman" w:hAnsi="Times New Roman" w:cs="Times New Roman"/>
          <w:sz w:val="24"/>
          <w:szCs w:val="24"/>
          <w:vertAlign w:val="superscript"/>
        </w:rPr>
        <w:footnoteReference w:id="348"/>
      </w:r>
      <w:r w:rsidRPr="001256EA">
        <w:rPr>
          <w:rFonts w:ascii="Times New Roman" w:hAnsi="Times New Roman" w:cs="Times New Roman"/>
          <w:sz w:val="24"/>
          <w:szCs w:val="24"/>
        </w:rPr>
        <w:t>.</w:t>
      </w:r>
    </w:p>
    <w:p w14:paraId="766876B6"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 shared priority on patient safety and rights among Lithuanian stakeholders aligns with broader international literature identifying the protection of patient autonomy as the cornerstone of euthanasia regulation</w:t>
      </w:r>
      <w:r w:rsidRPr="001256EA">
        <w:rPr>
          <w:rFonts w:ascii="Times New Roman" w:hAnsi="Times New Roman" w:cs="Times New Roman"/>
          <w:sz w:val="24"/>
          <w:szCs w:val="24"/>
          <w:vertAlign w:val="superscript"/>
        </w:rPr>
        <w:footnoteReference w:id="349"/>
      </w:r>
      <w:r w:rsidRPr="001256EA">
        <w:rPr>
          <w:rFonts w:ascii="Times New Roman" w:hAnsi="Times New Roman" w:cs="Times New Roman"/>
          <w:sz w:val="24"/>
          <w:szCs w:val="24"/>
        </w:rPr>
        <w:t>. Belgian studies have highlighted that safeguarding patient autonomy is reinforced by procedural safeguards such as second opinions and multidisciplinary review</w:t>
      </w:r>
      <w:r w:rsidRPr="001256EA">
        <w:rPr>
          <w:rFonts w:ascii="Times New Roman" w:hAnsi="Times New Roman" w:cs="Times New Roman"/>
          <w:sz w:val="24"/>
          <w:szCs w:val="24"/>
          <w:vertAlign w:val="superscript"/>
        </w:rPr>
        <w:footnoteReference w:id="350"/>
      </w:r>
      <w:r w:rsidRPr="001256EA">
        <w:rPr>
          <w:rFonts w:ascii="Times New Roman" w:hAnsi="Times New Roman" w:cs="Times New Roman"/>
          <w:sz w:val="24"/>
          <w:szCs w:val="24"/>
        </w:rPr>
        <w:t>, which is consistent with Lithuanian concerns for transparent consent processes and independent oversight. In contrast, countries where euthanasia remains prohibited, such as Indonesia, frame patient protection differently, emphasizing the absolute right to life as incompatible with assisted dying</w:t>
      </w:r>
      <w:r w:rsidRPr="001256EA">
        <w:rPr>
          <w:rFonts w:ascii="Times New Roman" w:hAnsi="Times New Roman" w:cs="Times New Roman"/>
          <w:sz w:val="24"/>
          <w:szCs w:val="24"/>
          <w:vertAlign w:val="superscript"/>
        </w:rPr>
        <w:footnoteReference w:id="351"/>
      </w:r>
      <w:r w:rsidRPr="001256EA">
        <w:rPr>
          <w:rFonts w:ascii="Times New Roman" w:hAnsi="Times New Roman" w:cs="Times New Roman"/>
          <w:sz w:val="24"/>
          <w:szCs w:val="24"/>
        </w:rPr>
        <w:t>, which highlights how normative legal traditions influence perceptions of rights protection.</w:t>
      </w:r>
    </w:p>
    <w:p w14:paraId="209F28F8"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focus on transparent regulation and independent oversight also reflects international experiences. Dutch regulatory procedures rely heavily on regional review committees to ensure compliance</w:t>
      </w:r>
      <w:r w:rsidRPr="001256EA">
        <w:rPr>
          <w:rFonts w:ascii="Times New Roman" w:hAnsi="Times New Roman" w:cs="Times New Roman"/>
          <w:sz w:val="24"/>
          <w:szCs w:val="24"/>
          <w:vertAlign w:val="superscript"/>
        </w:rPr>
        <w:footnoteReference w:id="352"/>
      </w:r>
      <w:r w:rsidRPr="001256EA">
        <w:rPr>
          <w:rFonts w:ascii="Times New Roman" w:hAnsi="Times New Roman" w:cs="Times New Roman"/>
          <w:sz w:val="24"/>
          <w:szCs w:val="24"/>
        </w:rPr>
        <w:t xml:space="preserve">, and Belgium has repeatedly revised oversight procedures </w:t>
      </w:r>
      <w:r w:rsidRPr="001256EA">
        <w:rPr>
          <w:rFonts w:ascii="Times New Roman" w:hAnsi="Times New Roman" w:cs="Times New Roman"/>
          <w:sz w:val="24"/>
          <w:szCs w:val="24"/>
        </w:rPr>
        <w:lastRenderedPageBreak/>
        <w:t>to manage complex cases such as psychiatric and dementia-related euthanasia</w:t>
      </w:r>
      <w:r w:rsidRPr="001256EA">
        <w:rPr>
          <w:rFonts w:ascii="Times New Roman" w:hAnsi="Times New Roman" w:cs="Times New Roman"/>
          <w:sz w:val="24"/>
          <w:szCs w:val="24"/>
          <w:vertAlign w:val="superscript"/>
        </w:rPr>
        <w:footnoteReference w:id="353"/>
      </w:r>
      <w:r w:rsidRPr="001256EA">
        <w:rPr>
          <w:rFonts w:ascii="Times New Roman" w:hAnsi="Times New Roman" w:cs="Times New Roman"/>
          <w:sz w:val="24"/>
          <w:szCs w:val="24"/>
        </w:rPr>
        <w:t>. These findings parallel Lithuanian stakeholders’ calls for clarity, reporting mechanisms, and human rights safeguards (as emphasized by LNHRI and ICHHR). However, literature also points to persistent challenges in oversight and procedural compliance, such as underreporting and inconsistent interpretation of due care criteria</w:t>
      </w:r>
      <w:r w:rsidRPr="001256EA">
        <w:rPr>
          <w:rFonts w:ascii="Times New Roman" w:hAnsi="Times New Roman" w:cs="Times New Roman"/>
          <w:sz w:val="24"/>
          <w:szCs w:val="24"/>
          <w:vertAlign w:val="superscript"/>
        </w:rPr>
        <w:footnoteReference w:id="354"/>
      </w:r>
      <w:r w:rsidRPr="001256EA">
        <w:rPr>
          <w:rFonts w:ascii="Times New Roman" w:hAnsi="Times New Roman" w:cs="Times New Roman"/>
          <w:sz w:val="24"/>
          <w:szCs w:val="24"/>
        </w:rPr>
        <w:t>, indicating that Lithuanian plans for robust compliance frameworks are well aligned with lessons learned from more mature regulatory environments.</w:t>
      </w:r>
    </w:p>
    <w:p w14:paraId="14F37E73"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Distinct divergences among Lithuanian stakeholders, such as MOH’s focus on medical system integration and MOJ’s emphasis on cultural-ethical alignment, are also found in international contexts. In Belgium, physicians often cite professional burdens and moral distress in euthanasia provision</w:t>
      </w:r>
      <w:r w:rsidRPr="001256EA">
        <w:rPr>
          <w:rFonts w:ascii="Times New Roman" w:hAnsi="Times New Roman" w:cs="Times New Roman"/>
          <w:sz w:val="24"/>
          <w:szCs w:val="24"/>
          <w:vertAlign w:val="superscript"/>
        </w:rPr>
        <w:footnoteReference w:id="355"/>
      </w:r>
      <w:r w:rsidRPr="001256EA">
        <w:rPr>
          <w:rFonts w:ascii="Times New Roman" w:hAnsi="Times New Roman" w:cs="Times New Roman"/>
          <w:sz w:val="24"/>
          <w:szCs w:val="24"/>
        </w:rPr>
        <w:t>, while Dutch physicians express concern about an expanding scope of euthanasia, including cases without terminal illness</w:t>
      </w:r>
      <w:r w:rsidRPr="001256EA">
        <w:rPr>
          <w:rFonts w:ascii="Times New Roman" w:hAnsi="Times New Roman" w:cs="Times New Roman"/>
          <w:sz w:val="24"/>
          <w:szCs w:val="24"/>
          <w:vertAlign w:val="superscript"/>
        </w:rPr>
        <w:footnoteReference w:id="356"/>
      </w:r>
      <w:r w:rsidRPr="001256EA">
        <w:rPr>
          <w:rFonts w:ascii="Times New Roman" w:hAnsi="Times New Roman" w:cs="Times New Roman"/>
          <w:sz w:val="24"/>
          <w:szCs w:val="24"/>
        </w:rPr>
        <w:t>. These debates illustrate those differences in institutional priorities, while sometimes framed as divergences, may enrich regulatory development by addressing both ethical-cultural and medical-operational dimensions.</w:t>
      </w:r>
    </w:p>
    <w:p w14:paraId="5C46B8C6" w14:textId="6711C21A" w:rsidR="00CE5861" w:rsidRPr="001256EA" w:rsidRDefault="00001C8C"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Overall</w:t>
      </w:r>
      <w:r w:rsidR="00CE5861" w:rsidRPr="001256EA">
        <w:rPr>
          <w:rFonts w:ascii="Times New Roman" w:hAnsi="Times New Roman" w:cs="Times New Roman"/>
          <w:sz w:val="24"/>
          <w:szCs w:val="24"/>
        </w:rPr>
        <w:t>, Lithuanian findings resonate strongly with international empirical evidence on the importance of legal clarity, contextual adaptation, and robust oversight for patient safety and rights protection. However, experiences from Belgium, the Netherlands, and Spain highlight potential implementation challenges, including underreporting, professional distress, and ambiguous case law, which Lithuania can anticipate and address early through targeted safeguards, professional training, and culturally sensitive ethical frameworks.</w:t>
      </w:r>
    </w:p>
    <w:p w14:paraId="202B6A36" w14:textId="088C6123" w:rsidR="00CE5861" w:rsidRPr="001256EA" w:rsidRDefault="00CE5861" w:rsidP="00C618D1">
      <w:pPr>
        <w:pStyle w:val="ListParagraph"/>
        <w:numPr>
          <w:ilvl w:val="0"/>
          <w:numId w:val="40"/>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Embedding ethical and moral principles in regulation</w:t>
      </w:r>
    </w:p>
    <w:p w14:paraId="3C964AC5" w14:textId="4FCFE7AF"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The results of this study indicate broad consensus among Lithuanian stakeholders that ethical and moral principles must be embedded within euthanasia legislation to ensure legitimacy, public trust, and the protection of patient dignity. This finding is consistent with empirical research in other jurisdictions where euthanasia regulation has evolved alongside ethical debates on human rights and societal values. For instance,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 et al.</w:t>
      </w:r>
      <w:r w:rsidRPr="001256EA">
        <w:rPr>
          <w:rFonts w:ascii="Times New Roman" w:hAnsi="Times New Roman" w:cs="Times New Roman"/>
          <w:sz w:val="24"/>
          <w:szCs w:val="24"/>
          <w:vertAlign w:val="superscript"/>
        </w:rPr>
        <w:footnoteReference w:id="357"/>
      </w:r>
      <w:r w:rsidRPr="001256EA">
        <w:rPr>
          <w:rFonts w:ascii="Times New Roman" w:hAnsi="Times New Roman" w:cs="Times New Roman"/>
          <w:sz w:val="24"/>
          <w:szCs w:val="24"/>
        </w:rPr>
        <w:t xml:space="preserve"> showed that the Netherlands’ legal framework, developed through decades of social dialogue and physician oversight, facilitated transparent practice while embedding ethical safeguards such as reporting requirements and due care criteria. These mechanisms explicitly aimed to balance patient autonomy with societal values, </w:t>
      </w:r>
      <w:r w:rsidR="00C61CDF" w:rsidRPr="001256EA">
        <w:rPr>
          <w:rFonts w:ascii="Times New Roman" w:hAnsi="Times New Roman" w:cs="Times New Roman"/>
          <w:sz w:val="24"/>
          <w:szCs w:val="24"/>
        </w:rPr>
        <w:t>like</w:t>
      </w:r>
      <w:r w:rsidRPr="001256EA">
        <w:rPr>
          <w:rFonts w:ascii="Times New Roman" w:hAnsi="Times New Roman" w:cs="Times New Roman"/>
          <w:sz w:val="24"/>
          <w:szCs w:val="24"/>
        </w:rPr>
        <w:t xml:space="preserve"> the Lithuanian emphasis on contextual legitimacy and human dignity.</w:t>
      </w:r>
    </w:p>
    <w:p w14:paraId="6CBF4766"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also highlighted the importance of societal acceptance and cultural alignment in legitimizing euthanasia legislation, particularly the Ministry of Justice’s focus on integrating Lithuanian cultural and ethical values. Comparable dynamics have been observed in Belgium, where the expansion of euthanasia to minors</w:t>
      </w:r>
      <w:r w:rsidRPr="001256EA">
        <w:rPr>
          <w:rFonts w:ascii="Times New Roman" w:hAnsi="Times New Roman" w:cs="Times New Roman"/>
          <w:sz w:val="24"/>
          <w:szCs w:val="24"/>
          <w:vertAlign w:val="superscript"/>
        </w:rPr>
        <w:footnoteReference w:id="358"/>
      </w:r>
      <w:r w:rsidRPr="001256EA">
        <w:rPr>
          <w:rFonts w:ascii="Times New Roman" w:hAnsi="Times New Roman" w:cs="Times New Roman"/>
          <w:sz w:val="24"/>
          <w:szCs w:val="24"/>
        </w:rPr>
        <w:t xml:space="preserve"> and to patients with dementia</w:t>
      </w:r>
      <w:r w:rsidRPr="001256EA">
        <w:rPr>
          <w:rFonts w:ascii="Times New Roman" w:hAnsi="Times New Roman" w:cs="Times New Roman"/>
          <w:sz w:val="24"/>
          <w:szCs w:val="24"/>
          <w:vertAlign w:val="superscript"/>
        </w:rPr>
        <w:footnoteReference w:id="359"/>
      </w:r>
      <w:r w:rsidRPr="001256EA">
        <w:rPr>
          <w:rFonts w:ascii="Times New Roman" w:hAnsi="Times New Roman" w:cs="Times New Roman"/>
          <w:sz w:val="24"/>
          <w:szCs w:val="24"/>
        </w:rPr>
        <w:t xml:space="preserve"> was preceded by intense societal debate centered on moral acceptability. Likewise, Spanish legislation explicitly integrated cultural and ethical considerations, yet subsequent studies revealed tensions between ethical ideals and practical implementation, such as the risk of making vulnerable populations feel burdensome</w:t>
      </w:r>
      <w:r w:rsidRPr="001256EA">
        <w:rPr>
          <w:rFonts w:ascii="Times New Roman" w:hAnsi="Times New Roman" w:cs="Times New Roman"/>
          <w:sz w:val="24"/>
          <w:szCs w:val="24"/>
          <w:vertAlign w:val="superscript"/>
        </w:rPr>
        <w:footnoteReference w:id="360"/>
      </w:r>
      <w:r w:rsidRPr="001256EA">
        <w:rPr>
          <w:rFonts w:ascii="Times New Roman" w:hAnsi="Times New Roman" w:cs="Times New Roman"/>
          <w:sz w:val="24"/>
          <w:szCs w:val="24"/>
        </w:rPr>
        <w:t>. These findings suggest that embedding ethics within law, while essential, requires sustained public engagement to maintain trust and avoid unintended consequences.</w:t>
      </w:r>
    </w:p>
    <w:p w14:paraId="0122FA1C"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Lithuanian focus on human rights and professional ethics, notably by LNHRI and ICHHR, aligns with international perspectives emphasizing the protection of vulnerable </w:t>
      </w:r>
      <w:r w:rsidRPr="001256EA">
        <w:rPr>
          <w:rFonts w:ascii="Times New Roman" w:hAnsi="Times New Roman" w:cs="Times New Roman"/>
          <w:sz w:val="24"/>
          <w:szCs w:val="24"/>
        </w:rPr>
        <w:lastRenderedPageBreak/>
        <w:t>populations. In Indonesia, for example, Kadir et al.</w:t>
      </w:r>
      <w:r w:rsidRPr="001256EA">
        <w:rPr>
          <w:rFonts w:ascii="Times New Roman" w:hAnsi="Times New Roman" w:cs="Times New Roman"/>
          <w:sz w:val="24"/>
          <w:szCs w:val="24"/>
          <w:vertAlign w:val="superscript"/>
        </w:rPr>
        <w:footnoteReference w:id="361"/>
      </w:r>
      <w:r w:rsidRPr="001256EA">
        <w:rPr>
          <w:rFonts w:ascii="Times New Roman" w:hAnsi="Times New Roman" w:cs="Times New Roman"/>
          <w:sz w:val="24"/>
          <w:szCs w:val="24"/>
        </w:rPr>
        <w:t xml:space="preserve"> and Kamri</w:t>
      </w:r>
      <w:r w:rsidRPr="001256EA">
        <w:rPr>
          <w:rFonts w:ascii="Times New Roman" w:hAnsi="Times New Roman" w:cs="Times New Roman"/>
          <w:sz w:val="24"/>
          <w:szCs w:val="24"/>
          <w:vertAlign w:val="superscript"/>
        </w:rPr>
        <w:footnoteReference w:id="362"/>
      </w:r>
      <w:r w:rsidRPr="001256EA">
        <w:rPr>
          <w:rFonts w:ascii="Times New Roman" w:hAnsi="Times New Roman" w:cs="Times New Roman"/>
          <w:sz w:val="24"/>
          <w:szCs w:val="24"/>
        </w:rPr>
        <w:t xml:space="preserve"> argued that euthanasia is incompatible with the absolute right to life, reflecting a rights-based stance opposing legalization. In contrast, Belgium and the Netherlands embedded human rights considerations within legalized frameworks but faced professional tensions and moral burdens among healthcare providers</w:t>
      </w:r>
      <w:r w:rsidRPr="001256EA">
        <w:rPr>
          <w:rFonts w:ascii="Times New Roman" w:hAnsi="Times New Roman" w:cs="Times New Roman"/>
          <w:sz w:val="24"/>
          <w:szCs w:val="24"/>
          <w:vertAlign w:val="superscript"/>
        </w:rPr>
        <w:footnoteReference w:id="363"/>
      </w:r>
      <w:r w:rsidRPr="001256EA">
        <w:rPr>
          <w:rFonts w:ascii="Times New Roman" w:hAnsi="Times New Roman" w:cs="Times New Roman"/>
          <w:sz w:val="24"/>
          <w:szCs w:val="24"/>
        </w:rPr>
        <w:t>. These findings mirror the Lithuanian Ministry of Health’s emphasis on healthcare ethics and professional standards as essential components of ethical compliance.</w:t>
      </w:r>
    </w:p>
    <w:p w14:paraId="35E1C6EF"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 additional Lithuanian divergence concerned universal ethical baselines versus cultural variation, as raised by FRA, which reflects an effort to reconcile transnational ethical principles with local diversity. Similar debates exist in comparative legal studies</w:t>
      </w:r>
      <w:r w:rsidRPr="001256EA">
        <w:rPr>
          <w:rFonts w:ascii="Times New Roman" w:hAnsi="Times New Roman" w:cs="Times New Roman"/>
          <w:sz w:val="24"/>
          <w:szCs w:val="24"/>
          <w:vertAlign w:val="superscript"/>
        </w:rPr>
        <w:footnoteReference w:id="364"/>
      </w:r>
      <w:r w:rsidRPr="001256EA">
        <w:rPr>
          <w:rFonts w:ascii="Times New Roman" w:hAnsi="Times New Roman" w:cs="Times New Roman"/>
          <w:sz w:val="24"/>
          <w:szCs w:val="24"/>
        </w:rPr>
        <w:t>, which showed how countries adapt global ethical norms differently, producing distinct national models. This indicates that Lithuania’s approach, seeking to align with universal values while preserving national ethical autonomy, follows broader international trends of balancing harmonization with contextual sensitivity.</w:t>
      </w:r>
    </w:p>
    <w:p w14:paraId="31999299"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Finally, the Lithuanian findings on trust, transparency, and moral integrity align with international observations of persistent challenges in maintaining compliance and oversight. Belgian research identified variation in physicians’ understanding and application of ethical criteria</w:t>
      </w:r>
      <w:r w:rsidRPr="001256EA">
        <w:rPr>
          <w:rFonts w:ascii="Times New Roman" w:hAnsi="Times New Roman" w:cs="Times New Roman"/>
          <w:sz w:val="24"/>
          <w:szCs w:val="24"/>
          <w:vertAlign w:val="superscript"/>
        </w:rPr>
        <w:footnoteReference w:id="365"/>
      </w:r>
      <w:r w:rsidRPr="001256EA">
        <w:rPr>
          <w:rFonts w:ascii="Times New Roman" w:hAnsi="Times New Roman" w:cs="Times New Roman"/>
          <w:sz w:val="24"/>
          <w:szCs w:val="24"/>
        </w:rPr>
        <w:t xml:space="preserve">, while Dutch studies reported growing complexity and moral distress as euthanasia </w:t>
      </w:r>
      <w:r w:rsidRPr="001256EA">
        <w:rPr>
          <w:rFonts w:ascii="Times New Roman" w:hAnsi="Times New Roman" w:cs="Times New Roman"/>
          <w:sz w:val="24"/>
          <w:szCs w:val="24"/>
        </w:rPr>
        <w:lastRenderedPageBreak/>
        <w:t>boundaries expanded</w:t>
      </w:r>
      <w:r w:rsidRPr="001256EA">
        <w:rPr>
          <w:rFonts w:ascii="Times New Roman" w:hAnsi="Times New Roman" w:cs="Times New Roman"/>
          <w:sz w:val="24"/>
          <w:szCs w:val="24"/>
          <w:vertAlign w:val="superscript"/>
        </w:rPr>
        <w:footnoteReference w:id="366"/>
      </w:r>
      <w:r w:rsidRPr="001256EA">
        <w:rPr>
          <w:rFonts w:ascii="Times New Roman" w:hAnsi="Times New Roman" w:cs="Times New Roman"/>
          <w:sz w:val="24"/>
          <w:szCs w:val="24"/>
        </w:rPr>
        <w:t>. These insights suggest that while embedding ethics and moral principles within legislation is widely endorsed, practical implementation requires continuous ethical training, public dialogue, and review of emerging issues, echoing calls from both Lithuanian stakeholders and international scholars.</w:t>
      </w:r>
    </w:p>
    <w:p w14:paraId="767FEFD7" w14:textId="47B4FCB0" w:rsidR="00CE5861" w:rsidRPr="001256EA" w:rsidRDefault="00CE5861" w:rsidP="00001C8C">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Lithuania’s emphasis on ethical and moral compliance resonates with findings from countries with mature euthanasia frameworks, particularly in its focus on cultural legitimacy, patient dignity, human rights, and professional ethics. At the same time, international experience highlights that even when ethical principles are codified into law, sustaining public trust and professional integrity depends on continuous oversight, societal engagement, and adaptation to evolving moral and clinical challenges.</w:t>
      </w:r>
      <w:r w:rsidR="00001C8C" w:rsidRPr="001256EA">
        <w:rPr>
          <w:rFonts w:ascii="Times New Roman" w:hAnsi="Times New Roman" w:cs="Times New Roman"/>
          <w:sz w:val="24"/>
          <w:szCs w:val="24"/>
        </w:rPr>
        <w:t xml:space="preserve"> </w:t>
      </w:r>
      <w:r w:rsidRPr="001256EA">
        <w:rPr>
          <w:rFonts w:ascii="Times New Roman" w:hAnsi="Times New Roman" w:cs="Times New Roman"/>
          <w:sz w:val="24"/>
          <w:szCs w:val="24"/>
        </w:rPr>
        <w:t xml:space="preserve">The Lithuanian findings reveal strong convergence on the need for a robust legal framework, independent oversight, and transparency to ensure safe and accountable euthanasia practices. This aligns with experiences in countries such as the Netherlands and Belgium, where legal regulation has been designed to ensure strict procedural compliance and ethical oversight.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 et al.</w:t>
      </w:r>
      <w:r w:rsidRPr="001256EA">
        <w:rPr>
          <w:rFonts w:ascii="Times New Roman" w:hAnsi="Times New Roman" w:cs="Times New Roman"/>
          <w:sz w:val="24"/>
          <w:szCs w:val="24"/>
          <w:vertAlign w:val="superscript"/>
        </w:rPr>
        <w:footnoteReference w:id="367"/>
      </w:r>
      <w:r w:rsidRPr="001256EA">
        <w:rPr>
          <w:rFonts w:ascii="Times New Roman" w:hAnsi="Times New Roman" w:cs="Times New Roman"/>
          <w:sz w:val="24"/>
          <w:szCs w:val="24"/>
        </w:rPr>
        <w:t xml:space="preserve"> showed that the Dutch euthanasia law, combined with mandatory reporting and review systems, contributed to relatively transparent practices, with 77% of cases formally reported and non-requested life-ending acts declining over time. Similarly, Smets et al.</w:t>
      </w:r>
      <w:r w:rsidRPr="001256EA">
        <w:rPr>
          <w:rFonts w:ascii="Times New Roman" w:hAnsi="Times New Roman" w:cs="Times New Roman"/>
          <w:sz w:val="24"/>
          <w:szCs w:val="24"/>
          <w:vertAlign w:val="superscript"/>
        </w:rPr>
        <w:footnoteReference w:id="368"/>
      </w:r>
      <w:r w:rsidRPr="001256EA">
        <w:rPr>
          <w:rFonts w:ascii="Times New Roman" w:hAnsi="Times New Roman" w:cs="Times New Roman"/>
          <w:sz w:val="24"/>
          <w:szCs w:val="24"/>
        </w:rPr>
        <w:t xml:space="preserve"> highlighted Belgium’s emphasis on compliance with due care criteria, second opinions, and reporting mechanisms, paralleling Lithuanian stakeholders’ calls for audits, review bodies, and transparent accountability systems.</w:t>
      </w:r>
    </w:p>
    <w:p w14:paraId="2521017E"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Lithuanian focus on independent oversight mechanisms and continuous monitoring, particularly emphasized by MOJ, LNHRI, and ICHHR, resonates with the governance debates in the Netherlands. </w:t>
      </w:r>
      <w:proofErr w:type="spellStart"/>
      <w:r w:rsidRPr="001256EA">
        <w:rPr>
          <w:rFonts w:ascii="Times New Roman" w:hAnsi="Times New Roman" w:cs="Times New Roman"/>
          <w:sz w:val="24"/>
          <w:szCs w:val="24"/>
        </w:rPr>
        <w:t>Buijsen</w:t>
      </w:r>
      <w:proofErr w:type="spellEnd"/>
      <w:r w:rsidRPr="001256EA">
        <w:rPr>
          <w:rFonts w:ascii="Times New Roman" w:hAnsi="Times New Roman" w:cs="Times New Roman"/>
          <w:sz w:val="24"/>
          <w:szCs w:val="24"/>
          <w:vertAlign w:val="superscript"/>
        </w:rPr>
        <w:footnoteReference w:id="369"/>
      </w:r>
      <w:r w:rsidRPr="001256EA">
        <w:rPr>
          <w:rFonts w:ascii="Times New Roman" w:hAnsi="Times New Roman" w:cs="Times New Roman"/>
          <w:sz w:val="24"/>
          <w:szCs w:val="24"/>
        </w:rPr>
        <w:t xml:space="preserve"> argued that Dutch regional review committees lacked legitimacy to deal with emerging complex cases, calling for stronger and </w:t>
      </w:r>
      <w:r w:rsidRPr="001256EA">
        <w:rPr>
          <w:rFonts w:ascii="Times New Roman" w:hAnsi="Times New Roman" w:cs="Times New Roman"/>
          <w:sz w:val="24"/>
          <w:szCs w:val="24"/>
        </w:rPr>
        <w:lastRenderedPageBreak/>
        <w:t>possibly centralized oversight. This parallels Lithuanian recommendations for institutionalized, independent review structures to ensure fairness, compliance, and public trust. Likewise, Spanish experience highlights the risks of insufficient procedural clarity, with studies noting significant implementation challenges and legal loopholes in the Voluntary Euthanasia Law</w:t>
      </w:r>
      <w:r w:rsidRPr="001256EA">
        <w:rPr>
          <w:rFonts w:ascii="Times New Roman" w:hAnsi="Times New Roman" w:cs="Times New Roman"/>
          <w:sz w:val="24"/>
          <w:szCs w:val="24"/>
          <w:vertAlign w:val="superscript"/>
        </w:rPr>
        <w:footnoteReference w:id="370"/>
      </w:r>
      <w:r w:rsidRPr="001256EA">
        <w:rPr>
          <w:rFonts w:ascii="Times New Roman" w:hAnsi="Times New Roman" w:cs="Times New Roman"/>
          <w:sz w:val="24"/>
          <w:szCs w:val="24"/>
        </w:rPr>
        <w:t>, reinforcing the importance of the Lithuanian focus on regulatory detail and clarity.</w:t>
      </w:r>
    </w:p>
    <w:p w14:paraId="7E43184F"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Stakeholder differences in Lithuania, such as MOH’s emphasis on professional training and capacity building and FRA’s focus on adopting international best practices, are also reflected internationally. Belgium has integrated physician training and multidisciplinary consultation into its oversight system</w:t>
      </w:r>
      <w:r w:rsidRPr="001256EA">
        <w:rPr>
          <w:rFonts w:ascii="Times New Roman" w:hAnsi="Times New Roman" w:cs="Times New Roman"/>
          <w:sz w:val="24"/>
          <w:szCs w:val="24"/>
          <w:vertAlign w:val="superscript"/>
        </w:rPr>
        <w:footnoteReference w:id="371"/>
      </w:r>
      <w:r w:rsidRPr="001256EA">
        <w:rPr>
          <w:rFonts w:ascii="Times New Roman" w:hAnsi="Times New Roman" w:cs="Times New Roman"/>
          <w:sz w:val="24"/>
          <w:szCs w:val="24"/>
        </w:rPr>
        <w:t>, and Spain has emphasized the role of institutional protocols and professional preparedness</w:t>
      </w:r>
      <w:r w:rsidRPr="001256EA">
        <w:rPr>
          <w:rFonts w:ascii="Times New Roman" w:hAnsi="Times New Roman" w:cs="Times New Roman"/>
          <w:sz w:val="24"/>
          <w:szCs w:val="24"/>
          <w:vertAlign w:val="superscript"/>
        </w:rPr>
        <w:footnoteReference w:id="372"/>
      </w:r>
      <w:r w:rsidRPr="001256EA">
        <w:rPr>
          <w:rFonts w:ascii="Times New Roman" w:hAnsi="Times New Roman" w:cs="Times New Roman"/>
          <w:sz w:val="24"/>
          <w:szCs w:val="24"/>
        </w:rPr>
        <w:t>. Similarly, ICHHR’s call for public education aligns with findings that public awareness and dialogue influence trust and compliance</w:t>
      </w:r>
      <w:r w:rsidRPr="001256EA">
        <w:rPr>
          <w:rFonts w:ascii="Times New Roman" w:hAnsi="Times New Roman" w:cs="Times New Roman"/>
          <w:sz w:val="24"/>
          <w:szCs w:val="24"/>
          <w:vertAlign w:val="superscript"/>
        </w:rPr>
        <w:footnoteReference w:id="373"/>
      </w:r>
      <w:r w:rsidRPr="001256EA">
        <w:rPr>
          <w:rFonts w:ascii="Times New Roman" w:hAnsi="Times New Roman" w:cs="Times New Roman"/>
          <w:sz w:val="24"/>
          <w:szCs w:val="24"/>
        </w:rPr>
        <w:t>. These comparisons indicate that Lithuania’s stakeholder priorities reflect international lessons, emphasizing that legal regulation alone is insufficient without operational infrastructure, professional readiness, and societal engagement.</w:t>
      </w:r>
    </w:p>
    <w:p w14:paraId="6F089139"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orientation toward international alignment and adaptive legislation (highlighted by LHRI) also mirrors trends in European legal harmonization. Bernal and Trejo-Gabriel-Galan</w:t>
      </w:r>
      <w:r w:rsidRPr="001256EA">
        <w:rPr>
          <w:rFonts w:ascii="Times New Roman" w:hAnsi="Times New Roman" w:cs="Times New Roman"/>
          <w:sz w:val="24"/>
          <w:szCs w:val="24"/>
          <w:vertAlign w:val="superscript"/>
        </w:rPr>
        <w:footnoteReference w:id="374"/>
      </w:r>
      <w:r w:rsidRPr="001256EA">
        <w:rPr>
          <w:rFonts w:ascii="Times New Roman" w:hAnsi="Times New Roman" w:cs="Times New Roman"/>
          <w:sz w:val="24"/>
          <w:szCs w:val="24"/>
        </w:rPr>
        <w:t xml:space="preserve"> found that Spanish euthanasia law was modeled after Dutch and Belgian frameworks, yet contextual differences produced unique implementation challenges. This suggests that Lithuania’s approach, which seeks both harmonization and adaptation to its cultural and healthcare context, follows a broader international pattern of balancing global norms with local realities.</w:t>
      </w:r>
    </w:p>
    <w:p w14:paraId="36B821BB"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 xml:space="preserve">In summary, Lithuania’s findings correspond closely with international evidence, particularly in their emphasis on robust legal frameworks, independent oversight, transparency, and continuous regulatory adaptation. International experiences also caution that even mature systems face procedural and professional challenges, underscoring the importance of Lithuania’s focus on capacity building, public education, and ongoing review to maintain trust and compliance in euthanasia regulation. </w:t>
      </w:r>
    </w:p>
    <w:p w14:paraId="50F2DDAC" w14:textId="48F2F722" w:rsidR="00CE5861" w:rsidRPr="001256EA" w:rsidRDefault="00CE5861" w:rsidP="00C618D1">
      <w:pPr>
        <w:pStyle w:val="ListParagraph"/>
        <w:numPr>
          <w:ilvl w:val="0"/>
          <w:numId w:val="41"/>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 xml:space="preserve"> Preventing </w:t>
      </w:r>
      <w:r w:rsidR="00C61CDF" w:rsidRPr="001256EA">
        <w:rPr>
          <w:rFonts w:ascii="Times New Roman" w:hAnsi="Times New Roman" w:cs="Times New Roman"/>
          <w:sz w:val="24"/>
          <w:szCs w:val="24"/>
        </w:rPr>
        <w:t>abuse</w:t>
      </w:r>
      <w:r w:rsidRPr="001256EA">
        <w:rPr>
          <w:rFonts w:ascii="Times New Roman" w:hAnsi="Times New Roman" w:cs="Times New Roman"/>
          <w:sz w:val="24"/>
          <w:szCs w:val="24"/>
        </w:rPr>
        <w:t xml:space="preserve"> through ethical and procedural safeguards</w:t>
      </w:r>
    </w:p>
    <w:p w14:paraId="102EE80E"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findings highlight two complementary approaches to preventing abuses: ethical safeguards embedded in professional practice and oversight and monitoring systems. This dual orientation aligns with international experience, where abuse prevention measures rely on both ethical culture and formal control mechanisms.</w:t>
      </w:r>
    </w:p>
    <w:p w14:paraId="72890905"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The strong convergence on independent oversight and monitoring observed in Lithuania is consistent with the Dutch and Belgian models, where review committees and procedural reporting are legally mandated.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 et al.</w:t>
      </w:r>
      <w:r w:rsidRPr="001256EA">
        <w:rPr>
          <w:rFonts w:ascii="Times New Roman" w:hAnsi="Times New Roman" w:cs="Times New Roman"/>
          <w:sz w:val="24"/>
          <w:szCs w:val="24"/>
          <w:vertAlign w:val="superscript"/>
        </w:rPr>
        <w:footnoteReference w:id="375"/>
      </w:r>
      <w:r w:rsidRPr="001256EA">
        <w:rPr>
          <w:rFonts w:ascii="Times New Roman" w:hAnsi="Times New Roman" w:cs="Times New Roman"/>
          <w:sz w:val="24"/>
          <w:szCs w:val="24"/>
        </w:rPr>
        <w:t xml:space="preserve"> documented that, after the formalization of reporting and review in the Netherlands, life-ending acts without explicit patient request declined and euthanasia practices became more transparent. Similarly, Belgium’s federal control and evaluation committee enforces compliance through retrospective review of cases, yet studies such as Smets et al.</w:t>
      </w:r>
      <w:r w:rsidRPr="001256EA">
        <w:rPr>
          <w:rFonts w:ascii="Times New Roman" w:hAnsi="Times New Roman" w:cs="Times New Roman"/>
          <w:sz w:val="24"/>
          <w:szCs w:val="24"/>
          <w:vertAlign w:val="superscript"/>
        </w:rPr>
        <w:footnoteReference w:id="376"/>
      </w:r>
      <w:r w:rsidRPr="001256EA">
        <w:rPr>
          <w:rFonts w:ascii="Times New Roman" w:hAnsi="Times New Roman" w:cs="Times New Roman"/>
          <w:sz w:val="24"/>
          <w:szCs w:val="24"/>
        </w:rPr>
        <w:t xml:space="preserve"> show variability in reporting accuracy, indicating that while oversight reduces misuse, it requires continuous professional engagement and clear procedural guidelines.</w:t>
      </w:r>
    </w:p>
    <w:p w14:paraId="0E2BFDE7"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also emphasized transparent complaint and reporting mechanisms and continuous ethical and legal review. These priorities parallel findings from Spain, where procedural loopholes and ambiguities under the Voluntary Euthanasia Law raised concerns about vulnerable groups and inconsistent safeguards</w:t>
      </w:r>
      <w:r w:rsidRPr="001256EA">
        <w:rPr>
          <w:rFonts w:ascii="Times New Roman" w:hAnsi="Times New Roman" w:cs="Times New Roman"/>
          <w:sz w:val="24"/>
          <w:szCs w:val="24"/>
          <w:vertAlign w:val="superscript"/>
        </w:rPr>
        <w:footnoteReference w:id="377"/>
      </w:r>
      <w:r w:rsidRPr="001256EA">
        <w:rPr>
          <w:rFonts w:ascii="Times New Roman" w:hAnsi="Times New Roman" w:cs="Times New Roman"/>
          <w:sz w:val="24"/>
          <w:szCs w:val="24"/>
        </w:rPr>
        <w:t xml:space="preserve">. Similar debates in South Australia revealed that inadequate provisions for detecting undue influence in voluntary </w:t>
      </w:r>
      <w:r w:rsidRPr="001256EA">
        <w:rPr>
          <w:rFonts w:ascii="Times New Roman" w:hAnsi="Times New Roman" w:cs="Times New Roman"/>
          <w:sz w:val="24"/>
          <w:szCs w:val="24"/>
        </w:rPr>
        <w:lastRenderedPageBreak/>
        <w:t>decisions undermined safeguards</w:t>
      </w:r>
      <w:r w:rsidRPr="001256EA">
        <w:rPr>
          <w:rFonts w:ascii="Times New Roman" w:hAnsi="Times New Roman" w:cs="Times New Roman"/>
          <w:sz w:val="24"/>
          <w:szCs w:val="24"/>
          <w:vertAlign w:val="superscript"/>
        </w:rPr>
        <w:footnoteReference w:id="378"/>
      </w:r>
      <w:r w:rsidRPr="001256EA">
        <w:rPr>
          <w:rFonts w:ascii="Times New Roman" w:hAnsi="Times New Roman" w:cs="Times New Roman"/>
          <w:sz w:val="24"/>
          <w:szCs w:val="24"/>
        </w:rPr>
        <w:t>, illustrating why Lithuanian actors prioritize clear eligibility criteria, complaint processes, and regulatory updates.</w:t>
      </w:r>
    </w:p>
    <w:p w14:paraId="48B84EC6"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emphasis on ethical culture and professional training, particularly from MOH and FRA, mirrors international findings that professional preparedness is essential to safeguard ethical practice. Belgian research shows that physicians trained in euthanasia law are more supportive of compliance and due care procedures</w:t>
      </w:r>
      <w:r w:rsidRPr="001256EA">
        <w:rPr>
          <w:rFonts w:ascii="Times New Roman" w:hAnsi="Times New Roman" w:cs="Times New Roman"/>
          <w:sz w:val="24"/>
          <w:szCs w:val="24"/>
          <w:vertAlign w:val="superscript"/>
        </w:rPr>
        <w:footnoteReference w:id="379"/>
      </w:r>
      <w:r w:rsidRPr="001256EA">
        <w:rPr>
          <w:rFonts w:ascii="Times New Roman" w:hAnsi="Times New Roman" w:cs="Times New Roman"/>
          <w:sz w:val="24"/>
          <w:szCs w:val="24"/>
        </w:rPr>
        <w:t>, while Finnish and New Zealand nursing studies emphasize the need for education to clarify professional roles and reduce moral distress</w:t>
      </w:r>
      <w:r w:rsidRPr="001256EA">
        <w:rPr>
          <w:rFonts w:ascii="Times New Roman" w:hAnsi="Times New Roman" w:cs="Times New Roman"/>
          <w:sz w:val="24"/>
          <w:szCs w:val="24"/>
          <w:vertAlign w:val="superscript"/>
        </w:rPr>
        <w:footnoteReference w:id="380"/>
      </w:r>
      <w:r w:rsidRPr="001256EA">
        <w:rPr>
          <w:rFonts w:ascii="Times New Roman" w:hAnsi="Times New Roman" w:cs="Times New Roman"/>
          <w:sz w:val="24"/>
          <w:szCs w:val="24"/>
        </w:rPr>
        <w:t>. Similarly, the public awareness focus highlighted by Lithuanian human rights actors aligns with calls in Belgium and the Netherlands to engage society in open dialogue, given that public trust directly influences compliance and transparency</w:t>
      </w:r>
      <w:r w:rsidRPr="001256EA">
        <w:rPr>
          <w:rFonts w:ascii="Times New Roman" w:hAnsi="Times New Roman" w:cs="Times New Roman"/>
          <w:sz w:val="24"/>
          <w:szCs w:val="24"/>
          <w:vertAlign w:val="superscript"/>
        </w:rPr>
        <w:footnoteReference w:id="381"/>
      </w:r>
      <w:r w:rsidRPr="001256EA">
        <w:rPr>
          <w:rFonts w:ascii="Times New Roman" w:hAnsi="Times New Roman" w:cs="Times New Roman"/>
          <w:sz w:val="24"/>
          <w:szCs w:val="24"/>
        </w:rPr>
        <w:t>.</w:t>
      </w:r>
    </w:p>
    <w:p w14:paraId="61B2E32F"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Institution-specific emphases in Lithuania, such as strict penalties (LHRI), rigorous eligibility and documentation requirements (MOJ and MOH), and adoption of international best practices (FRA), reflect broader international concerns over risk mitigation and ethical consistency. Empirical evidence from Belgium shows that errors in labeling or reporting end-of-life decisions are not uncommon</w:t>
      </w:r>
      <w:r w:rsidRPr="001256EA">
        <w:rPr>
          <w:rFonts w:ascii="Times New Roman" w:hAnsi="Times New Roman" w:cs="Times New Roman"/>
          <w:sz w:val="24"/>
          <w:szCs w:val="24"/>
          <w:vertAlign w:val="superscript"/>
        </w:rPr>
        <w:footnoteReference w:id="382"/>
      </w:r>
      <w:r w:rsidRPr="001256EA">
        <w:rPr>
          <w:rFonts w:ascii="Times New Roman" w:hAnsi="Times New Roman" w:cs="Times New Roman"/>
          <w:sz w:val="24"/>
          <w:szCs w:val="24"/>
        </w:rPr>
        <w:t xml:space="preserve"> and that even well-established systems can face implementation challenges when oversight is weak or professional understanding is inconsistent</w:t>
      </w:r>
      <w:r w:rsidRPr="001256EA">
        <w:rPr>
          <w:rFonts w:ascii="Times New Roman" w:hAnsi="Times New Roman" w:cs="Times New Roman"/>
          <w:sz w:val="24"/>
          <w:szCs w:val="24"/>
          <w:vertAlign w:val="superscript"/>
        </w:rPr>
        <w:footnoteReference w:id="383"/>
      </w:r>
      <w:r w:rsidRPr="001256EA">
        <w:rPr>
          <w:rFonts w:ascii="Times New Roman" w:hAnsi="Times New Roman" w:cs="Times New Roman"/>
          <w:sz w:val="24"/>
          <w:szCs w:val="24"/>
        </w:rPr>
        <w:t>. Furthermore, debates on extending euthanasia to minors or dementia patients in Belgium and the Netherlands highlight the importance of continuous ethical and legal review, a priority already visible in Lithuanian regulatory thinking</w:t>
      </w:r>
      <w:r w:rsidRPr="001256EA">
        <w:rPr>
          <w:rFonts w:ascii="Times New Roman" w:hAnsi="Times New Roman" w:cs="Times New Roman"/>
          <w:sz w:val="24"/>
          <w:szCs w:val="24"/>
          <w:vertAlign w:val="superscript"/>
        </w:rPr>
        <w:footnoteReference w:id="384"/>
      </w:r>
      <w:r w:rsidRPr="001256EA">
        <w:rPr>
          <w:rFonts w:ascii="Times New Roman" w:hAnsi="Times New Roman" w:cs="Times New Roman"/>
          <w:sz w:val="24"/>
          <w:szCs w:val="24"/>
        </w:rPr>
        <w:t>.</w:t>
      </w:r>
    </w:p>
    <w:p w14:paraId="26C27970"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In summary, Lithuanian approaches to preventing abuses within the euthanasia institute align closely with international lessons: strong oversight, transparent reporting, continuous regulatory adaptation, professional training, and public engagement are key pillars of abuse prevention. International experiences also caution that even robust safeguards can fail if professional understanding, societal dialogue, and legal clarity are not continuously maintained, reinforcing the value of Lithuania’s integrated approach combining procedural controls with ethical culture building.</w:t>
      </w:r>
    </w:p>
    <w:p w14:paraId="0DB97EBB" w14:textId="77777777" w:rsidR="00CE5861" w:rsidRPr="001256EA" w:rsidRDefault="00CE5861" w:rsidP="00207633">
      <w:pPr>
        <w:pStyle w:val="ListParagraph"/>
        <w:numPr>
          <w:ilvl w:val="0"/>
          <w:numId w:val="41"/>
        </w:numPr>
        <w:rPr>
          <w:rFonts w:ascii="Times New Roman" w:hAnsi="Times New Roman" w:cs="Times New Roman"/>
          <w:sz w:val="24"/>
          <w:szCs w:val="24"/>
        </w:rPr>
      </w:pPr>
      <w:r w:rsidRPr="001256EA">
        <w:rPr>
          <w:rFonts w:ascii="Times New Roman" w:hAnsi="Times New Roman" w:cs="Times New Roman"/>
          <w:sz w:val="24"/>
          <w:szCs w:val="24"/>
        </w:rPr>
        <w:t xml:space="preserve"> Informed consent and protection of patient rights</w:t>
      </w:r>
    </w:p>
    <w:p w14:paraId="203F7286"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Lithuanian stakeholders strongly converged on the principle that informed consent is a fundamental ethical and legal requirement in euthanasia practice. This perspective aligns with findings from countries where euthanasia is regulated, such as the Netherlands, Belgium, and Spain, where informed consent and patient autonomy are codified as essential safeguards. For instance, </w:t>
      </w:r>
      <w:proofErr w:type="spellStart"/>
      <w:r w:rsidRPr="001256EA">
        <w:rPr>
          <w:rFonts w:ascii="Times New Roman" w:hAnsi="Times New Roman" w:cs="Times New Roman"/>
          <w:sz w:val="24"/>
          <w:szCs w:val="24"/>
        </w:rPr>
        <w:t>Onwuteaka</w:t>
      </w:r>
      <w:proofErr w:type="spellEnd"/>
      <w:r w:rsidRPr="001256EA">
        <w:rPr>
          <w:rFonts w:ascii="Times New Roman" w:hAnsi="Times New Roman" w:cs="Times New Roman"/>
          <w:sz w:val="24"/>
          <w:szCs w:val="24"/>
        </w:rPr>
        <w:t>-Philipsen et al.</w:t>
      </w:r>
      <w:r w:rsidRPr="001256EA">
        <w:rPr>
          <w:rFonts w:ascii="Times New Roman" w:hAnsi="Times New Roman" w:cs="Times New Roman"/>
          <w:sz w:val="24"/>
          <w:szCs w:val="24"/>
          <w:vertAlign w:val="superscript"/>
        </w:rPr>
        <w:footnoteReference w:id="385"/>
      </w:r>
      <w:r w:rsidRPr="001256EA">
        <w:rPr>
          <w:rFonts w:ascii="Times New Roman" w:hAnsi="Times New Roman" w:cs="Times New Roman"/>
          <w:sz w:val="24"/>
          <w:szCs w:val="24"/>
        </w:rPr>
        <w:t xml:space="preserve"> found that clear legal frameworks requiring explicit consent contributed to more transparent and accountable practices in the Netherlands, including a decrease in life-ending acts without explicit patient request. Similarly, Belgian empirical studies show that formal consent procedures, including second opinions and documentation, are central to compliance and professional acceptance of euthanasia</w:t>
      </w:r>
      <w:r w:rsidRPr="001256EA">
        <w:rPr>
          <w:rFonts w:ascii="Times New Roman" w:hAnsi="Times New Roman" w:cs="Times New Roman"/>
          <w:sz w:val="24"/>
          <w:szCs w:val="24"/>
          <w:vertAlign w:val="superscript"/>
        </w:rPr>
        <w:footnoteReference w:id="386"/>
      </w:r>
      <w:r w:rsidRPr="001256EA">
        <w:rPr>
          <w:rFonts w:ascii="Times New Roman" w:hAnsi="Times New Roman" w:cs="Times New Roman"/>
          <w:sz w:val="24"/>
          <w:szCs w:val="24"/>
        </w:rPr>
        <w:t>.</w:t>
      </w:r>
    </w:p>
    <w:p w14:paraId="3D194710"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focus on comprehensive patient information and procedural transparency mirrors debates in other jurisdictions regarding risk disclosure and patient understanding. LHRI’s emphasis on risk communication and LNHRI’s focus on non-coercion echo concerns from Spain’s Voluntary Euthanasia Law, where incomplete or ambiguous information pathways created uncertainty for patients and healthcare providers</w:t>
      </w:r>
      <w:r w:rsidRPr="001256EA">
        <w:rPr>
          <w:rFonts w:ascii="Times New Roman" w:hAnsi="Times New Roman" w:cs="Times New Roman"/>
          <w:sz w:val="24"/>
          <w:szCs w:val="24"/>
          <w:vertAlign w:val="superscript"/>
        </w:rPr>
        <w:footnoteReference w:id="387"/>
      </w:r>
      <w:r w:rsidRPr="001256EA">
        <w:rPr>
          <w:rFonts w:ascii="Times New Roman" w:hAnsi="Times New Roman" w:cs="Times New Roman"/>
          <w:sz w:val="24"/>
          <w:szCs w:val="24"/>
        </w:rPr>
        <w:t xml:space="preserve">. These studies </w:t>
      </w:r>
      <w:r w:rsidRPr="001256EA">
        <w:rPr>
          <w:rFonts w:ascii="Times New Roman" w:hAnsi="Times New Roman" w:cs="Times New Roman"/>
          <w:sz w:val="24"/>
          <w:szCs w:val="24"/>
        </w:rPr>
        <w:lastRenderedPageBreak/>
        <w:t>underline that information quality and clarity directly influence patient autonomy and the legitimacy of consent.</w:t>
      </w:r>
    </w:p>
    <w:p w14:paraId="0DC7F620"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Stakeholders in Lithuania also highlighted documentation and transparency, emphasizing written consent and procedural safeguards. This aligns with Dutch practice, where detailed reporting obligations and physician questionnaires are legally required to ensure traceability and accountability</w:t>
      </w:r>
      <w:r w:rsidRPr="001256EA">
        <w:rPr>
          <w:rFonts w:ascii="Times New Roman" w:hAnsi="Times New Roman" w:cs="Times New Roman"/>
          <w:sz w:val="24"/>
          <w:szCs w:val="24"/>
          <w:vertAlign w:val="superscript"/>
        </w:rPr>
        <w:footnoteReference w:id="388"/>
      </w:r>
      <w:r w:rsidRPr="001256EA">
        <w:rPr>
          <w:rFonts w:ascii="Times New Roman" w:hAnsi="Times New Roman" w:cs="Times New Roman"/>
          <w:sz w:val="24"/>
          <w:szCs w:val="24"/>
        </w:rPr>
        <w:t>. Moreover, legal experts and healthcare professionals in Belgium have noted that accurate consent documentation reduces the risk of misinterpretation and strengthens ethical oversight, particularly in sensitive cases involving minors or patients with cognitive decline</w:t>
      </w:r>
      <w:r w:rsidRPr="001256EA">
        <w:rPr>
          <w:rFonts w:ascii="Times New Roman" w:hAnsi="Times New Roman" w:cs="Times New Roman"/>
          <w:sz w:val="24"/>
          <w:szCs w:val="24"/>
          <w:vertAlign w:val="superscript"/>
        </w:rPr>
        <w:footnoteReference w:id="389"/>
      </w:r>
      <w:r w:rsidRPr="001256EA">
        <w:rPr>
          <w:rFonts w:ascii="Times New Roman" w:hAnsi="Times New Roman" w:cs="Times New Roman"/>
          <w:sz w:val="24"/>
          <w:szCs w:val="24"/>
        </w:rPr>
        <w:t>.</w:t>
      </w:r>
    </w:p>
    <w:p w14:paraId="4B39DDC6" w14:textId="77777777"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Another notable theme in Lithuania is the protection of patient rights and autonomy, emphasizing voluntary, non-coercive decision-making supported by legal safeguards. This corresponds with empirical observations in Belgium and the Netherlands, where tension exists between safeguarding autonomy and preventing undue influence</w:t>
      </w:r>
      <w:r w:rsidRPr="001256EA">
        <w:rPr>
          <w:rFonts w:ascii="Times New Roman" w:hAnsi="Times New Roman" w:cs="Times New Roman"/>
          <w:sz w:val="24"/>
          <w:szCs w:val="24"/>
          <w:vertAlign w:val="superscript"/>
        </w:rPr>
        <w:footnoteReference w:id="390"/>
      </w:r>
      <w:r w:rsidRPr="001256EA">
        <w:rPr>
          <w:rFonts w:ascii="Times New Roman" w:hAnsi="Times New Roman" w:cs="Times New Roman"/>
          <w:sz w:val="24"/>
          <w:szCs w:val="24"/>
        </w:rPr>
        <w:t>. The Lithuanian human rights perspective, emphasizing coercion prevention, resonates with international debates on power imbalances in clinical settings and the need for explicit protections for vulnerable individuals</w:t>
      </w:r>
      <w:r w:rsidRPr="001256EA">
        <w:rPr>
          <w:rFonts w:ascii="Times New Roman" w:hAnsi="Times New Roman" w:cs="Times New Roman"/>
          <w:sz w:val="24"/>
          <w:szCs w:val="24"/>
          <w:vertAlign w:val="superscript"/>
        </w:rPr>
        <w:footnoteReference w:id="391"/>
      </w:r>
      <w:r w:rsidRPr="001256EA">
        <w:rPr>
          <w:rFonts w:ascii="Times New Roman" w:hAnsi="Times New Roman" w:cs="Times New Roman"/>
          <w:sz w:val="24"/>
          <w:szCs w:val="24"/>
        </w:rPr>
        <w:t>.</w:t>
      </w:r>
    </w:p>
    <w:p w14:paraId="05FDDEF5" w14:textId="4574D9F6" w:rsidR="00CE5861" w:rsidRPr="001256EA" w:rsidRDefault="00CE5861" w:rsidP="00C618D1">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Finally, FRA’s focus on alignment with international best practices reflects an outward-looking orientation, </w:t>
      </w:r>
      <w:r w:rsidR="00802402" w:rsidRPr="001256EA">
        <w:rPr>
          <w:rFonts w:ascii="Times New Roman" w:hAnsi="Times New Roman" w:cs="Times New Roman"/>
          <w:sz w:val="24"/>
          <w:szCs w:val="24"/>
        </w:rPr>
        <w:t>like</w:t>
      </w:r>
      <w:r w:rsidRPr="001256EA">
        <w:rPr>
          <w:rFonts w:ascii="Times New Roman" w:hAnsi="Times New Roman" w:cs="Times New Roman"/>
          <w:sz w:val="24"/>
          <w:szCs w:val="24"/>
        </w:rPr>
        <w:t xml:space="preserve"> comparative analyses of euthanasia laws showing how countries adopt lessons from early adopters such as the Netherlands and Belgium</w:t>
      </w:r>
      <w:r w:rsidRPr="001256EA">
        <w:rPr>
          <w:rFonts w:ascii="Times New Roman" w:hAnsi="Times New Roman" w:cs="Times New Roman"/>
          <w:sz w:val="24"/>
          <w:szCs w:val="24"/>
          <w:vertAlign w:val="superscript"/>
        </w:rPr>
        <w:footnoteReference w:id="392"/>
      </w:r>
      <w:r w:rsidRPr="001256EA">
        <w:rPr>
          <w:rFonts w:ascii="Times New Roman" w:hAnsi="Times New Roman" w:cs="Times New Roman"/>
          <w:sz w:val="24"/>
          <w:szCs w:val="24"/>
        </w:rPr>
        <w:t xml:space="preserve">. This is particularly relevant as cross-border legal comparisons demonstrate significant variation in </w:t>
      </w:r>
      <w:r w:rsidRPr="001256EA">
        <w:rPr>
          <w:rFonts w:ascii="Times New Roman" w:hAnsi="Times New Roman" w:cs="Times New Roman"/>
          <w:sz w:val="24"/>
          <w:szCs w:val="24"/>
        </w:rPr>
        <w:lastRenderedPageBreak/>
        <w:t>consent processes, with some countries emphasizing capacity assessments and procedural formality more strongly than others</w:t>
      </w:r>
      <w:r w:rsidRPr="001256EA">
        <w:rPr>
          <w:rFonts w:ascii="Times New Roman" w:hAnsi="Times New Roman" w:cs="Times New Roman"/>
          <w:sz w:val="24"/>
          <w:szCs w:val="24"/>
          <w:vertAlign w:val="superscript"/>
        </w:rPr>
        <w:footnoteReference w:id="393"/>
      </w:r>
      <w:r w:rsidRPr="001256EA">
        <w:rPr>
          <w:rFonts w:ascii="Times New Roman" w:hAnsi="Times New Roman" w:cs="Times New Roman"/>
          <w:sz w:val="24"/>
          <w:szCs w:val="24"/>
        </w:rPr>
        <w:t>.</w:t>
      </w:r>
    </w:p>
    <w:p w14:paraId="1527AEF0" w14:textId="5C5F8CCD" w:rsidR="00CE5861" w:rsidRPr="001256EA" w:rsidRDefault="00CE5861" w:rsidP="00446879">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Overall, Lithuanian stakeholders’ orientation toward explicit consent, transparent information, protection from coercion, and alignment with global standards is consistent with the empirical evidence showing that robust consent processes are critical to ethical legitimacy and public trust in euthanasia regulation. However, international experience also demonstrates that procedural safeguards alone are insufficient if not supported by professional training and cultural attitudes toward patient autonomy</w:t>
      </w:r>
      <w:r w:rsidRPr="001256EA">
        <w:rPr>
          <w:rFonts w:ascii="Times New Roman" w:hAnsi="Times New Roman" w:cs="Times New Roman"/>
          <w:sz w:val="24"/>
          <w:szCs w:val="24"/>
          <w:vertAlign w:val="superscript"/>
        </w:rPr>
        <w:footnoteReference w:id="394"/>
      </w:r>
      <w:r w:rsidRPr="001256EA">
        <w:rPr>
          <w:rFonts w:ascii="Times New Roman" w:hAnsi="Times New Roman" w:cs="Times New Roman"/>
          <w:sz w:val="24"/>
          <w:szCs w:val="24"/>
        </w:rPr>
        <w:t>. This reinforces the importance of Lithuania’s emphasis on not only legal frameworks but also ethical culture and rights-based approaches.</w:t>
      </w:r>
    </w:p>
    <w:p w14:paraId="2E6ED952"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emphasized public consultation, inclusion of diverse stakeholders, and transparency as core mechanisms to ensure that euthanasia regulation reflects societal interests and values. This aligns with evidence from countries where euthanasia frameworks are widely accepted, demonstrating that participatory governance and cultural sensitivity enhance social legitimacy. For instance, Belgian empirical studies highlight that broad stakeholder engagement, including healthcare professionals, human rights groups, and community representatives, improved trust in euthanasia regulation and facilitated informed public debates</w:t>
      </w:r>
      <w:r w:rsidRPr="001256EA">
        <w:rPr>
          <w:rFonts w:ascii="Times New Roman" w:hAnsi="Times New Roman" w:cs="Times New Roman"/>
          <w:sz w:val="24"/>
          <w:szCs w:val="24"/>
          <w:vertAlign w:val="superscript"/>
        </w:rPr>
        <w:footnoteReference w:id="395"/>
      </w:r>
      <w:r w:rsidRPr="001256EA">
        <w:rPr>
          <w:rFonts w:ascii="Times New Roman" w:hAnsi="Times New Roman" w:cs="Times New Roman"/>
          <w:sz w:val="24"/>
          <w:szCs w:val="24"/>
        </w:rPr>
        <w:t>.</w:t>
      </w:r>
    </w:p>
    <w:p w14:paraId="6D93F81A"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Lithuanian focus on inclusion of diverse social actors mirrors international experiences, where consultation with cultural and religious communities has reduced conflicts and strengthened regulatory acceptance. In the Netherlands, extensive dialogue involving religious organizations, advocacy groups, and healthcare associations has been integral to maintaining public trust in euthanasia practices</w:t>
      </w:r>
      <w:r w:rsidRPr="001256EA">
        <w:rPr>
          <w:rFonts w:ascii="Times New Roman" w:hAnsi="Times New Roman" w:cs="Times New Roman"/>
          <w:sz w:val="24"/>
          <w:szCs w:val="24"/>
          <w:vertAlign w:val="superscript"/>
        </w:rPr>
        <w:footnoteReference w:id="396"/>
      </w:r>
      <w:r w:rsidRPr="001256EA">
        <w:rPr>
          <w:rFonts w:ascii="Times New Roman" w:hAnsi="Times New Roman" w:cs="Times New Roman"/>
          <w:sz w:val="24"/>
          <w:szCs w:val="24"/>
        </w:rPr>
        <w:t xml:space="preserve">. Similarly, Spain’s implementation of its </w:t>
      </w:r>
      <w:r w:rsidRPr="001256EA">
        <w:rPr>
          <w:rFonts w:ascii="Times New Roman" w:hAnsi="Times New Roman" w:cs="Times New Roman"/>
          <w:sz w:val="24"/>
          <w:szCs w:val="24"/>
        </w:rPr>
        <w:lastRenderedPageBreak/>
        <w:t>euthanasia law included advisory bodies representing multiple societal perspectives, although studies indicate gaps in cultural inclusivity and uneven public understanding</w:t>
      </w:r>
      <w:r w:rsidRPr="001256EA">
        <w:rPr>
          <w:rFonts w:ascii="Times New Roman" w:hAnsi="Times New Roman" w:cs="Times New Roman"/>
          <w:sz w:val="24"/>
          <w:szCs w:val="24"/>
          <w:vertAlign w:val="superscript"/>
        </w:rPr>
        <w:footnoteReference w:id="397"/>
      </w:r>
      <w:r w:rsidRPr="001256EA">
        <w:rPr>
          <w:rFonts w:ascii="Times New Roman" w:hAnsi="Times New Roman" w:cs="Times New Roman"/>
          <w:sz w:val="24"/>
          <w:szCs w:val="24"/>
        </w:rPr>
        <w:t>.</w:t>
      </w:r>
    </w:p>
    <w:p w14:paraId="60A1EB10"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also highlighted flexibility and responsiveness of regulations, ensuring that legal frameworks evolve alongside societal values. This approach is consistent with findings from Australia, where legislative reviews and amendments followed public consultations, ultimately increasing societal acceptance and reducing political resistance</w:t>
      </w:r>
      <w:r w:rsidRPr="001256EA">
        <w:rPr>
          <w:rFonts w:ascii="Times New Roman" w:hAnsi="Times New Roman" w:cs="Times New Roman"/>
          <w:sz w:val="24"/>
          <w:szCs w:val="24"/>
          <w:vertAlign w:val="superscript"/>
        </w:rPr>
        <w:footnoteReference w:id="398"/>
      </w:r>
      <w:r w:rsidRPr="001256EA">
        <w:rPr>
          <w:rFonts w:ascii="Times New Roman" w:hAnsi="Times New Roman" w:cs="Times New Roman"/>
          <w:sz w:val="24"/>
          <w:szCs w:val="24"/>
        </w:rPr>
        <w:t>. In Belgium, periodic reviews have addressed emerging ethical challenges such as euthanasia for minors and dementia patients, showing the importance of adaptability in maintaining social legitimacy</w:t>
      </w:r>
      <w:r w:rsidRPr="001256EA">
        <w:rPr>
          <w:rFonts w:ascii="Times New Roman" w:hAnsi="Times New Roman" w:cs="Times New Roman"/>
          <w:sz w:val="24"/>
          <w:szCs w:val="24"/>
          <w:vertAlign w:val="superscript"/>
        </w:rPr>
        <w:footnoteReference w:id="399"/>
      </w:r>
      <w:r w:rsidRPr="001256EA">
        <w:rPr>
          <w:rFonts w:ascii="Times New Roman" w:hAnsi="Times New Roman" w:cs="Times New Roman"/>
          <w:sz w:val="24"/>
          <w:szCs w:val="24"/>
        </w:rPr>
        <w:t>.</w:t>
      </w:r>
    </w:p>
    <w:p w14:paraId="3EC3BB20"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emphasis on transparency and trust-building also aligns with international evidence showing that transparent decision-making and communication are key determinants of public support for euthanasia regulation. Studies of media coverage in Belgium revealed that neutrality and openness in public communication reduced polarization and promoted balanced ethical debates</w:t>
      </w:r>
      <w:r w:rsidRPr="001256EA">
        <w:rPr>
          <w:rFonts w:ascii="Times New Roman" w:hAnsi="Times New Roman" w:cs="Times New Roman"/>
          <w:sz w:val="24"/>
          <w:szCs w:val="24"/>
          <w:vertAlign w:val="superscript"/>
        </w:rPr>
        <w:footnoteReference w:id="400"/>
      </w:r>
      <w:r w:rsidRPr="001256EA">
        <w:rPr>
          <w:rFonts w:ascii="Times New Roman" w:hAnsi="Times New Roman" w:cs="Times New Roman"/>
          <w:sz w:val="24"/>
          <w:szCs w:val="24"/>
        </w:rPr>
        <w:t>. Similarly, Dutch research demonstrates that transparent oversight and public reporting requirements contributed to societal confidence and reduced concerns about misuse</w:t>
      </w:r>
      <w:r w:rsidRPr="001256EA">
        <w:rPr>
          <w:rFonts w:ascii="Times New Roman" w:hAnsi="Times New Roman" w:cs="Times New Roman"/>
          <w:sz w:val="24"/>
          <w:szCs w:val="24"/>
          <w:vertAlign w:val="superscript"/>
        </w:rPr>
        <w:footnoteReference w:id="401"/>
      </w:r>
    </w:p>
    <w:p w14:paraId="75EE8D31"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Finally, cultural and ethical considerations emphasized by Lithuanian stakeholders resonate with findings from comparative research highlighting the necessity of embedding regulatory frameworks within local cultural contexts while maintaining universal ethical standards</w:t>
      </w:r>
      <w:r w:rsidRPr="001256EA">
        <w:rPr>
          <w:rFonts w:ascii="Times New Roman" w:hAnsi="Times New Roman" w:cs="Times New Roman"/>
          <w:sz w:val="24"/>
          <w:szCs w:val="24"/>
          <w:vertAlign w:val="superscript"/>
        </w:rPr>
        <w:footnoteReference w:id="402"/>
      </w:r>
      <w:r w:rsidRPr="001256EA">
        <w:rPr>
          <w:rFonts w:ascii="Times New Roman" w:hAnsi="Times New Roman" w:cs="Times New Roman"/>
          <w:sz w:val="24"/>
          <w:szCs w:val="24"/>
        </w:rPr>
        <w:t xml:space="preserve">. Evidence from countries such as Spain and Germany underscore that failure to </w:t>
      </w:r>
      <w:r w:rsidRPr="001256EA">
        <w:rPr>
          <w:rFonts w:ascii="Times New Roman" w:hAnsi="Times New Roman" w:cs="Times New Roman"/>
          <w:sz w:val="24"/>
          <w:szCs w:val="24"/>
        </w:rPr>
        <w:lastRenderedPageBreak/>
        <w:t>integrate cultural sensitivities can undermine trust and trigger resistance, particularly from religious or community-based groups</w:t>
      </w:r>
      <w:r w:rsidRPr="001256EA">
        <w:rPr>
          <w:rFonts w:ascii="Times New Roman" w:hAnsi="Times New Roman" w:cs="Times New Roman"/>
          <w:sz w:val="24"/>
          <w:szCs w:val="24"/>
          <w:vertAlign w:val="superscript"/>
        </w:rPr>
        <w:footnoteReference w:id="403"/>
      </w:r>
      <w:r w:rsidRPr="001256EA">
        <w:rPr>
          <w:rFonts w:ascii="Times New Roman" w:hAnsi="Times New Roman" w:cs="Times New Roman"/>
          <w:sz w:val="24"/>
          <w:szCs w:val="24"/>
        </w:rPr>
        <w:t>.</w:t>
      </w:r>
    </w:p>
    <w:p w14:paraId="5BAB9772"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Overall, Lithuanian stakeholders’ focus on public participation, inclusivity, flexibility, transparency, and cultural sensitivity is consistent with best practices identified in the international literature. However, global experience also shows that these principles require sustained investment in educational campaigns and continuous dialogue, as emphasized by MOH and ICHHR, to maintain legitimacy and prevent social fragmentation around ethically sensitive practices.</w:t>
      </w:r>
    </w:p>
    <w:p w14:paraId="60DDD9FD" w14:textId="7F03148D" w:rsidR="00CE5861" w:rsidRPr="001256EA" w:rsidRDefault="00CE5861" w:rsidP="000644BF">
      <w:pPr>
        <w:pStyle w:val="ListParagraph"/>
        <w:numPr>
          <w:ilvl w:val="0"/>
          <w:numId w:val="42"/>
        </w:numPr>
        <w:spacing w:after="0" w:line="360" w:lineRule="auto"/>
        <w:ind w:left="0" w:firstLine="851"/>
        <w:rPr>
          <w:rFonts w:ascii="Times New Roman" w:hAnsi="Times New Roman" w:cs="Times New Roman"/>
          <w:sz w:val="24"/>
          <w:szCs w:val="24"/>
        </w:rPr>
      </w:pPr>
      <w:r w:rsidRPr="001256EA">
        <w:rPr>
          <w:rFonts w:ascii="Times New Roman" w:hAnsi="Times New Roman" w:cs="Times New Roman"/>
          <w:sz w:val="24"/>
          <w:szCs w:val="24"/>
        </w:rPr>
        <w:t>Accountability mechanisms and sanctions for abuses</w:t>
      </w:r>
    </w:p>
    <w:p w14:paraId="3A009621"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Lithuanian stakeholders highlighted strict legal penalties, independent oversight, professional sanctions, transparency mechanisms, and public trust as core pillars for addressing illegal activities or abuses in euthanasia regulation. These orientations correspond with international evidence showing that robust enforcement frameworks and transparent accountability processes are critical for preventing abuse and maintaining societal legitimacy.</w:t>
      </w:r>
    </w:p>
    <w:p w14:paraId="438C33F3"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Empirical research in countries with legalized euthanasia demonstrates that clear sanctioning frameworks and oversight bodies play a deterrent role while also strengthening ethical integrity. In Belgium, analyses of the Federal Control and Evaluation Committee revealed that regular oversight and clear professional accountability mechanisms reduced non-compliance and strengthened physician confidence in following due care criteria</w:t>
      </w:r>
      <w:r w:rsidRPr="001256EA">
        <w:rPr>
          <w:rFonts w:ascii="Times New Roman" w:hAnsi="Times New Roman" w:cs="Times New Roman"/>
          <w:sz w:val="24"/>
          <w:szCs w:val="24"/>
          <w:vertAlign w:val="superscript"/>
        </w:rPr>
        <w:footnoteReference w:id="404"/>
      </w:r>
      <w:r w:rsidRPr="001256EA">
        <w:rPr>
          <w:rFonts w:ascii="Times New Roman" w:hAnsi="Times New Roman" w:cs="Times New Roman"/>
          <w:sz w:val="24"/>
          <w:szCs w:val="24"/>
        </w:rPr>
        <w:t>. However, studies also documented persistent reporting issues and occasional procedural breaches, highlighting the importance of enforcement paired with professional education</w:t>
      </w:r>
      <w:r w:rsidRPr="001256EA">
        <w:rPr>
          <w:rFonts w:ascii="Times New Roman" w:hAnsi="Times New Roman" w:cs="Times New Roman"/>
          <w:sz w:val="24"/>
          <w:szCs w:val="24"/>
          <w:vertAlign w:val="superscript"/>
        </w:rPr>
        <w:footnoteReference w:id="405"/>
      </w:r>
      <w:r w:rsidRPr="001256EA">
        <w:rPr>
          <w:rFonts w:ascii="Times New Roman" w:hAnsi="Times New Roman" w:cs="Times New Roman"/>
          <w:sz w:val="24"/>
          <w:szCs w:val="24"/>
        </w:rPr>
        <w:t>.</w:t>
      </w:r>
    </w:p>
    <w:p w14:paraId="74B1C173"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The Lithuanian emphasis on independent oversight and swift enforcement, as stressed by MOJ, LNHRI, and ICHHR, mirrors the Netherlands' model where independent regional review committees evaluate every reported euthanasia case, ensuring transparency and quick intervention when irregularities occur</w:t>
      </w:r>
      <w:r w:rsidRPr="001256EA">
        <w:rPr>
          <w:rFonts w:ascii="Times New Roman" w:hAnsi="Times New Roman" w:cs="Times New Roman"/>
          <w:sz w:val="24"/>
          <w:szCs w:val="24"/>
          <w:vertAlign w:val="superscript"/>
        </w:rPr>
        <w:footnoteReference w:id="406"/>
      </w:r>
      <w:r w:rsidRPr="001256EA">
        <w:rPr>
          <w:rFonts w:ascii="Times New Roman" w:hAnsi="Times New Roman" w:cs="Times New Roman"/>
          <w:sz w:val="24"/>
          <w:szCs w:val="24"/>
        </w:rPr>
        <w:t>. Evidence from Spain further reinforces the importance of transparency and oversight; critical reviews of its 2021 Voluntary Euthanasia Law identified inadequate procedural safeguards and unclear roles in enforcement, warning that insufficient oversight may undermine public trust</w:t>
      </w:r>
      <w:r w:rsidRPr="001256EA">
        <w:rPr>
          <w:rFonts w:ascii="Times New Roman" w:hAnsi="Times New Roman" w:cs="Times New Roman"/>
          <w:sz w:val="24"/>
          <w:szCs w:val="24"/>
          <w:vertAlign w:val="superscript"/>
        </w:rPr>
        <w:footnoteReference w:id="407"/>
      </w:r>
      <w:r w:rsidRPr="001256EA">
        <w:rPr>
          <w:rFonts w:ascii="Times New Roman" w:hAnsi="Times New Roman" w:cs="Times New Roman"/>
          <w:sz w:val="24"/>
          <w:szCs w:val="24"/>
        </w:rPr>
        <w:t>.</w:t>
      </w:r>
    </w:p>
    <w:p w14:paraId="62574040"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inclusion of professional and disciplinary sanctions, emphasized by MOH and LHRI, also aligns with international findings. Belgian and Dutch studies note that revoking medical licenses and imposing professional disciplinary measures can complement legal penalties, addressing misconduct within healthcare institutions and deterring repeat violations</w:t>
      </w:r>
      <w:r w:rsidRPr="001256EA">
        <w:rPr>
          <w:rFonts w:ascii="Times New Roman" w:hAnsi="Times New Roman" w:cs="Times New Roman"/>
          <w:sz w:val="24"/>
          <w:szCs w:val="24"/>
          <w:vertAlign w:val="superscript"/>
        </w:rPr>
        <w:footnoteReference w:id="408"/>
      </w:r>
      <w:r w:rsidRPr="001256EA">
        <w:rPr>
          <w:rFonts w:ascii="Times New Roman" w:hAnsi="Times New Roman" w:cs="Times New Roman"/>
          <w:sz w:val="24"/>
          <w:szCs w:val="24"/>
        </w:rPr>
        <w:t>. Similarly, international experiences demonstrate that sanctions targeting professional conduct are often more immediate and impactful than lengthy legal proceedings, particularly when paired with public reporting and media transparency</w:t>
      </w:r>
      <w:r w:rsidRPr="001256EA">
        <w:rPr>
          <w:rFonts w:ascii="Times New Roman" w:hAnsi="Times New Roman" w:cs="Times New Roman"/>
          <w:sz w:val="24"/>
          <w:szCs w:val="24"/>
          <w:vertAlign w:val="superscript"/>
        </w:rPr>
        <w:footnoteReference w:id="409"/>
      </w:r>
      <w:r w:rsidRPr="001256EA">
        <w:rPr>
          <w:rFonts w:ascii="Times New Roman" w:hAnsi="Times New Roman" w:cs="Times New Roman"/>
          <w:sz w:val="24"/>
          <w:szCs w:val="24"/>
        </w:rPr>
        <w:t>.</w:t>
      </w:r>
    </w:p>
    <w:p w14:paraId="4848D19C"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cross-border cooperation focus of FRA resonates with concerns raised in European literature about jurisdictional challenges and medical travel related to assisted dying. Comparative studies suggest that the absence of international coordination may allow circumvention of national safeguards, making international cooperation and information-sharing crucial for robust enforcement</w:t>
      </w:r>
      <w:r w:rsidRPr="001256EA">
        <w:rPr>
          <w:rFonts w:ascii="Times New Roman" w:hAnsi="Times New Roman" w:cs="Times New Roman"/>
          <w:sz w:val="24"/>
          <w:szCs w:val="24"/>
          <w:vertAlign w:val="superscript"/>
        </w:rPr>
        <w:footnoteReference w:id="410"/>
      </w:r>
      <w:r w:rsidRPr="001256EA">
        <w:rPr>
          <w:rFonts w:ascii="Times New Roman" w:hAnsi="Times New Roman" w:cs="Times New Roman"/>
          <w:sz w:val="24"/>
          <w:szCs w:val="24"/>
        </w:rPr>
        <w:t>.</w:t>
      </w:r>
    </w:p>
    <w:p w14:paraId="2C9E18E7" w14:textId="77777777" w:rsidR="00CE5861" w:rsidRPr="001256EA" w:rsidRDefault="00CE5861"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 xml:space="preserve">Finally, the zero-tolerance human rights focus (LNHRI) and transparency priority (ICHHR) reflect growing recognition that enforcement systems are not only technical but also </w:t>
      </w:r>
      <w:r w:rsidRPr="001256EA">
        <w:rPr>
          <w:rFonts w:ascii="Times New Roman" w:hAnsi="Times New Roman" w:cs="Times New Roman"/>
          <w:sz w:val="24"/>
          <w:szCs w:val="24"/>
        </w:rPr>
        <w:lastRenderedPageBreak/>
        <w:t>ethical in nature. Public reporting and visibility of enforcement actions are essential to maintain trust, as shown by Belgian media analyses revealing that neutral and transparent communication reduced ideological polarization and reassured citizens about the integrity of the system</w:t>
      </w:r>
      <w:r w:rsidRPr="001256EA">
        <w:rPr>
          <w:rFonts w:ascii="Times New Roman" w:hAnsi="Times New Roman" w:cs="Times New Roman"/>
          <w:sz w:val="24"/>
          <w:szCs w:val="24"/>
          <w:vertAlign w:val="superscript"/>
        </w:rPr>
        <w:footnoteReference w:id="411"/>
      </w:r>
      <w:r w:rsidRPr="001256EA">
        <w:rPr>
          <w:rFonts w:ascii="Times New Roman" w:hAnsi="Times New Roman" w:cs="Times New Roman"/>
          <w:sz w:val="24"/>
          <w:szCs w:val="24"/>
        </w:rPr>
        <w:t>.</w:t>
      </w:r>
    </w:p>
    <w:p w14:paraId="482E177B" w14:textId="6C171AE1" w:rsidR="00CE5861" w:rsidRDefault="00C61CDF" w:rsidP="000644BF">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In summary, the positions of Lithuanian stakeholders are broadly consistent with the assumptions of effective regulation identified in international practice, which emphasize the importance of strong sanctions, independent oversight mechanisms, professional responsibility and transparent accountability as essential factors in preventing abuse and strengthening public trust. However, the results of international empirical research show that the application of repressive measures alone is not sufficient to achieve long-term ethical legitimacy and social acceptance. Effective enforcement must be combined with ongoing professional training of healthcare professionals, clear and consistent communication strategies and public information, which help to reduce interpretative risks, strengthen understanding of norms and ensure a balanced application of sanctions and preventive measures.</w:t>
      </w:r>
    </w:p>
    <w:p w14:paraId="489FF6D7" w14:textId="2CE5ED03" w:rsidR="00235481" w:rsidRPr="00D0195E" w:rsidRDefault="00381212" w:rsidP="00381212">
      <w:pPr>
        <w:spacing w:after="0" w:line="360" w:lineRule="auto"/>
        <w:ind w:firstLine="851"/>
        <w:jc w:val="both"/>
        <w:rPr>
          <w:rFonts w:ascii="Times New Roman" w:hAnsi="Times New Roman" w:cs="Times New Roman"/>
          <w:sz w:val="24"/>
          <w:szCs w:val="24"/>
        </w:rPr>
      </w:pPr>
      <w:r w:rsidRPr="00D0195E">
        <w:rPr>
          <w:rFonts w:ascii="Times New Roman" w:hAnsi="Times New Roman" w:cs="Times New Roman"/>
          <w:sz w:val="24"/>
          <w:szCs w:val="24"/>
        </w:rPr>
        <w:t>The implementation of the proposed regulation in the Lithuanian legal system would have a multi-layered impact, which would include not only the transformation of the normative base, but also the reorientation of the practices of interpretation and application of law. First, the establishment of strict sanctions and clearly defined material and procedural criteria would inevitably encourage the intensification of case law, especially in interpreting borderline situations (e.g., the authenticity of the patient’s will, the sufficiency of a medical indication). This would mean the development of jurisprudence on a casuistic basis, where the courts would become the central mechanism for concretizing norms, but at the same time the risk of fragmentation and uneven application would increase. Second, the institutionalization of independent supervisory institutions would change the traditional architecture of responsibility, transferring part of the control functions from ex post judicial review to the level of ex ante and permanent administrative supervision. Although this would theoretically strengthen prevention, in practice such mechanisms may face challenges of legitimacy and transparency, especially if their decision-making criteria remain insufficiently clear or are only limitedly publicized. As a result, courts may have to review not only individual cases, but also the standards of the supervisory institutions themselves. In healthcare practice, such legal regulation would imply a significant redefinition of the content of professional responsibility. The role of doctors would transform from an unambiguous duty to preserve life to a more complex model of decision-</w:t>
      </w:r>
      <w:r w:rsidRPr="00D0195E">
        <w:rPr>
          <w:rFonts w:ascii="Times New Roman" w:hAnsi="Times New Roman" w:cs="Times New Roman"/>
          <w:sz w:val="24"/>
          <w:szCs w:val="24"/>
        </w:rPr>
        <w:lastRenderedPageBreak/>
        <w:t>making facilitation and risk management, in which documentation, consultation and collegial decision-making procedures would gain great importance. This would increase the administrative burden and could encourage the practice of “defensive medicine”, when decisions are made more to avoid legal liability than to optimally respond to the patient’s interests. Critically, the dominance of repressive measures alone would create a formally strict but potentially ineffective regulatory regime in which real behavioral change would be limited. International experience shows that without a consistent professional training system, clear methodological guidelines and active communication with the public, even detailed regulated norms remain vulnerable to interpretive fragmentation. Therefore, in the Lithuanian context, the most effective regulation of the institution of euthanasia would be integrated: combining legal control with softer regulatory measures that strengthen the internalization of norms in practice and reduce dependence on sanctions as the main instrument for correcting behavior.</w:t>
      </w:r>
    </w:p>
    <w:p w14:paraId="72F2B241" w14:textId="77777777" w:rsidR="00235481" w:rsidRPr="001256EA" w:rsidRDefault="00235481" w:rsidP="000644BF">
      <w:pPr>
        <w:spacing w:after="0" w:line="360" w:lineRule="auto"/>
        <w:ind w:firstLine="851"/>
        <w:jc w:val="both"/>
        <w:rPr>
          <w:rFonts w:ascii="Times New Roman" w:hAnsi="Times New Roman" w:cs="Times New Roman"/>
          <w:sz w:val="24"/>
          <w:szCs w:val="24"/>
        </w:rPr>
      </w:pPr>
    </w:p>
    <w:p w14:paraId="6B012C3C" w14:textId="77777777" w:rsidR="00235481" w:rsidRPr="001256EA" w:rsidRDefault="00235481" w:rsidP="000644BF">
      <w:pPr>
        <w:spacing w:after="0" w:line="360" w:lineRule="auto"/>
        <w:ind w:firstLine="851"/>
        <w:jc w:val="both"/>
        <w:rPr>
          <w:rFonts w:ascii="Times New Roman" w:hAnsi="Times New Roman" w:cs="Times New Roman"/>
          <w:sz w:val="24"/>
          <w:szCs w:val="24"/>
        </w:rPr>
      </w:pPr>
    </w:p>
    <w:p w14:paraId="34D0380C" w14:textId="77777777" w:rsidR="00235481" w:rsidRPr="001256EA" w:rsidRDefault="00235481" w:rsidP="000644BF">
      <w:pPr>
        <w:spacing w:after="0" w:line="360" w:lineRule="auto"/>
        <w:ind w:firstLine="851"/>
        <w:jc w:val="both"/>
        <w:rPr>
          <w:rFonts w:ascii="Times New Roman" w:hAnsi="Times New Roman" w:cs="Times New Roman"/>
          <w:sz w:val="24"/>
          <w:szCs w:val="24"/>
        </w:rPr>
      </w:pPr>
    </w:p>
    <w:p w14:paraId="539830F6" w14:textId="77777777" w:rsidR="00235481" w:rsidRPr="001256EA" w:rsidRDefault="00235481" w:rsidP="000644BF">
      <w:pPr>
        <w:spacing w:after="0" w:line="360" w:lineRule="auto"/>
        <w:ind w:firstLine="851"/>
        <w:jc w:val="both"/>
        <w:rPr>
          <w:rFonts w:ascii="Times New Roman" w:hAnsi="Times New Roman" w:cs="Times New Roman"/>
          <w:sz w:val="24"/>
          <w:szCs w:val="24"/>
        </w:rPr>
      </w:pPr>
    </w:p>
    <w:p w14:paraId="4310CF20" w14:textId="77777777" w:rsidR="00235481" w:rsidRPr="001256EA" w:rsidRDefault="00235481" w:rsidP="000644BF">
      <w:pPr>
        <w:spacing w:after="0" w:line="360" w:lineRule="auto"/>
        <w:ind w:firstLine="851"/>
        <w:jc w:val="both"/>
        <w:rPr>
          <w:rFonts w:ascii="Times New Roman" w:hAnsi="Times New Roman" w:cs="Times New Roman"/>
          <w:sz w:val="24"/>
          <w:szCs w:val="24"/>
        </w:rPr>
      </w:pPr>
    </w:p>
    <w:p w14:paraId="59032B83" w14:textId="77777777" w:rsidR="00235481" w:rsidRDefault="00235481" w:rsidP="000644BF">
      <w:pPr>
        <w:spacing w:after="0" w:line="360" w:lineRule="auto"/>
        <w:ind w:firstLine="851"/>
        <w:jc w:val="both"/>
        <w:rPr>
          <w:rFonts w:ascii="Times New Roman" w:hAnsi="Times New Roman" w:cs="Times New Roman"/>
          <w:sz w:val="24"/>
          <w:szCs w:val="24"/>
        </w:rPr>
      </w:pPr>
    </w:p>
    <w:p w14:paraId="60AB3FEE" w14:textId="77777777" w:rsidR="00915C72" w:rsidRDefault="00915C72" w:rsidP="000644BF">
      <w:pPr>
        <w:spacing w:after="0" w:line="360" w:lineRule="auto"/>
        <w:ind w:firstLine="851"/>
        <w:jc w:val="both"/>
        <w:rPr>
          <w:rFonts w:ascii="Times New Roman" w:hAnsi="Times New Roman" w:cs="Times New Roman"/>
          <w:sz w:val="24"/>
          <w:szCs w:val="24"/>
        </w:rPr>
      </w:pPr>
    </w:p>
    <w:p w14:paraId="075E4315" w14:textId="77777777" w:rsidR="00915C72" w:rsidRDefault="00915C72" w:rsidP="000644BF">
      <w:pPr>
        <w:spacing w:after="0" w:line="360" w:lineRule="auto"/>
        <w:ind w:firstLine="851"/>
        <w:jc w:val="both"/>
        <w:rPr>
          <w:rFonts w:ascii="Times New Roman" w:hAnsi="Times New Roman" w:cs="Times New Roman"/>
          <w:sz w:val="24"/>
          <w:szCs w:val="24"/>
        </w:rPr>
      </w:pPr>
    </w:p>
    <w:p w14:paraId="74DE7436" w14:textId="77777777" w:rsidR="00915C72" w:rsidRDefault="00915C72" w:rsidP="000644BF">
      <w:pPr>
        <w:spacing w:after="0" w:line="360" w:lineRule="auto"/>
        <w:ind w:firstLine="851"/>
        <w:jc w:val="both"/>
        <w:rPr>
          <w:rFonts w:ascii="Times New Roman" w:hAnsi="Times New Roman" w:cs="Times New Roman"/>
          <w:sz w:val="24"/>
          <w:szCs w:val="24"/>
        </w:rPr>
      </w:pPr>
    </w:p>
    <w:p w14:paraId="64E07152" w14:textId="77777777" w:rsidR="00915C72" w:rsidRDefault="00915C72" w:rsidP="000644BF">
      <w:pPr>
        <w:spacing w:after="0" w:line="360" w:lineRule="auto"/>
        <w:ind w:firstLine="851"/>
        <w:jc w:val="both"/>
        <w:rPr>
          <w:rFonts w:ascii="Times New Roman" w:hAnsi="Times New Roman" w:cs="Times New Roman"/>
          <w:sz w:val="24"/>
          <w:szCs w:val="24"/>
        </w:rPr>
      </w:pPr>
    </w:p>
    <w:p w14:paraId="6447A064" w14:textId="77777777" w:rsidR="00915C72" w:rsidRDefault="00915C72" w:rsidP="000644BF">
      <w:pPr>
        <w:spacing w:after="0" w:line="360" w:lineRule="auto"/>
        <w:ind w:firstLine="851"/>
        <w:jc w:val="both"/>
        <w:rPr>
          <w:rFonts w:ascii="Times New Roman" w:hAnsi="Times New Roman" w:cs="Times New Roman"/>
          <w:sz w:val="24"/>
          <w:szCs w:val="24"/>
        </w:rPr>
      </w:pPr>
    </w:p>
    <w:p w14:paraId="4C9E18C6" w14:textId="77777777" w:rsidR="00915C72" w:rsidRDefault="00915C72" w:rsidP="000644BF">
      <w:pPr>
        <w:spacing w:after="0" w:line="360" w:lineRule="auto"/>
        <w:ind w:firstLine="851"/>
        <w:jc w:val="both"/>
        <w:rPr>
          <w:rFonts w:ascii="Times New Roman" w:hAnsi="Times New Roman" w:cs="Times New Roman"/>
          <w:sz w:val="24"/>
          <w:szCs w:val="24"/>
        </w:rPr>
      </w:pPr>
    </w:p>
    <w:p w14:paraId="055B64EB" w14:textId="77777777" w:rsidR="00915C72" w:rsidRDefault="00915C72" w:rsidP="000644BF">
      <w:pPr>
        <w:spacing w:after="0" w:line="360" w:lineRule="auto"/>
        <w:ind w:firstLine="851"/>
        <w:jc w:val="both"/>
        <w:rPr>
          <w:rFonts w:ascii="Times New Roman" w:hAnsi="Times New Roman" w:cs="Times New Roman"/>
          <w:sz w:val="24"/>
          <w:szCs w:val="24"/>
        </w:rPr>
      </w:pPr>
    </w:p>
    <w:p w14:paraId="5658BD35" w14:textId="77777777" w:rsidR="00191C62" w:rsidRDefault="00191C62" w:rsidP="000644BF">
      <w:pPr>
        <w:spacing w:after="0" w:line="360" w:lineRule="auto"/>
        <w:ind w:firstLine="851"/>
        <w:jc w:val="both"/>
        <w:rPr>
          <w:rFonts w:ascii="Times New Roman" w:hAnsi="Times New Roman" w:cs="Times New Roman"/>
          <w:sz w:val="24"/>
          <w:szCs w:val="24"/>
        </w:rPr>
      </w:pPr>
    </w:p>
    <w:p w14:paraId="59F2AE85" w14:textId="77777777" w:rsidR="00191C62" w:rsidRDefault="00191C62" w:rsidP="000644BF">
      <w:pPr>
        <w:spacing w:after="0" w:line="360" w:lineRule="auto"/>
        <w:ind w:firstLine="851"/>
        <w:jc w:val="both"/>
        <w:rPr>
          <w:rFonts w:ascii="Times New Roman" w:hAnsi="Times New Roman" w:cs="Times New Roman"/>
          <w:sz w:val="24"/>
          <w:szCs w:val="24"/>
        </w:rPr>
      </w:pPr>
    </w:p>
    <w:p w14:paraId="6B1626A8" w14:textId="77777777" w:rsidR="00191C62" w:rsidRDefault="00191C62" w:rsidP="000644BF">
      <w:pPr>
        <w:spacing w:after="0" w:line="360" w:lineRule="auto"/>
        <w:ind w:firstLine="851"/>
        <w:jc w:val="both"/>
        <w:rPr>
          <w:rFonts w:ascii="Times New Roman" w:hAnsi="Times New Roman" w:cs="Times New Roman"/>
          <w:sz w:val="24"/>
          <w:szCs w:val="24"/>
        </w:rPr>
      </w:pPr>
    </w:p>
    <w:p w14:paraId="672BF371" w14:textId="77777777" w:rsidR="00191C62" w:rsidRDefault="00191C62" w:rsidP="000644BF">
      <w:pPr>
        <w:spacing w:after="0" w:line="360" w:lineRule="auto"/>
        <w:ind w:firstLine="851"/>
        <w:jc w:val="both"/>
        <w:rPr>
          <w:rFonts w:ascii="Times New Roman" w:hAnsi="Times New Roman" w:cs="Times New Roman"/>
          <w:sz w:val="24"/>
          <w:szCs w:val="24"/>
        </w:rPr>
      </w:pPr>
    </w:p>
    <w:p w14:paraId="65168544" w14:textId="77777777" w:rsidR="00191C62" w:rsidRDefault="00191C62" w:rsidP="000644BF">
      <w:pPr>
        <w:spacing w:after="0" w:line="360" w:lineRule="auto"/>
        <w:ind w:firstLine="851"/>
        <w:jc w:val="both"/>
        <w:rPr>
          <w:rFonts w:ascii="Times New Roman" w:hAnsi="Times New Roman" w:cs="Times New Roman"/>
          <w:sz w:val="24"/>
          <w:szCs w:val="24"/>
        </w:rPr>
      </w:pPr>
    </w:p>
    <w:p w14:paraId="729DD1BB" w14:textId="77777777" w:rsidR="00191C62" w:rsidRDefault="00191C62" w:rsidP="000644BF">
      <w:pPr>
        <w:spacing w:after="0" w:line="360" w:lineRule="auto"/>
        <w:ind w:firstLine="851"/>
        <w:jc w:val="both"/>
        <w:rPr>
          <w:rFonts w:ascii="Times New Roman" w:hAnsi="Times New Roman" w:cs="Times New Roman"/>
          <w:sz w:val="24"/>
          <w:szCs w:val="24"/>
        </w:rPr>
      </w:pPr>
    </w:p>
    <w:p w14:paraId="78EB6261" w14:textId="77777777" w:rsidR="00191C62" w:rsidRDefault="00191C62" w:rsidP="000644BF">
      <w:pPr>
        <w:spacing w:after="0" w:line="360" w:lineRule="auto"/>
        <w:ind w:firstLine="851"/>
        <w:jc w:val="both"/>
        <w:rPr>
          <w:rFonts w:ascii="Times New Roman" w:hAnsi="Times New Roman" w:cs="Times New Roman"/>
          <w:sz w:val="24"/>
          <w:szCs w:val="24"/>
        </w:rPr>
      </w:pPr>
    </w:p>
    <w:p w14:paraId="3AD3095D" w14:textId="77777777" w:rsidR="00191C62" w:rsidRPr="001256EA" w:rsidRDefault="00191C62" w:rsidP="000644BF">
      <w:pPr>
        <w:spacing w:after="0" w:line="360" w:lineRule="auto"/>
        <w:ind w:firstLine="851"/>
        <w:jc w:val="both"/>
        <w:rPr>
          <w:rFonts w:ascii="Times New Roman" w:hAnsi="Times New Roman" w:cs="Times New Roman"/>
          <w:sz w:val="24"/>
          <w:szCs w:val="24"/>
        </w:rPr>
      </w:pPr>
    </w:p>
    <w:p w14:paraId="064AD7E5" w14:textId="7580C43E" w:rsidR="00351DA3" w:rsidRPr="001256EA" w:rsidRDefault="00CC237F" w:rsidP="00235481">
      <w:pPr>
        <w:pStyle w:val="Heading1"/>
        <w:jc w:val="center"/>
        <w:rPr>
          <w:rFonts w:ascii="Times New Roman" w:hAnsi="Times New Roman" w:cs="Times New Roman"/>
          <w:b/>
          <w:bCs/>
          <w:color w:val="auto"/>
          <w:sz w:val="28"/>
          <w:szCs w:val="28"/>
        </w:rPr>
      </w:pPr>
      <w:bookmarkStart w:id="82" w:name="_Toc216374418"/>
      <w:r w:rsidRPr="001256EA">
        <w:rPr>
          <w:rFonts w:ascii="Times New Roman" w:hAnsi="Times New Roman" w:cs="Times New Roman"/>
          <w:b/>
          <w:bCs/>
          <w:color w:val="auto"/>
          <w:sz w:val="28"/>
          <w:szCs w:val="28"/>
        </w:rPr>
        <w:lastRenderedPageBreak/>
        <w:t>CONCLUSION AND RECOMMENDATIONS</w:t>
      </w:r>
      <w:bookmarkEnd w:id="82"/>
    </w:p>
    <w:p w14:paraId="114DA96A" w14:textId="6B690F83" w:rsidR="00351DA3" w:rsidRPr="001256EA" w:rsidRDefault="00351DA3" w:rsidP="00351DA3">
      <w:pPr>
        <w:rPr>
          <w:rFonts w:ascii="Times New Roman" w:hAnsi="Times New Roman" w:cs="Times New Roman"/>
          <w:sz w:val="24"/>
          <w:szCs w:val="24"/>
        </w:rPr>
      </w:pPr>
    </w:p>
    <w:p w14:paraId="38851227" w14:textId="30937391" w:rsidR="00351DA3" w:rsidRPr="001256EA" w:rsidRDefault="00DE73E3" w:rsidP="00351DA3">
      <w:pPr>
        <w:rPr>
          <w:rFonts w:ascii="Times New Roman" w:hAnsi="Times New Roman" w:cs="Times New Roman"/>
          <w:sz w:val="24"/>
          <w:szCs w:val="24"/>
        </w:rPr>
      </w:pPr>
      <w:r w:rsidRPr="001256EA">
        <w:rPr>
          <w:rFonts w:ascii="Times New Roman" w:hAnsi="Times New Roman" w:cs="Times New Roman"/>
          <w:b/>
          <w:sz w:val="24"/>
          <w:szCs w:val="24"/>
        </w:rPr>
        <w:t>Hypothesis Assessment Summary</w:t>
      </w:r>
    </w:p>
    <w:p w14:paraId="41F24274" w14:textId="05EC34C9" w:rsidR="00351DA3" w:rsidRPr="001256EA" w:rsidRDefault="00351DA3" w:rsidP="00351DA3">
      <w:pPr>
        <w:rPr>
          <w:rFonts w:ascii="Times New Roman" w:hAnsi="Times New Roman" w:cs="Times New Roman"/>
        </w:rPr>
      </w:pPr>
    </w:p>
    <w:p w14:paraId="51B1B1ED" w14:textId="6626F56B" w:rsidR="00351DA3" w:rsidRPr="001256EA" w:rsidRDefault="00265985" w:rsidP="0026598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t>The research hypothesis, which sought to prove that the prospects for the implementation of the institute of euthanasia in Lithuania are limited by the lack of clear legal regulation and the currently valid constitutional and statutory doctrine of the protection of human life, was confirmed, since the analysis showed that: the Constitution of the Republic of Lithuania and other legal acts establish absolute protection of human life, the interpretation of which in the practice of the Constitutional Court does not yet provide space for the legalization of the institute of euthanasia; national criminal law qualifies any deliberate actions that take life as a criminal offense, without providing exceptions for the case of euthanasia; international legal norms, although they recognize the human right to dignity and the inviolability of private life, are not formulated clearly enough to be directly applied as a legal basis for regulating the institute of euthanasia in Lithuania.</w:t>
      </w:r>
    </w:p>
    <w:p w14:paraId="08B79CE0" w14:textId="2B3235B8" w:rsidR="001D10E9" w:rsidRPr="001256EA" w:rsidRDefault="00DB57E9" w:rsidP="0026598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i/>
          <w:iCs/>
          <w:sz w:val="24"/>
          <w:szCs w:val="24"/>
        </w:rPr>
        <w:t>To</w:t>
      </w:r>
      <w:r w:rsidR="001D10E9" w:rsidRPr="001256EA">
        <w:rPr>
          <w:rFonts w:ascii="Times New Roman" w:hAnsi="Times New Roman" w:cs="Times New Roman"/>
          <w:i/>
          <w:iCs/>
          <w:sz w:val="24"/>
          <w:szCs w:val="24"/>
        </w:rPr>
        <w:t xml:space="preserve"> answer the goal, objectives and problematic questions raised in the work, the following conclusions were formulated:</w:t>
      </w:r>
    </w:p>
    <w:p w14:paraId="0B125E43" w14:textId="4BB37C31" w:rsidR="00351DA3" w:rsidRPr="001256EA" w:rsidRDefault="00DB57E9" w:rsidP="0026598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i/>
          <w:iCs/>
          <w:sz w:val="24"/>
          <w:szCs w:val="24"/>
        </w:rPr>
        <w:t xml:space="preserve">I. </w:t>
      </w:r>
      <w:r w:rsidRPr="001256EA">
        <w:rPr>
          <w:rFonts w:ascii="Times New Roman" w:hAnsi="Times New Roman" w:cs="Times New Roman"/>
          <w:i/>
          <w:iCs/>
          <w:sz w:val="24"/>
          <w:szCs w:val="24"/>
          <w:u w:val="single"/>
        </w:rPr>
        <w:t xml:space="preserve">Conclusions and </w:t>
      </w:r>
      <w:r w:rsidRPr="001256EA">
        <w:rPr>
          <w:rStyle w:val="rynqvb"/>
          <w:rFonts w:ascii="Times New Roman" w:hAnsi="Times New Roman" w:cs="Times New Roman"/>
          <w:sz w:val="24"/>
          <w:szCs w:val="24"/>
          <w:u w:val="single"/>
        </w:rPr>
        <w:t>recommendations</w:t>
      </w:r>
      <w:r w:rsidR="000644BF" w:rsidRPr="001256EA">
        <w:rPr>
          <w:rFonts w:ascii="Times New Roman" w:hAnsi="Times New Roman" w:cs="Times New Roman"/>
          <w:i/>
          <w:iCs/>
          <w:sz w:val="24"/>
          <w:szCs w:val="24"/>
        </w:rPr>
        <w:t xml:space="preserve"> </w:t>
      </w:r>
      <w:r w:rsidR="000644BF" w:rsidRPr="001256EA">
        <w:rPr>
          <w:rFonts w:ascii="Times New Roman" w:hAnsi="Times New Roman" w:cs="Times New Roman"/>
          <w:sz w:val="24"/>
          <w:szCs w:val="24"/>
        </w:rPr>
        <w:t>regarding</w:t>
      </w:r>
      <w:r w:rsidR="000644BF" w:rsidRPr="001256EA">
        <w:rPr>
          <w:rFonts w:ascii="Times New Roman" w:hAnsi="Times New Roman" w:cs="Times New Roman"/>
          <w:i/>
          <w:iCs/>
          <w:sz w:val="24"/>
          <w:szCs w:val="24"/>
        </w:rPr>
        <w:t xml:space="preserve"> </w:t>
      </w:r>
      <w:r w:rsidR="000644BF" w:rsidRPr="001256EA">
        <w:rPr>
          <w:rFonts w:ascii="Times New Roman" w:hAnsi="Times New Roman" w:cs="Times New Roman"/>
          <w:sz w:val="24"/>
          <w:szCs w:val="24"/>
        </w:rPr>
        <w:t>general questions on the on life's worth and on man's rights to decide on the individual course towards the end in context of international private law.</w:t>
      </w:r>
    </w:p>
    <w:p w14:paraId="616CD233" w14:textId="646AB8C2" w:rsidR="000644BF" w:rsidRPr="001256EA" w:rsidRDefault="000644BF" w:rsidP="00265985">
      <w:pPr>
        <w:spacing w:after="0" w:line="360" w:lineRule="auto"/>
        <w:ind w:firstLine="851"/>
        <w:jc w:val="both"/>
        <w:rPr>
          <w:rFonts w:ascii="Times New Roman" w:eastAsia="Calibri" w:hAnsi="Times New Roman" w:cs="Times New Roman"/>
          <w:sz w:val="24"/>
          <w:szCs w:val="24"/>
        </w:rPr>
      </w:pPr>
      <w:r w:rsidRPr="001256EA">
        <w:rPr>
          <w:rFonts w:eastAsia="Calibri"/>
          <w:bCs/>
          <w:szCs w:val="24"/>
        </w:rPr>
        <w:t xml:space="preserve">1. </w:t>
      </w:r>
      <w:r w:rsidRPr="001256EA">
        <w:rPr>
          <w:rFonts w:ascii="Times New Roman" w:eastAsia="Calibri" w:hAnsi="Times New Roman" w:cs="Times New Roman"/>
          <w:bCs/>
          <w:sz w:val="24"/>
          <w:szCs w:val="24"/>
          <w:u w:val="single"/>
        </w:rPr>
        <w:t>Conclusion:</w:t>
      </w:r>
      <w:r w:rsidR="00942258" w:rsidRPr="001256EA">
        <w:rPr>
          <w:rFonts w:ascii="Times New Roman" w:eastAsia="Calibri" w:hAnsi="Times New Roman" w:cs="Times New Roman"/>
          <w:sz w:val="24"/>
          <w:szCs w:val="24"/>
        </w:rPr>
        <w:t xml:space="preserve"> Euthanasia, defined as the intentional act of ending a life to relieve unbearable pain and suffering, has been debated for centuries and involves legal, ethical, social, and religious considerations. The euthanasia debate demands a careful balance between honoring individual autonomy and the right to be free from suffering and protecting life and preventing abuse. The legal frameworks of euthanasia in different countries are quite different from one another, embodying their respective ethical, cultural, and societal values. There are nations with absolute prohibition from euthanasia, considering it equivalent to murder. The debate on euthanasia is highly complex in the way it treads the balance between upholding personal autonomy and ensuring protection from potential exploitation. Euthanasia studies are primarily health oriented but also engage in social, ethical, cultural and scientific dimensions. In the context of euthanasia, patient autonomy is important in giving a person freedom to make uninfluenced decisions regarding care at the end of life and the possibility of opting for euthanasia if it is considered the best way out.</w:t>
      </w:r>
    </w:p>
    <w:p w14:paraId="4EEEEA95" w14:textId="150A6F8B" w:rsidR="00942258" w:rsidRPr="001256EA" w:rsidRDefault="00942258" w:rsidP="00265985">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lastRenderedPageBreak/>
        <w:t>1. Recommendation.</w:t>
      </w:r>
      <w:r w:rsidR="00AA15C5" w:rsidRPr="001256EA">
        <w:rPr>
          <w:rStyle w:val="rynqvb"/>
          <w:rFonts w:ascii="Times New Roman" w:hAnsi="Times New Roman" w:cs="Times New Roman"/>
          <w:sz w:val="24"/>
          <w:szCs w:val="24"/>
          <w:u w:val="single"/>
        </w:rPr>
        <w:t xml:space="preserve"> </w:t>
      </w:r>
      <w:r w:rsidR="00AA15C5" w:rsidRPr="001256EA">
        <w:rPr>
          <w:rStyle w:val="rynqvb"/>
          <w:rFonts w:ascii="Times New Roman" w:hAnsi="Times New Roman" w:cs="Times New Roman"/>
          <w:sz w:val="24"/>
          <w:szCs w:val="24"/>
        </w:rPr>
        <w:t>The phenomenon of the legal institution of euthanasia demonstrates how difficult it is to ensure a balance between the protection of the right to life and the recognition of individual autonomy. Legal decisions regulating euthanasia must be based on international human rights standards, with particular attention to human dignity and the right not to be subjected to unbearable suffering. To prevent abuse, it is necessary to create clear control mechanisms, but at the same time the patient's right to free and informed choice cannot be denied.</w:t>
      </w:r>
    </w:p>
    <w:p w14:paraId="70321E56" w14:textId="5CF6DBAE" w:rsidR="00AA15C5" w:rsidRPr="001256EA" w:rsidRDefault="00AA15C5" w:rsidP="00265985">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 xml:space="preserve">2. Recommendation. </w:t>
      </w:r>
      <w:r w:rsidRPr="001256EA">
        <w:rPr>
          <w:rStyle w:val="rynqvb"/>
          <w:rFonts w:ascii="Times New Roman" w:hAnsi="Times New Roman" w:cs="Times New Roman"/>
          <w:sz w:val="24"/>
          <w:szCs w:val="24"/>
        </w:rPr>
        <w:t>Since the regulation of euthanasia is not only a legal issue, but also a social, medical and ethical one. Therefore, any legal solutions cannot be developed in isolation - they must be based on an interdisciplinary approach, encompassing insights from medicine, bioethics, religion, sociology and economics. Only such an integrated approach can ensure that regulation meets both the individual needs of patients and the interests of society.</w:t>
      </w:r>
    </w:p>
    <w:p w14:paraId="45E3DDAD" w14:textId="67717CA1" w:rsidR="00AA15C5" w:rsidRPr="001256EA" w:rsidRDefault="00AA15C5" w:rsidP="00265985">
      <w:pPr>
        <w:spacing w:after="0" w:line="360" w:lineRule="auto"/>
        <w:ind w:firstLine="851"/>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 xml:space="preserve">3. Recommendation. </w:t>
      </w:r>
      <w:r w:rsidRPr="001256EA">
        <w:rPr>
          <w:rFonts w:ascii="Times New Roman" w:hAnsi="Times New Roman" w:cs="Times New Roman"/>
          <w:sz w:val="24"/>
          <w:szCs w:val="24"/>
        </w:rPr>
        <w:t>The euthanasia discourse reveals that in many countries there is a lack of comprehensive data on the social, economic and psychological factors that determine the decision to choose euthanasia. Future research should analyze how social exclusion; the efficiency of the health care system or cultural attitudes influence this choice. Such insights could become an essential basis for improving national and international legislation.</w:t>
      </w:r>
    </w:p>
    <w:p w14:paraId="7C1E6A4C" w14:textId="185EECD2" w:rsidR="00FF4944" w:rsidRPr="001256EA" w:rsidRDefault="00FF4944" w:rsidP="00265985">
      <w:pPr>
        <w:spacing w:after="0" w:line="360" w:lineRule="auto"/>
        <w:ind w:firstLine="851"/>
        <w:jc w:val="both"/>
        <w:rPr>
          <w:rFonts w:ascii="Times New Roman" w:hAnsi="Times New Roman" w:cs="Times New Roman"/>
          <w:sz w:val="24"/>
          <w:szCs w:val="24"/>
        </w:rPr>
      </w:pPr>
      <w:r w:rsidRPr="001256EA">
        <w:rPr>
          <w:rFonts w:ascii="Times New Roman" w:eastAsia="Calibri" w:hAnsi="Times New Roman" w:cs="Times New Roman"/>
          <w:bCs/>
          <w:sz w:val="24"/>
          <w:szCs w:val="24"/>
        </w:rPr>
        <w:t xml:space="preserve">2. </w:t>
      </w:r>
      <w:r w:rsidRPr="001256EA">
        <w:rPr>
          <w:rFonts w:ascii="Times New Roman" w:eastAsia="Calibri" w:hAnsi="Times New Roman" w:cs="Times New Roman"/>
          <w:bCs/>
          <w:sz w:val="24"/>
          <w:szCs w:val="24"/>
          <w:u w:val="single"/>
        </w:rPr>
        <w:t>Conclusion:</w:t>
      </w:r>
      <w:r w:rsidRPr="001256EA">
        <w:rPr>
          <w:rFonts w:ascii="Times New Roman" w:eastAsia="Calibri" w:hAnsi="Times New Roman" w:cs="Times New Roman"/>
          <w:sz w:val="24"/>
          <w:szCs w:val="24"/>
        </w:rPr>
        <w:t xml:space="preserve"> </w:t>
      </w:r>
      <w:r w:rsidRPr="001256EA">
        <w:rPr>
          <w:rFonts w:ascii="Times New Roman" w:hAnsi="Times New Roman" w:cs="Times New Roman"/>
          <w:sz w:val="24"/>
          <w:szCs w:val="24"/>
        </w:rPr>
        <w:t>From a legal perspective, active euthanasia is highly controversial, as it is usually considered an unlawful taking of life – the intentional termination of a human life. This definition reveals a complex relationship between ethical norms, human dignity and legal boundaries, which is why there is constant debate about the place of euthanasia in modern society. Euthanasia is a multifaceted issue, combining the fields of law, medicine, philosophy and bioethics.</w:t>
      </w:r>
    </w:p>
    <w:p w14:paraId="1A2C5938" w14:textId="71C6A345" w:rsidR="00FF4944" w:rsidRPr="001256EA" w:rsidRDefault="002142D1" w:rsidP="00265985">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4</w:t>
      </w:r>
      <w:r w:rsidR="00FF4944" w:rsidRPr="001256EA">
        <w:rPr>
          <w:rStyle w:val="rynqvb"/>
          <w:rFonts w:ascii="Times New Roman" w:hAnsi="Times New Roman" w:cs="Times New Roman"/>
          <w:sz w:val="24"/>
          <w:szCs w:val="24"/>
          <w:u w:val="single"/>
        </w:rPr>
        <w:t xml:space="preserve">. Recommendation. </w:t>
      </w:r>
      <w:r w:rsidR="00FF4944" w:rsidRPr="001256EA">
        <w:rPr>
          <w:rStyle w:val="rynqvb"/>
          <w:rFonts w:ascii="Times New Roman" w:hAnsi="Times New Roman" w:cs="Times New Roman"/>
          <w:sz w:val="24"/>
          <w:szCs w:val="24"/>
        </w:rPr>
        <w:t>A strict ban with strengthening of palliative care is recommended: It should be clearly established by law that active euthanasia is prohibited, and the state must ensure accessible and free palliative care. It should also strengthen the regulation of terminal sedation so that patients do not live in unbearable pain for a long time. In this way, human dignity would be protected without resorting to active termination of life.</w:t>
      </w:r>
    </w:p>
    <w:p w14:paraId="1BB032FA" w14:textId="01AC001C" w:rsidR="008A7202" w:rsidRPr="001256EA" w:rsidRDefault="002142D1" w:rsidP="008A7202">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5</w:t>
      </w:r>
      <w:r w:rsidR="008A7202" w:rsidRPr="001256EA">
        <w:rPr>
          <w:rStyle w:val="rynqvb"/>
          <w:rFonts w:ascii="Times New Roman" w:hAnsi="Times New Roman" w:cs="Times New Roman"/>
          <w:sz w:val="24"/>
          <w:szCs w:val="24"/>
          <w:u w:val="single"/>
        </w:rPr>
        <w:t xml:space="preserve">. Recommendation. </w:t>
      </w:r>
      <w:r w:rsidR="008A7202" w:rsidRPr="001256EA">
        <w:rPr>
          <w:rStyle w:val="rynqvb"/>
          <w:rFonts w:ascii="Times New Roman" w:hAnsi="Times New Roman" w:cs="Times New Roman"/>
          <w:sz w:val="24"/>
          <w:szCs w:val="24"/>
        </w:rPr>
        <w:t>Legalize active euthanasia only in special cases:</w:t>
      </w:r>
    </w:p>
    <w:p w14:paraId="51A0654E" w14:textId="7642AD94" w:rsidR="008A7202" w:rsidRPr="001256EA" w:rsidRDefault="008A7202" w:rsidP="008A7202">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rPr>
        <w:t>1) the patient has an incurable, fatal illness.</w:t>
      </w:r>
    </w:p>
    <w:p w14:paraId="115B3BED" w14:textId="398320D1" w:rsidR="008A7202" w:rsidRPr="001256EA" w:rsidRDefault="008A7202" w:rsidP="008A7202">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rPr>
        <w:t xml:space="preserve">2) is experiencing unbearable physical or psychological </w:t>
      </w:r>
      <w:r w:rsidR="00791D87" w:rsidRPr="001256EA">
        <w:rPr>
          <w:rStyle w:val="rynqvb"/>
          <w:rFonts w:ascii="Times New Roman" w:hAnsi="Times New Roman" w:cs="Times New Roman"/>
          <w:sz w:val="24"/>
          <w:szCs w:val="24"/>
        </w:rPr>
        <w:t>pain.</w:t>
      </w:r>
    </w:p>
    <w:p w14:paraId="786E16CC" w14:textId="7416BDB9" w:rsidR="008A7202" w:rsidRPr="001256EA" w:rsidRDefault="008A7202" w:rsidP="008A7202">
      <w:pPr>
        <w:spacing w:after="0" w:line="360" w:lineRule="auto"/>
        <w:ind w:firstLine="851"/>
        <w:jc w:val="both"/>
        <w:rPr>
          <w:rFonts w:ascii="Times New Roman" w:hAnsi="Times New Roman" w:cs="Times New Roman"/>
          <w:sz w:val="24"/>
          <w:szCs w:val="24"/>
        </w:rPr>
      </w:pPr>
      <w:r w:rsidRPr="001256EA">
        <w:rPr>
          <w:rStyle w:val="rynqvb"/>
          <w:rFonts w:ascii="Times New Roman" w:hAnsi="Times New Roman" w:cs="Times New Roman"/>
          <w:sz w:val="24"/>
          <w:szCs w:val="24"/>
        </w:rPr>
        <w:t>3) is conscious and clearly expresses his/her will.</w:t>
      </w:r>
    </w:p>
    <w:p w14:paraId="1CA98B9F" w14:textId="1C578CDF" w:rsidR="00D92C61" w:rsidRPr="001256EA" w:rsidRDefault="00D92C61" w:rsidP="00265985">
      <w:pPr>
        <w:spacing w:after="0" w:line="360" w:lineRule="auto"/>
        <w:ind w:firstLine="851"/>
        <w:jc w:val="both"/>
        <w:rPr>
          <w:rFonts w:ascii="Times New Roman" w:hAnsi="Times New Roman" w:cs="Times New Roman"/>
          <w:sz w:val="24"/>
          <w:szCs w:val="24"/>
        </w:rPr>
      </w:pPr>
      <w:r w:rsidRPr="001256EA">
        <w:rPr>
          <w:rFonts w:ascii="Times New Roman" w:hAnsi="Times New Roman" w:cs="Times New Roman"/>
          <w:sz w:val="24"/>
          <w:szCs w:val="24"/>
        </w:rPr>
        <w:lastRenderedPageBreak/>
        <w:t>II.</w:t>
      </w:r>
      <w:r w:rsidRPr="001256EA">
        <w:rPr>
          <w:rFonts w:ascii="Times New Roman" w:hAnsi="Times New Roman" w:cs="Times New Roman"/>
          <w:i/>
          <w:iCs/>
          <w:sz w:val="24"/>
          <w:szCs w:val="24"/>
        </w:rPr>
        <w:t xml:space="preserve"> </w:t>
      </w:r>
      <w:r w:rsidRPr="001256EA">
        <w:rPr>
          <w:rFonts w:ascii="Times New Roman" w:hAnsi="Times New Roman" w:cs="Times New Roman"/>
          <w:i/>
          <w:iCs/>
          <w:sz w:val="24"/>
          <w:szCs w:val="24"/>
          <w:u w:val="single"/>
        </w:rPr>
        <w:t xml:space="preserve">Conclusions and </w:t>
      </w:r>
      <w:r w:rsidRPr="001256EA">
        <w:rPr>
          <w:rStyle w:val="rynqvb"/>
          <w:rFonts w:ascii="Times New Roman" w:hAnsi="Times New Roman" w:cs="Times New Roman"/>
          <w:sz w:val="24"/>
          <w:szCs w:val="24"/>
          <w:u w:val="single"/>
        </w:rPr>
        <w:t>recommendations</w:t>
      </w:r>
      <w:r w:rsidRPr="001256EA">
        <w:rPr>
          <w:rFonts w:ascii="Times New Roman" w:hAnsi="Times New Roman" w:cs="Times New Roman"/>
          <w:i/>
          <w:iCs/>
          <w:sz w:val="24"/>
          <w:szCs w:val="24"/>
        </w:rPr>
        <w:t xml:space="preserve"> regarding</w:t>
      </w:r>
      <w:r w:rsidRPr="001256EA">
        <w:rPr>
          <w:rFonts w:ascii="Times New Roman" w:hAnsi="Times New Roman" w:cs="Times New Roman"/>
          <w:sz w:val="24"/>
          <w:szCs w:val="24"/>
        </w:rPr>
        <w:t xml:space="preserve"> the implementation</w:t>
      </w:r>
      <w:r w:rsidR="00276CE7" w:rsidRPr="001256EA">
        <w:rPr>
          <w:sz w:val="24"/>
          <w:szCs w:val="24"/>
        </w:rPr>
        <w:t xml:space="preserve"> </w:t>
      </w:r>
      <w:r w:rsidR="00276CE7" w:rsidRPr="001256EA">
        <w:rPr>
          <w:rFonts w:ascii="Times New Roman" w:hAnsi="Times New Roman" w:cs="Times New Roman"/>
          <w:sz w:val="24"/>
          <w:szCs w:val="24"/>
        </w:rPr>
        <w:t>of the legal institution of euthanasia in the context of national and international law and identification of key problems.</w:t>
      </w:r>
    </w:p>
    <w:p w14:paraId="35E413E0" w14:textId="3FBD12AF" w:rsidR="00351DA3" w:rsidRPr="001256EA" w:rsidRDefault="002142D1" w:rsidP="008C2AF5">
      <w:pPr>
        <w:spacing w:after="0" w:line="360" w:lineRule="auto"/>
        <w:ind w:firstLine="851"/>
        <w:jc w:val="both"/>
        <w:rPr>
          <w:rFonts w:ascii="Times New Roman" w:hAnsi="Times New Roman" w:cs="Times New Roman"/>
          <w:sz w:val="24"/>
          <w:szCs w:val="24"/>
        </w:rPr>
      </w:pPr>
      <w:r w:rsidRPr="001256EA">
        <w:rPr>
          <w:rFonts w:ascii="Times New Roman" w:eastAsia="Calibri" w:hAnsi="Times New Roman" w:cs="Times New Roman"/>
          <w:bCs/>
          <w:sz w:val="24"/>
          <w:szCs w:val="24"/>
        </w:rPr>
        <w:t>3</w:t>
      </w:r>
      <w:r w:rsidR="00AA15C5" w:rsidRPr="001256EA">
        <w:rPr>
          <w:rFonts w:ascii="Times New Roman" w:eastAsia="Calibri" w:hAnsi="Times New Roman" w:cs="Times New Roman"/>
          <w:bCs/>
          <w:sz w:val="24"/>
          <w:szCs w:val="24"/>
        </w:rPr>
        <w:t xml:space="preserve">. </w:t>
      </w:r>
      <w:r w:rsidR="00AA15C5" w:rsidRPr="001256EA">
        <w:rPr>
          <w:rFonts w:ascii="Times New Roman" w:eastAsia="Calibri" w:hAnsi="Times New Roman" w:cs="Times New Roman"/>
          <w:bCs/>
          <w:sz w:val="24"/>
          <w:szCs w:val="24"/>
          <w:u w:val="single"/>
        </w:rPr>
        <w:t>Conclusion:</w:t>
      </w:r>
      <w:r w:rsidR="008C2AF5" w:rsidRPr="001256EA">
        <w:rPr>
          <w:rFonts w:ascii="Times New Roman" w:eastAsia="Calibri" w:hAnsi="Times New Roman" w:cs="Times New Roman"/>
          <w:bCs/>
          <w:sz w:val="24"/>
          <w:szCs w:val="24"/>
          <w:u w:val="single"/>
        </w:rPr>
        <w:t xml:space="preserve"> </w:t>
      </w:r>
      <w:r w:rsidR="008C2AF5" w:rsidRPr="001256EA">
        <w:rPr>
          <w:rFonts w:ascii="Times New Roman" w:eastAsia="Calibri" w:hAnsi="Times New Roman" w:cs="Times New Roman"/>
          <w:bCs/>
          <w:sz w:val="24"/>
          <w:szCs w:val="24"/>
        </w:rPr>
        <w:t>The absence of legalized euthanasia in Lithuania creates conditions where the forced continuation of suffering is against the person's own will and may constitute a violation of dignity. Such laws force a person to live with unbearable pain when the disease is predicted without hope of improvement and thus violate the person's right to dignity.</w:t>
      </w:r>
    </w:p>
    <w:p w14:paraId="3A7E413A" w14:textId="42B3EEA1" w:rsidR="00351DA3" w:rsidRPr="001256EA" w:rsidRDefault="002142D1" w:rsidP="008C2AF5">
      <w:pPr>
        <w:spacing w:after="0" w:line="360" w:lineRule="auto"/>
        <w:ind w:firstLine="851"/>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6</w:t>
      </w:r>
      <w:r w:rsidR="008C2AF5" w:rsidRPr="001256EA">
        <w:rPr>
          <w:rStyle w:val="rynqvb"/>
          <w:rFonts w:ascii="Times New Roman" w:hAnsi="Times New Roman" w:cs="Times New Roman"/>
          <w:sz w:val="24"/>
          <w:szCs w:val="24"/>
          <w:u w:val="single"/>
        </w:rPr>
        <w:t xml:space="preserve">. Recommendation. </w:t>
      </w:r>
      <w:r w:rsidR="008C2AF5" w:rsidRPr="001256EA">
        <w:rPr>
          <w:rFonts w:ascii="Times New Roman" w:hAnsi="Times New Roman" w:cs="Times New Roman"/>
          <w:sz w:val="24"/>
          <w:szCs w:val="24"/>
        </w:rPr>
        <w:t xml:space="preserve">The absence of legalized euthanasia in Lithuania raises fundamental concerns regarding compliance with international human rights standards. When individuals are forced to endure unbearable suffering without the possibility of legal relief, this may constitute not only a violation of dignity but also a breach of the right to private life, autonomy, and freedom from inhuman or degrading treatment as enshrined in the </w:t>
      </w:r>
      <w:r w:rsidR="00600701" w:rsidRPr="00D0195E">
        <w:rPr>
          <w:rFonts w:ascii="Times New Roman" w:eastAsia="Calibri" w:hAnsi="Times New Roman" w:cs="Times New Roman"/>
          <w:sz w:val="24"/>
          <w:szCs w:val="24"/>
        </w:rPr>
        <w:t>Convention</w:t>
      </w:r>
      <w:r w:rsidR="008C2AF5" w:rsidRPr="001256EA">
        <w:rPr>
          <w:rFonts w:ascii="Times New Roman" w:hAnsi="Times New Roman" w:cs="Times New Roman"/>
          <w:sz w:val="24"/>
          <w:szCs w:val="24"/>
        </w:rPr>
        <w:t>. Article 19 of the Constitution of the Republic of Lithuania declares that “The human right to life shall be protected by law.” This provision is interpreted as an absolute prohibition on taking life, but the right to a dignified death as a constitutionally protected part of human dignity (Article 21) is open to debate. An interpretation by the Constitutional Court or an amendment to the Constitution would be required.</w:t>
      </w:r>
    </w:p>
    <w:p w14:paraId="05A8CB39" w14:textId="121F9426" w:rsidR="001C7CF7" w:rsidRPr="001256EA" w:rsidRDefault="002142D1" w:rsidP="001C7CF7">
      <w:pPr>
        <w:spacing w:after="0" w:line="360" w:lineRule="auto"/>
        <w:ind w:firstLine="851"/>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7</w:t>
      </w:r>
      <w:r w:rsidR="008C2AF5" w:rsidRPr="001256EA">
        <w:rPr>
          <w:rStyle w:val="rynqvb"/>
          <w:rFonts w:ascii="Times New Roman" w:hAnsi="Times New Roman" w:cs="Times New Roman"/>
          <w:sz w:val="24"/>
          <w:szCs w:val="24"/>
          <w:u w:val="single"/>
        </w:rPr>
        <w:t>. Recommendation.</w:t>
      </w:r>
      <w:r w:rsidR="00B10F67" w:rsidRPr="001256EA">
        <w:rPr>
          <w:rStyle w:val="rynqvb"/>
          <w:rFonts w:ascii="Times New Roman" w:hAnsi="Times New Roman" w:cs="Times New Roman"/>
          <w:sz w:val="24"/>
          <w:szCs w:val="24"/>
          <w:u w:val="single"/>
        </w:rPr>
        <w:t xml:space="preserve"> </w:t>
      </w:r>
      <w:r w:rsidR="00B10F67" w:rsidRPr="001256EA">
        <w:rPr>
          <w:rStyle w:val="rynqvb"/>
          <w:rFonts w:ascii="Times New Roman" w:hAnsi="Times New Roman" w:cs="Times New Roman"/>
          <w:sz w:val="24"/>
          <w:szCs w:val="24"/>
        </w:rPr>
        <w:t xml:space="preserve">Amendments to Article 129 of the Criminal Code – “Murder.”, “Murder at the request of the victim,” are also recommended, since currently even murder with the consent and request of a person is considered a crime, although the punishment is less. </w:t>
      </w:r>
      <w:r w:rsidR="001C7CF7" w:rsidRPr="001256EA">
        <w:rPr>
          <w:rStyle w:val="rynqvb"/>
          <w:rFonts w:ascii="Times New Roman" w:hAnsi="Times New Roman" w:cs="Times New Roman"/>
          <w:sz w:val="24"/>
          <w:szCs w:val="24"/>
        </w:rPr>
        <w:t>To</w:t>
      </w:r>
      <w:r w:rsidR="00B10F67" w:rsidRPr="001256EA">
        <w:rPr>
          <w:rStyle w:val="rynqvb"/>
          <w:rFonts w:ascii="Times New Roman" w:hAnsi="Times New Roman" w:cs="Times New Roman"/>
          <w:sz w:val="24"/>
          <w:szCs w:val="24"/>
        </w:rPr>
        <w:t xml:space="preserve"> legalize euthanasia, an exception or special case should be provided for when an act performed in accordance with a strictly regulated procedure and at the patient’s will is not considered a crime.</w:t>
      </w:r>
      <w:r w:rsidR="001C7CF7" w:rsidRPr="001256EA">
        <w:rPr>
          <w:rFonts w:ascii="Times New Roman" w:hAnsi="Times New Roman" w:cs="Times New Roman"/>
          <w:sz w:val="24"/>
          <w:szCs w:val="24"/>
        </w:rPr>
        <w:t xml:space="preserve"> Article 134 of the Criminal Code</w:t>
      </w:r>
      <w:r w:rsidR="001C7CF7" w:rsidRPr="001256EA">
        <w:rPr>
          <w:sz w:val="24"/>
          <w:szCs w:val="24"/>
        </w:rPr>
        <w:t xml:space="preserve"> </w:t>
      </w:r>
      <w:r w:rsidR="001C7CF7" w:rsidRPr="001256EA">
        <w:rPr>
          <w:rFonts w:ascii="Times New Roman" w:hAnsi="Times New Roman" w:cs="Times New Roman"/>
          <w:sz w:val="24"/>
          <w:szCs w:val="24"/>
        </w:rPr>
        <w:t xml:space="preserve">To supplement Article 134 of the Criminal Code of the </w:t>
      </w:r>
      <w:r w:rsidR="00D65B83" w:rsidRPr="001256EA">
        <w:rPr>
          <w:rFonts w:ascii="Times New Roman" w:hAnsi="Times New Roman" w:cs="Times New Roman"/>
          <w:sz w:val="24"/>
          <w:szCs w:val="24"/>
        </w:rPr>
        <w:t xml:space="preserve">RL </w:t>
      </w:r>
      <w:r w:rsidR="001C7CF7" w:rsidRPr="001256EA">
        <w:rPr>
          <w:rFonts w:ascii="Times New Roman" w:hAnsi="Times New Roman" w:cs="Times New Roman"/>
          <w:sz w:val="24"/>
          <w:szCs w:val="24"/>
        </w:rPr>
        <w:t>"Assisted suicide": to include in the article cases when assisted suicide or euthanasia is not considered a crime, such as euthanasia:</w:t>
      </w:r>
    </w:p>
    <w:p w14:paraId="3788FE02" w14:textId="101F4BFE" w:rsidR="001C7CF7" w:rsidRPr="001256EA" w:rsidRDefault="001C7CF7" w:rsidP="001C7CF7">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 xml:space="preserve">- is the clearly expressed and confirmed will of a patient suffering from an incurable, fatal disease in repeated </w:t>
      </w:r>
      <w:r w:rsidR="00802402" w:rsidRPr="001256EA">
        <w:rPr>
          <w:rFonts w:ascii="Times New Roman" w:hAnsi="Times New Roman" w:cs="Times New Roman"/>
          <w:i/>
          <w:iCs/>
          <w:sz w:val="24"/>
          <w:szCs w:val="24"/>
        </w:rPr>
        <w:t>requests.</w:t>
      </w:r>
    </w:p>
    <w:p w14:paraId="1D856453" w14:textId="42244FF4" w:rsidR="001C7CF7" w:rsidRPr="001256EA" w:rsidRDefault="001C7CF7" w:rsidP="001C7CF7">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 xml:space="preserve">- the patient's decision should be free, conscious and </w:t>
      </w:r>
      <w:r w:rsidR="003A28A1" w:rsidRPr="001256EA">
        <w:rPr>
          <w:rFonts w:ascii="Times New Roman" w:hAnsi="Times New Roman" w:cs="Times New Roman"/>
          <w:i/>
          <w:iCs/>
          <w:sz w:val="24"/>
          <w:szCs w:val="24"/>
        </w:rPr>
        <w:t>informed.</w:t>
      </w:r>
    </w:p>
    <w:p w14:paraId="21669693" w14:textId="3C8EBC28" w:rsidR="001C7CF7" w:rsidRPr="001256EA" w:rsidRDefault="001C7CF7" w:rsidP="001C7CF7">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 xml:space="preserve">- a council of doctors, having examined the medical documents, confirms that the disease is incurable and the suffering is </w:t>
      </w:r>
      <w:r w:rsidR="00802402" w:rsidRPr="001256EA">
        <w:rPr>
          <w:rFonts w:ascii="Times New Roman" w:hAnsi="Times New Roman" w:cs="Times New Roman"/>
          <w:i/>
          <w:iCs/>
          <w:sz w:val="24"/>
          <w:szCs w:val="24"/>
        </w:rPr>
        <w:t>unbearable.</w:t>
      </w:r>
    </w:p>
    <w:p w14:paraId="77AB57BF" w14:textId="6D544885" w:rsidR="001C7CF7" w:rsidRPr="001256EA" w:rsidRDefault="001C7CF7" w:rsidP="001C7CF7">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 xml:space="preserve">- a special independent commission (e.g., the Health Care Ethics Council) approves the performance of </w:t>
      </w:r>
      <w:r w:rsidR="00802402" w:rsidRPr="001256EA">
        <w:rPr>
          <w:rFonts w:ascii="Times New Roman" w:hAnsi="Times New Roman" w:cs="Times New Roman"/>
          <w:i/>
          <w:iCs/>
          <w:sz w:val="24"/>
          <w:szCs w:val="24"/>
        </w:rPr>
        <w:t>euthanasia.</w:t>
      </w:r>
    </w:p>
    <w:p w14:paraId="03522C22" w14:textId="3161F9A7" w:rsidR="001C7CF7" w:rsidRPr="001256EA" w:rsidRDefault="001C7CF7" w:rsidP="001C7CF7">
      <w:pPr>
        <w:spacing w:after="0" w:line="360" w:lineRule="auto"/>
        <w:ind w:firstLine="851"/>
        <w:jc w:val="both"/>
        <w:rPr>
          <w:rFonts w:ascii="Times New Roman" w:hAnsi="Times New Roman" w:cs="Times New Roman"/>
          <w:i/>
          <w:iCs/>
          <w:sz w:val="24"/>
          <w:szCs w:val="24"/>
        </w:rPr>
      </w:pPr>
      <w:r w:rsidRPr="001256EA">
        <w:rPr>
          <w:rFonts w:ascii="Times New Roman" w:hAnsi="Times New Roman" w:cs="Times New Roman"/>
          <w:i/>
          <w:iCs/>
          <w:sz w:val="24"/>
          <w:szCs w:val="24"/>
        </w:rPr>
        <w:t>-the procedure is performed only by a doctor who has the right to do so, in compliance with the requirements established by law and the Code of Medical Ethics.</w:t>
      </w:r>
    </w:p>
    <w:p w14:paraId="3F666AAC" w14:textId="0C9E2FD4" w:rsidR="008C2AF5" w:rsidRPr="001256EA" w:rsidRDefault="001C7CF7" w:rsidP="001C7CF7">
      <w:pPr>
        <w:spacing w:after="0" w:line="360" w:lineRule="auto"/>
        <w:ind w:firstLine="851"/>
        <w:jc w:val="both"/>
        <w:rPr>
          <w:rStyle w:val="rynqvb"/>
          <w:rFonts w:ascii="Times New Roman" w:hAnsi="Times New Roman" w:cs="Times New Roman"/>
          <w:i/>
          <w:iCs/>
          <w:sz w:val="24"/>
          <w:szCs w:val="24"/>
        </w:rPr>
      </w:pPr>
      <w:r w:rsidRPr="001256EA">
        <w:rPr>
          <w:rFonts w:ascii="Times New Roman" w:hAnsi="Times New Roman" w:cs="Times New Roman"/>
          <w:i/>
          <w:iCs/>
          <w:sz w:val="24"/>
          <w:szCs w:val="24"/>
        </w:rPr>
        <w:lastRenderedPageBreak/>
        <w:t>-for the performance of euthanasia in violation of the conditions established in this Article, criminal liability shall be imposed in accordance with the provisions of this Code.</w:t>
      </w:r>
    </w:p>
    <w:p w14:paraId="1103178A" w14:textId="23B9767C" w:rsidR="00B10F67" w:rsidRPr="001256EA" w:rsidRDefault="002142D1" w:rsidP="00B10F67">
      <w:pPr>
        <w:spacing w:after="0" w:line="360" w:lineRule="auto"/>
        <w:ind w:firstLine="851"/>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8</w:t>
      </w:r>
      <w:r w:rsidR="00B10F67" w:rsidRPr="001256EA">
        <w:rPr>
          <w:rStyle w:val="rynqvb"/>
          <w:rFonts w:ascii="Times New Roman" w:hAnsi="Times New Roman" w:cs="Times New Roman"/>
          <w:sz w:val="24"/>
          <w:szCs w:val="24"/>
          <w:u w:val="single"/>
        </w:rPr>
        <w:t xml:space="preserve">. Recommendation. </w:t>
      </w:r>
      <w:r w:rsidR="00B10F67" w:rsidRPr="001256EA">
        <w:rPr>
          <w:rStyle w:val="rynqvb"/>
          <w:rFonts w:ascii="Times New Roman" w:hAnsi="Times New Roman" w:cs="Times New Roman"/>
          <w:sz w:val="24"/>
          <w:szCs w:val="24"/>
        </w:rPr>
        <w:t>Law on Patients' Rights and Compensation for Damage to Health Currently, it guarantees the right to refuse treatment but does not grant the right to choose euthanasia. It could be supplemented with provisions on the patient's right to a dignified death, clearly regulating the procedure, conditions, and the procedure for informed consent.</w:t>
      </w:r>
    </w:p>
    <w:p w14:paraId="6A6D34C2" w14:textId="1F2E5A3B" w:rsidR="00B10F67" w:rsidRPr="001256EA" w:rsidRDefault="002142D1" w:rsidP="00B10F67">
      <w:pPr>
        <w:spacing w:after="0" w:line="360" w:lineRule="auto"/>
        <w:ind w:firstLine="851"/>
        <w:jc w:val="both"/>
        <w:rPr>
          <w:sz w:val="24"/>
          <w:szCs w:val="24"/>
        </w:rPr>
      </w:pPr>
      <w:r w:rsidRPr="001256EA">
        <w:rPr>
          <w:rStyle w:val="rynqvb"/>
          <w:rFonts w:ascii="Times New Roman" w:hAnsi="Times New Roman" w:cs="Times New Roman"/>
          <w:sz w:val="24"/>
          <w:szCs w:val="24"/>
          <w:u w:val="single"/>
        </w:rPr>
        <w:t>9</w:t>
      </w:r>
      <w:r w:rsidR="00B10F67" w:rsidRPr="001256EA">
        <w:rPr>
          <w:rStyle w:val="rynqvb"/>
          <w:rFonts w:ascii="Times New Roman" w:hAnsi="Times New Roman" w:cs="Times New Roman"/>
          <w:sz w:val="24"/>
          <w:szCs w:val="24"/>
          <w:u w:val="single"/>
        </w:rPr>
        <w:t xml:space="preserve">. Recommendation. </w:t>
      </w:r>
      <w:r w:rsidR="00B10F67" w:rsidRPr="001256EA">
        <w:rPr>
          <w:rFonts w:ascii="Times New Roman" w:hAnsi="Times New Roman" w:cs="Times New Roman"/>
          <w:sz w:val="24"/>
          <w:szCs w:val="24"/>
        </w:rPr>
        <w:t>It is recommended that the Lithuanian Law on Healthcare Institutions / Law on the Health System establish the conditions under which doctors can perform euthanasia, what the control system would be, and what institution would supervise it (e.g., a special commission).</w:t>
      </w:r>
      <w:r w:rsidR="00B10F67" w:rsidRPr="001256EA">
        <w:rPr>
          <w:sz w:val="24"/>
          <w:szCs w:val="24"/>
        </w:rPr>
        <w:t xml:space="preserve"> </w:t>
      </w:r>
    </w:p>
    <w:p w14:paraId="42FB7E00" w14:textId="73109CA1" w:rsidR="00B10F67" w:rsidRPr="001256EA" w:rsidRDefault="002142D1" w:rsidP="00B10F67">
      <w:pPr>
        <w:spacing w:after="0" w:line="360" w:lineRule="auto"/>
        <w:ind w:firstLine="851"/>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10</w:t>
      </w:r>
      <w:r w:rsidR="00B10F67" w:rsidRPr="001256EA">
        <w:rPr>
          <w:rStyle w:val="rynqvb"/>
          <w:rFonts w:ascii="Times New Roman" w:hAnsi="Times New Roman" w:cs="Times New Roman"/>
          <w:sz w:val="24"/>
          <w:szCs w:val="24"/>
          <w:u w:val="single"/>
        </w:rPr>
        <w:t xml:space="preserve">. Recommendation. </w:t>
      </w:r>
      <w:r w:rsidR="00B10F67" w:rsidRPr="001256EA">
        <w:rPr>
          <w:rFonts w:ascii="Times New Roman" w:hAnsi="Times New Roman" w:cs="Times New Roman"/>
          <w:sz w:val="24"/>
          <w:szCs w:val="24"/>
        </w:rPr>
        <w:t xml:space="preserve">The Civil Code of the </w:t>
      </w:r>
      <w:r w:rsidR="000F53EA" w:rsidRPr="001256EA">
        <w:rPr>
          <w:rFonts w:ascii="Times New Roman" w:hAnsi="Times New Roman" w:cs="Times New Roman"/>
          <w:sz w:val="24"/>
          <w:szCs w:val="24"/>
        </w:rPr>
        <w:t>RL</w:t>
      </w:r>
      <w:r w:rsidR="00B10F67" w:rsidRPr="001256EA">
        <w:rPr>
          <w:rFonts w:ascii="Times New Roman" w:hAnsi="Times New Roman" w:cs="Times New Roman"/>
          <w:sz w:val="24"/>
          <w:szCs w:val="24"/>
        </w:rPr>
        <w:t xml:space="preserve"> should be supplemented with provisions on advance directives – documents through which a person, while still conscious, can express their will regarding life support or euthanasia in the future.</w:t>
      </w:r>
    </w:p>
    <w:p w14:paraId="45CDF0A1" w14:textId="7A6F2A79" w:rsidR="00351DA3" w:rsidRPr="001256EA" w:rsidRDefault="002142D1" w:rsidP="000D3D61">
      <w:pPr>
        <w:spacing w:after="0" w:line="360" w:lineRule="auto"/>
        <w:ind w:firstLine="709"/>
        <w:jc w:val="both"/>
        <w:rPr>
          <w:rFonts w:ascii="Times New Roman" w:eastAsia="Calibri" w:hAnsi="Times New Roman" w:cs="Times New Roman"/>
          <w:bCs/>
          <w:sz w:val="24"/>
          <w:szCs w:val="24"/>
        </w:rPr>
      </w:pPr>
      <w:r w:rsidRPr="001256EA">
        <w:rPr>
          <w:rFonts w:ascii="Times New Roman" w:eastAsia="Calibri" w:hAnsi="Times New Roman" w:cs="Times New Roman"/>
          <w:bCs/>
          <w:sz w:val="24"/>
          <w:szCs w:val="24"/>
        </w:rPr>
        <w:t>4</w:t>
      </w:r>
      <w:r w:rsidR="00E53C34" w:rsidRPr="001256EA">
        <w:rPr>
          <w:rFonts w:ascii="Times New Roman" w:eastAsia="Calibri" w:hAnsi="Times New Roman" w:cs="Times New Roman"/>
          <w:bCs/>
          <w:sz w:val="24"/>
          <w:szCs w:val="24"/>
        </w:rPr>
        <w:t xml:space="preserve">. </w:t>
      </w:r>
      <w:r w:rsidR="00E53C34" w:rsidRPr="001256EA">
        <w:rPr>
          <w:rFonts w:ascii="Times New Roman" w:eastAsia="Calibri" w:hAnsi="Times New Roman" w:cs="Times New Roman"/>
          <w:bCs/>
          <w:sz w:val="24"/>
          <w:szCs w:val="24"/>
          <w:u w:val="single"/>
        </w:rPr>
        <w:t xml:space="preserve">Conclusion: </w:t>
      </w:r>
      <w:r w:rsidR="009F5EFE" w:rsidRPr="001256EA">
        <w:rPr>
          <w:rFonts w:ascii="Times New Roman" w:eastAsia="Calibri" w:hAnsi="Times New Roman" w:cs="Times New Roman"/>
          <w:bCs/>
          <w:sz w:val="24"/>
          <w:szCs w:val="24"/>
        </w:rPr>
        <w:t xml:space="preserve">The provision of Article 2 of the Law of the Republic of Lithuania on the Determination of Human Death and Critical Condition regarding “hopeless resuscitation” essentially shows that: the patient’s will </w:t>
      </w:r>
      <w:r w:rsidR="000D3D61" w:rsidRPr="001256EA">
        <w:rPr>
          <w:rFonts w:ascii="Times New Roman" w:eastAsia="Calibri" w:hAnsi="Times New Roman" w:cs="Times New Roman"/>
          <w:bCs/>
          <w:sz w:val="24"/>
          <w:szCs w:val="24"/>
        </w:rPr>
        <w:t>be</w:t>
      </w:r>
      <w:r w:rsidR="009F5EFE" w:rsidRPr="001256EA">
        <w:rPr>
          <w:rFonts w:ascii="Times New Roman" w:eastAsia="Calibri" w:hAnsi="Times New Roman" w:cs="Times New Roman"/>
          <w:bCs/>
          <w:sz w:val="24"/>
          <w:szCs w:val="24"/>
        </w:rPr>
        <w:t xml:space="preserve"> not the only one – the consent of the council (doctors’ decision) is also necessary. The law is based on the principle of maximally preserving life, even in the case of a hopeless prognosis. Such regulation is very paternalistic – it gives priority to the attitude of doctors and the state, rather than the autonomy of the patient.</w:t>
      </w:r>
      <w:r w:rsidR="00E53C34" w:rsidRPr="001256EA">
        <w:rPr>
          <w:rFonts w:ascii="Times New Roman" w:eastAsia="Calibri" w:hAnsi="Times New Roman" w:cs="Times New Roman"/>
          <w:bCs/>
          <w:sz w:val="24"/>
          <w:szCs w:val="24"/>
        </w:rPr>
        <w:t xml:space="preserve"> </w:t>
      </w:r>
    </w:p>
    <w:p w14:paraId="4B3D4A22" w14:textId="15BD6CA1" w:rsidR="00D92C61" w:rsidRPr="001256EA" w:rsidRDefault="000D3D61" w:rsidP="00D92C61">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1</w:t>
      </w:r>
      <w:r w:rsidR="002142D1" w:rsidRPr="001256EA">
        <w:rPr>
          <w:rStyle w:val="rynqvb"/>
          <w:rFonts w:ascii="Times New Roman" w:hAnsi="Times New Roman" w:cs="Times New Roman"/>
          <w:sz w:val="24"/>
          <w:szCs w:val="24"/>
          <w:u w:val="single"/>
        </w:rPr>
        <w:t>1</w:t>
      </w:r>
      <w:r w:rsidRPr="001256EA">
        <w:rPr>
          <w:rStyle w:val="rynqvb"/>
          <w:rFonts w:ascii="Times New Roman" w:hAnsi="Times New Roman" w:cs="Times New Roman"/>
          <w:sz w:val="24"/>
          <w:szCs w:val="24"/>
          <w:u w:val="single"/>
        </w:rPr>
        <w:t xml:space="preserve">. Recommendation. </w:t>
      </w:r>
      <w:r w:rsidRPr="001256EA">
        <w:rPr>
          <w:rStyle w:val="rynqvb"/>
          <w:rFonts w:ascii="Times New Roman" w:hAnsi="Times New Roman" w:cs="Times New Roman"/>
          <w:sz w:val="24"/>
          <w:szCs w:val="24"/>
        </w:rPr>
        <w:t xml:space="preserve">The Law of the Republic of Lithuania on the Determination of Human Death and Critical Condition recommends establishing the patient's prior will and a clear consent mechanism, like the models of advanced countries (e.g., the Netherlands, Belgium). For example: "a patient has the right to refuse resuscitation or other life-sustaining procedures if a medically determined hopeless condition is present. In such a case, the decision of the medical council is required only to confirm the patient's condition, but not to deny the patient's will." This would mean that: the medical council would no longer have the right to veto but would only state the patient's medical condition. The patient's will </w:t>
      </w:r>
      <w:r w:rsidR="00D92C61" w:rsidRPr="001256EA">
        <w:rPr>
          <w:rStyle w:val="rynqvb"/>
          <w:rFonts w:ascii="Times New Roman" w:hAnsi="Times New Roman" w:cs="Times New Roman"/>
          <w:sz w:val="24"/>
          <w:szCs w:val="24"/>
        </w:rPr>
        <w:t>be</w:t>
      </w:r>
      <w:r w:rsidRPr="001256EA">
        <w:rPr>
          <w:rStyle w:val="rynqvb"/>
          <w:rFonts w:ascii="Times New Roman" w:hAnsi="Times New Roman" w:cs="Times New Roman"/>
          <w:sz w:val="24"/>
          <w:szCs w:val="24"/>
        </w:rPr>
        <w:t xml:space="preserve"> primary, especially if it is expressed in advance (e.g., in a will for health).</w:t>
      </w:r>
    </w:p>
    <w:p w14:paraId="0C4C1F8E" w14:textId="1EFD1BF4" w:rsidR="00D92C61" w:rsidRPr="001256EA" w:rsidRDefault="002142D1" w:rsidP="00D92C61">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w:t>
      </w:r>
      <w:r w:rsidR="000D3D61" w:rsidRPr="001256EA">
        <w:rPr>
          <w:rStyle w:val="rynqvb"/>
          <w:rFonts w:ascii="Times New Roman" w:hAnsi="Times New Roman" w:cs="Times New Roman"/>
          <w:sz w:val="24"/>
          <w:szCs w:val="24"/>
          <w:u w:val="single"/>
        </w:rPr>
        <w:t xml:space="preserve">2. Recommendation. </w:t>
      </w:r>
      <w:r w:rsidR="000D3D61" w:rsidRPr="001256EA">
        <w:rPr>
          <w:rStyle w:val="rynqvb"/>
          <w:rFonts w:ascii="Times New Roman" w:hAnsi="Times New Roman" w:cs="Times New Roman"/>
          <w:sz w:val="24"/>
          <w:szCs w:val="24"/>
        </w:rPr>
        <w:t>The amendment to the law could be formulated as follows: "The expressed will of a patient in a hopeless condition to refuse resuscitation or life-support measures is binding on healthcare institutions. The decision of the doctors' council is necessary only to determine the patient's condition." Such an addition would be the first real step bringing the Lithuanian system closer to the passive euthanasia model, and in the long run - to the legalization of active euthanasia.</w:t>
      </w:r>
    </w:p>
    <w:p w14:paraId="6680417C" w14:textId="279A9F51" w:rsidR="00D92C61" w:rsidRPr="001256EA" w:rsidRDefault="002142D1" w:rsidP="00D92C61">
      <w:pPr>
        <w:spacing w:after="0" w:line="360" w:lineRule="auto"/>
        <w:ind w:firstLine="709"/>
        <w:jc w:val="both"/>
        <w:rPr>
          <w:rFonts w:ascii="Times New Roman" w:hAnsi="Times New Roman" w:cs="Times New Roman"/>
          <w:sz w:val="24"/>
          <w:szCs w:val="24"/>
        </w:rPr>
      </w:pPr>
      <w:r w:rsidRPr="001256EA">
        <w:rPr>
          <w:rFonts w:ascii="Times New Roman" w:eastAsia="Calibri" w:hAnsi="Times New Roman" w:cs="Times New Roman"/>
          <w:bCs/>
          <w:sz w:val="24"/>
          <w:szCs w:val="24"/>
        </w:rPr>
        <w:lastRenderedPageBreak/>
        <w:t>5</w:t>
      </w:r>
      <w:r w:rsidR="00BC46E8" w:rsidRPr="001256EA">
        <w:rPr>
          <w:rFonts w:ascii="Times New Roman" w:eastAsia="Calibri" w:hAnsi="Times New Roman" w:cs="Times New Roman"/>
          <w:bCs/>
          <w:sz w:val="24"/>
          <w:szCs w:val="24"/>
        </w:rPr>
        <w:t xml:space="preserve">. </w:t>
      </w:r>
      <w:r w:rsidR="00BC46E8" w:rsidRPr="001256EA">
        <w:rPr>
          <w:rFonts w:ascii="Times New Roman" w:eastAsia="Calibri" w:hAnsi="Times New Roman" w:cs="Times New Roman"/>
          <w:bCs/>
          <w:sz w:val="24"/>
          <w:szCs w:val="24"/>
          <w:u w:val="single"/>
        </w:rPr>
        <w:t>Conclusion:</w:t>
      </w:r>
      <w:r w:rsidR="00BC46E8" w:rsidRPr="001256EA">
        <w:rPr>
          <w:rFonts w:ascii="Times New Roman" w:hAnsi="Times New Roman" w:cs="Times New Roman"/>
          <w:sz w:val="24"/>
          <w:szCs w:val="24"/>
        </w:rPr>
        <w:t xml:space="preserve"> The right to refuse treatment under Lithuanian law means that a patient may not agree to medical professionals applying invasive life-sustaining measures. Such a decision is considered an expression of the patient's autonomy, not a crime, and therefore doctors are not liable for carrying out the patient's will. It should be noted that a patient's decision to refuse treatment is not identical to suicide - the patient is simply allowed to die naturally while the disease, without artificially prolonging vital functions. However, this may mean that a person will experience unbearable pain before death, thus violating the person's right to dignity.</w:t>
      </w:r>
    </w:p>
    <w:p w14:paraId="2893EF91" w14:textId="71DEA3F0" w:rsidR="00D92C61" w:rsidRPr="001256EA" w:rsidRDefault="00BC46E8" w:rsidP="00D92C61">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w:t>
      </w:r>
      <w:r w:rsidR="002142D1" w:rsidRPr="001256EA">
        <w:rPr>
          <w:rStyle w:val="rynqvb"/>
          <w:rFonts w:ascii="Times New Roman" w:hAnsi="Times New Roman" w:cs="Times New Roman"/>
          <w:sz w:val="24"/>
          <w:szCs w:val="24"/>
          <w:u w:val="single"/>
        </w:rPr>
        <w:t>3</w:t>
      </w:r>
      <w:r w:rsidRPr="001256EA">
        <w:rPr>
          <w:rStyle w:val="rynqvb"/>
          <w:rFonts w:ascii="Times New Roman" w:hAnsi="Times New Roman" w:cs="Times New Roman"/>
          <w:sz w:val="24"/>
          <w:szCs w:val="24"/>
          <w:u w:val="single"/>
        </w:rPr>
        <w:t xml:space="preserve">. Recommendation. </w:t>
      </w:r>
      <w:r w:rsidRPr="001256EA">
        <w:rPr>
          <w:rStyle w:val="rynqvb"/>
          <w:rFonts w:ascii="Times New Roman" w:hAnsi="Times New Roman" w:cs="Times New Roman"/>
          <w:sz w:val="24"/>
          <w:szCs w:val="24"/>
        </w:rPr>
        <w:t>To address this problem, it is recommended to strengthen palliative and pain relief care and to establish by law that patients who refuse treatment or life-sustaining measures are automatically provided with maximum palliative care (pain relief, sedation, psychological support). This should not only be at the discretion of the doctor, but also the patient's right to free and prompt access to such measures. It is also recommended to create a national "palliative care guarantee package" - so that people know that their suffering will be minimized.</w:t>
      </w:r>
    </w:p>
    <w:p w14:paraId="287E6763" w14:textId="5F19B048" w:rsidR="00D92C61" w:rsidRPr="001256EA" w:rsidRDefault="002142D1" w:rsidP="00D92C61">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14</w:t>
      </w:r>
      <w:r w:rsidR="00BC46E8" w:rsidRPr="001256EA">
        <w:rPr>
          <w:rStyle w:val="rynqvb"/>
          <w:rFonts w:ascii="Times New Roman" w:hAnsi="Times New Roman" w:cs="Times New Roman"/>
          <w:sz w:val="24"/>
          <w:szCs w:val="24"/>
          <w:u w:val="single"/>
        </w:rPr>
        <w:t>. Recommendation.</w:t>
      </w:r>
      <w:r w:rsidR="00BC46E8" w:rsidRPr="001256EA">
        <w:rPr>
          <w:sz w:val="24"/>
          <w:szCs w:val="24"/>
        </w:rPr>
        <w:t xml:space="preserve"> </w:t>
      </w:r>
      <w:r w:rsidR="00BC46E8" w:rsidRPr="001256EA">
        <w:rPr>
          <w:rStyle w:val="rynqvb"/>
          <w:rFonts w:ascii="Times New Roman" w:hAnsi="Times New Roman" w:cs="Times New Roman"/>
          <w:sz w:val="24"/>
          <w:szCs w:val="24"/>
        </w:rPr>
        <w:t>It is recommended to establish the right to “doctor-induced terminal sedation”. When a patient is terminally ill, in unbearable pain and has refused invasive procedures, the law could allow a doctor to apply terminal sedation (i.e. a medical procedure to suppress consciousness until natural death). This would not be euthanasia, but the right to a painless and dignified death. Such a model is already applied in some EU countries, for example, in France.</w:t>
      </w:r>
    </w:p>
    <w:p w14:paraId="2F7C848C" w14:textId="1D7B5481" w:rsidR="00D92C61" w:rsidRPr="001256EA" w:rsidRDefault="002142D1" w:rsidP="00D92C61">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15</w:t>
      </w:r>
      <w:r w:rsidR="00BC46E8" w:rsidRPr="001256EA">
        <w:rPr>
          <w:rStyle w:val="rynqvb"/>
          <w:rFonts w:ascii="Times New Roman" w:hAnsi="Times New Roman" w:cs="Times New Roman"/>
          <w:sz w:val="24"/>
          <w:szCs w:val="24"/>
          <w:u w:val="single"/>
        </w:rPr>
        <w:t>. Recommendation.</w:t>
      </w:r>
      <w:r w:rsidR="00937B08" w:rsidRPr="001256EA">
        <w:rPr>
          <w:sz w:val="24"/>
          <w:szCs w:val="24"/>
        </w:rPr>
        <w:t xml:space="preserve"> </w:t>
      </w:r>
      <w:r w:rsidR="00937B08" w:rsidRPr="001256EA">
        <w:rPr>
          <w:rStyle w:val="rynqvb"/>
          <w:rFonts w:ascii="Times New Roman" w:hAnsi="Times New Roman" w:cs="Times New Roman"/>
          <w:sz w:val="24"/>
          <w:szCs w:val="24"/>
        </w:rPr>
        <w:t>It is recommended to create an "Advance Will Document", thus legalizing the possibility of signing a document in advance in which a person indicates that he or she refuses artificial life extension and wishes for maximum pain relief and (if possible) terminal sedation. This would ensure that the patient's decision will be carried out without interpretation and conflicts between doctors and relatives.</w:t>
      </w:r>
    </w:p>
    <w:p w14:paraId="03980CE6" w14:textId="316AAA2D" w:rsidR="00276CE7" w:rsidRPr="001256EA" w:rsidRDefault="002142D1" w:rsidP="00276CE7">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sz w:val="24"/>
          <w:szCs w:val="24"/>
        </w:rPr>
        <w:t>16</w:t>
      </w:r>
      <w:r w:rsidR="00937B08" w:rsidRPr="001256EA">
        <w:rPr>
          <w:rStyle w:val="rynqvb"/>
          <w:rFonts w:ascii="Times New Roman" w:hAnsi="Times New Roman" w:cs="Times New Roman"/>
          <w:sz w:val="24"/>
          <w:szCs w:val="24"/>
        </w:rPr>
        <w:t xml:space="preserve">. </w:t>
      </w:r>
      <w:r w:rsidR="00937B08" w:rsidRPr="001256EA">
        <w:rPr>
          <w:rStyle w:val="rynqvb"/>
          <w:rFonts w:ascii="Times New Roman" w:hAnsi="Times New Roman" w:cs="Times New Roman"/>
          <w:sz w:val="24"/>
          <w:szCs w:val="24"/>
          <w:u w:val="single"/>
        </w:rPr>
        <w:t>Recommendation.</w:t>
      </w:r>
      <w:r w:rsidR="00937B08" w:rsidRPr="001256EA">
        <w:rPr>
          <w:sz w:val="24"/>
          <w:szCs w:val="24"/>
        </w:rPr>
        <w:t xml:space="preserve"> </w:t>
      </w:r>
      <w:r w:rsidR="00937B08" w:rsidRPr="001256EA">
        <w:rPr>
          <w:rStyle w:val="rynqvb"/>
          <w:rFonts w:ascii="Times New Roman" w:hAnsi="Times New Roman" w:cs="Times New Roman"/>
          <w:sz w:val="24"/>
          <w:szCs w:val="24"/>
        </w:rPr>
        <w:t>Lithuania could consider legalizing active euthanasia or assisted suicide through a separate Euthanasia Law</w:t>
      </w:r>
      <w:r w:rsidR="003A28A1" w:rsidRPr="001256EA">
        <w:rPr>
          <w:rStyle w:val="rynqvb"/>
          <w:rFonts w:ascii="Times New Roman" w:hAnsi="Times New Roman" w:cs="Times New Roman"/>
          <w:sz w:val="24"/>
          <w:szCs w:val="24"/>
        </w:rPr>
        <w:t>. From a legal point of view, the legalization of active euthanasia or assisted suicide in Lithuania could be considered only after the adoption of a separate Law on Euthanasia. Such a decision would allow for a clear demarcation of this area from the general norms of the Criminal Code, which currently treat any form of taking life or assisting suicide as a criminal offense. A special law would make it possible to regulate in detail the conditions of application, the rights and obligations of subjects, and the limits of liability, thus avoiding legal uncertainties and fragmentary exceptions.</w:t>
      </w:r>
    </w:p>
    <w:p w14:paraId="4AE8B80E" w14:textId="25A9F13A" w:rsidR="00351DA3" w:rsidRPr="001256EA" w:rsidRDefault="00276CE7" w:rsidP="00276CE7">
      <w:pPr>
        <w:spacing w:after="0" w:line="360" w:lineRule="auto"/>
        <w:ind w:firstLine="709"/>
        <w:jc w:val="both"/>
        <w:rPr>
          <w:rFonts w:ascii="Times New Roman" w:hAnsi="Times New Roman" w:cs="Times New Roman"/>
          <w:sz w:val="24"/>
          <w:szCs w:val="24"/>
        </w:rPr>
      </w:pPr>
      <w:r w:rsidRPr="001256EA">
        <w:rPr>
          <w:rFonts w:ascii="Times New Roman" w:hAnsi="Times New Roman" w:cs="Times New Roman"/>
          <w:sz w:val="24"/>
          <w:szCs w:val="24"/>
        </w:rPr>
        <w:lastRenderedPageBreak/>
        <w:t>III. Conclusions and recommendations regarding the legal regulation of the practical application of euthanasia.</w:t>
      </w:r>
    </w:p>
    <w:p w14:paraId="14A6B9ED" w14:textId="390CD741" w:rsidR="00791D87" w:rsidRPr="001256EA" w:rsidRDefault="002142D1" w:rsidP="00276CE7">
      <w:pPr>
        <w:spacing w:after="0" w:line="360" w:lineRule="auto"/>
        <w:ind w:firstLine="709"/>
        <w:jc w:val="both"/>
        <w:rPr>
          <w:rFonts w:ascii="Times New Roman" w:hAnsi="Times New Roman" w:cs="Times New Roman"/>
          <w:sz w:val="24"/>
          <w:szCs w:val="24"/>
        </w:rPr>
      </w:pPr>
      <w:r w:rsidRPr="001256EA">
        <w:rPr>
          <w:rFonts w:ascii="Times New Roman" w:eastAsia="Calibri" w:hAnsi="Times New Roman" w:cs="Times New Roman"/>
          <w:bCs/>
          <w:sz w:val="24"/>
          <w:szCs w:val="24"/>
        </w:rPr>
        <w:t>6</w:t>
      </w:r>
      <w:r w:rsidR="00791D87" w:rsidRPr="001256EA">
        <w:rPr>
          <w:rFonts w:ascii="Times New Roman" w:eastAsia="Calibri" w:hAnsi="Times New Roman" w:cs="Times New Roman"/>
          <w:bCs/>
          <w:sz w:val="24"/>
          <w:szCs w:val="24"/>
        </w:rPr>
        <w:t xml:space="preserve">. </w:t>
      </w:r>
      <w:r w:rsidR="00791D87" w:rsidRPr="001256EA">
        <w:rPr>
          <w:rFonts w:ascii="Times New Roman" w:eastAsia="Calibri" w:hAnsi="Times New Roman" w:cs="Times New Roman"/>
          <w:bCs/>
          <w:sz w:val="24"/>
          <w:szCs w:val="24"/>
          <w:u w:val="single"/>
        </w:rPr>
        <w:t>Conclusion:</w:t>
      </w:r>
      <w:r w:rsidR="00E3103F" w:rsidRPr="001256EA">
        <w:rPr>
          <w:rFonts w:ascii="Times New Roman" w:hAnsi="Times New Roman" w:cs="Times New Roman"/>
          <w:sz w:val="24"/>
          <w:szCs w:val="24"/>
        </w:rPr>
        <w:t xml:space="preserve"> </w:t>
      </w:r>
      <w:r w:rsidR="004A64E6" w:rsidRPr="001256EA">
        <w:rPr>
          <w:rFonts w:ascii="Times New Roman" w:hAnsi="Times New Roman" w:cs="Times New Roman"/>
          <w:sz w:val="24"/>
          <w:szCs w:val="24"/>
        </w:rPr>
        <w:t>Thematic analysis of the survey results showed a broad consensus on key measures to prevent abuse in the euthanasia institute. Several expert groups emphasized independent oversight and monitoring, emphasizing the role of review bodies, audit and ethics committees in ensuring compliance. Some interviewees agreed on the need for transparent complaint and reporting mechanisms, emphasizing comprehensive documentation and clear accountability processes to effectively address issues of misconduct. Other experts participating in the empirical study focused on ongoing ethical and legal review, emphasizing the importance of regulatory updates and ethical vigilance in responding to emerging challenges. In addition, some interviewees emphasized ethical culture and professional training aimed at strengthening the ethical responsibility of healthcare providers. Finally, the expert group emphasized public awareness and trust building, linking transparency and public engagement with abuse prevention.</w:t>
      </w:r>
    </w:p>
    <w:p w14:paraId="2869B606" w14:textId="3CAA996D" w:rsidR="004A64E6" w:rsidRPr="001256EA" w:rsidRDefault="00276CE7" w:rsidP="004A64E6">
      <w:pPr>
        <w:spacing w:after="0" w:line="360" w:lineRule="auto"/>
        <w:ind w:firstLine="709"/>
        <w:jc w:val="both"/>
        <w:rPr>
          <w:sz w:val="24"/>
          <w:szCs w:val="24"/>
        </w:rPr>
      </w:pPr>
      <w:r w:rsidRPr="001256EA">
        <w:rPr>
          <w:rStyle w:val="rynqvb"/>
          <w:rFonts w:ascii="Times New Roman" w:hAnsi="Times New Roman" w:cs="Times New Roman"/>
          <w:sz w:val="24"/>
          <w:szCs w:val="24"/>
          <w:u w:val="single"/>
        </w:rPr>
        <w:t>1</w:t>
      </w:r>
      <w:r w:rsidR="002142D1" w:rsidRPr="001256EA">
        <w:rPr>
          <w:rStyle w:val="rynqvb"/>
          <w:rFonts w:ascii="Times New Roman" w:hAnsi="Times New Roman" w:cs="Times New Roman"/>
          <w:sz w:val="24"/>
          <w:szCs w:val="24"/>
          <w:u w:val="single"/>
        </w:rPr>
        <w:t>7</w:t>
      </w:r>
      <w:r w:rsidRPr="001256EA">
        <w:rPr>
          <w:rStyle w:val="rynqvb"/>
          <w:rFonts w:ascii="Times New Roman" w:hAnsi="Times New Roman" w:cs="Times New Roman"/>
          <w:sz w:val="24"/>
          <w:szCs w:val="24"/>
          <w:u w:val="single"/>
        </w:rPr>
        <w:t>. Recommendation.</w:t>
      </w:r>
      <w:r w:rsidR="004A64E6" w:rsidRPr="001256EA">
        <w:rPr>
          <w:sz w:val="24"/>
          <w:szCs w:val="24"/>
        </w:rPr>
        <w:t xml:space="preserve"> </w:t>
      </w:r>
      <w:r w:rsidR="004A64E6" w:rsidRPr="001256EA">
        <w:rPr>
          <w:rStyle w:val="rynqvb"/>
          <w:rFonts w:ascii="Times New Roman" w:hAnsi="Times New Roman" w:cs="Times New Roman"/>
          <w:sz w:val="24"/>
          <w:szCs w:val="24"/>
        </w:rPr>
        <w:t>It is proposed to establish clearer legal requirements regarding the composition and competences of independent supervisory authorities. To legislate a mandatory regular systematic review of ethical and legal supervision.</w:t>
      </w:r>
      <w:r w:rsidR="004A64E6" w:rsidRPr="001256EA">
        <w:rPr>
          <w:sz w:val="24"/>
          <w:szCs w:val="24"/>
        </w:rPr>
        <w:t xml:space="preserve"> </w:t>
      </w:r>
    </w:p>
    <w:p w14:paraId="034E89E4" w14:textId="317BCC86" w:rsidR="00276CE7" w:rsidRPr="001256EA" w:rsidRDefault="004A64E6" w:rsidP="004A64E6">
      <w:pPr>
        <w:spacing w:after="0" w:line="360" w:lineRule="auto"/>
        <w:ind w:firstLine="709"/>
        <w:jc w:val="both"/>
        <w:rPr>
          <w:rStyle w:val="rynqvb"/>
          <w:rFonts w:ascii="Times New Roman" w:hAnsi="Times New Roman" w:cs="Times New Roman"/>
          <w:i/>
          <w:iCs/>
          <w:sz w:val="24"/>
          <w:szCs w:val="24"/>
        </w:rPr>
      </w:pPr>
      <w:r w:rsidRPr="001256EA">
        <w:rPr>
          <w:rFonts w:ascii="Times New Roman" w:hAnsi="Times New Roman" w:cs="Times New Roman"/>
          <w:sz w:val="24"/>
          <w:szCs w:val="24"/>
        </w:rPr>
        <w:t xml:space="preserve">A) </w:t>
      </w:r>
      <w:r w:rsidRPr="001256EA">
        <w:rPr>
          <w:rStyle w:val="rynqvb"/>
          <w:rFonts w:ascii="Times New Roman" w:hAnsi="Times New Roman" w:cs="Times New Roman"/>
          <w:i/>
          <w:iCs/>
          <w:sz w:val="24"/>
          <w:szCs w:val="24"/>
        </w:rPr>
        <w:t>Since there is currently no legal norm in Lithuania that would allow euthanasia, whether active or passive, a “Law on Euthanasia” should be adopted. This would be the first substantive act that would set out the entire regulatory framework: what euthanasia is, the conditions that allow its application, who is legally responsible, control mechanisms, traceability, and complaint handling.</w:t>
      </w:r>
    </w:p>
    <w:p w14:paraId="4AE75CC2" w14:textId="5A5F097C" w:rsidR="004A64E6" w:rsidRPr="001256EA" w:rsidRDefault="004A64E6" w:rsidP="004A64E6">
      <w:pPr>
        <w:spacing w:after="0" w:line="360" w:lineRule="auto"/>
        <w:ind w:firstLine="709"/>
        <w:jc w:val="both"/>
        <w:rPr>
          <w:rStyle w:val="rynqvb"/>
          <w:rFonts w:ascii="Times New Roman" w:hAnsi="Times New Roman" w:cs="Times New Roman"/>
          <w:i/>
          <w:iCs/>
          <w:sz w:val="24"/>
          <w:szCs w:val="24"/>
        </w:rPr>
      </w:pPr>
      <w:r w:rsidRPr="001256EA">
        <w:rPr>
          <w:rStyle w:val="rynqvb"/>
          <w:rFonts w:ascii="Times New Roman" w:hAnsi="Times New Roman" w:cs="Times New Roman"/>
          <w:i/>
          <w:iCs/>
          <w:sz w:val="24"/>
          <w:szCs w:val="24"/>
        </w:rPr>
        <w:t>B)</w:t>
      </w:r>
      <w:r w:rsidR="0053560F" w:rsidRPr="001256EA">
        <w:rPr>
          <w:sz w:val="24"/>
          <w:szCs w:val="24"/>
        </w:rPr>
        <w:t xml:space="preserve"> </w:t>
      </w:r>
      <w:r w:rsidR="0053560F" w:rsidRPr="001256EA">
        <w:rPr>
          <w:rStyle w:val="rynqvb"/>
          <w:rFonts w:ascii="Times New Roman" w:hAnsi="Times New Roman" w:cs="Times New Roman"/>
          <w:i/>
          <w:iCs/>
          <w:sz w:val="24"/>
          <w:szCs w:val="24"/>
        </w:rPr>
        <w:t>Amendments to the Criminal Code should be made to clarify when a physician/other person acts lawfully (e.g., in compliance with the law) and when criminal liability would apply; conditions should be defined under which criminal liability would be exempted (e.g., when euthanasia is regulated and performed in accordance with all requirements).</w:t>
      </w:r>
    </w:p>
    <w:p w14:paraId="0756ED14" w14:textId="77777777" w:rsidR="0053560F" w:rsidRPr="001256EA" w:rsidRDefault="0053560F" w:rsidP="0053560F">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i/>
          <w:iCs/>
          <w:sz w:val="24"/>
          <w:szCs w:val="24"/>
        </w:rPr>
        <w:t>C) The Law on Healthcare Institutions must establish the responsibilities of healthcare institutions (e.g. hospitals, palliative care centers): licensing, supervision, auditing, composition of ethics committees, responsibility for documentation, and complaint handling.</w:t>
      </w:r>
    </w:p>
    <w:p w14:paraId="118AA738" w14:textId="1A23798A" w:rsidR="00351DA3" w:rsidRPr="001256EA" w:rsidRDefault="002142D1"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18</w:t>
      </w:r>
      <w:r w:rsidR="0053560F" w:rsidRPr="001256EA">
        <w:rPr>
          <w:rStyle w:val="rynqvb"/>
          <w:rFonts w:ascii="Times New Roman" w:hAnsi="Times New Roman" w:cs="Times New Roman"/>
          <w:sz w:val="24"/>
          <w:szCs w:val="24"/>
          <w:u w:val="single"/>
        </w:rPr>
        <w:t xml:space="preserve">. Recommendation. </w:t>
      </w:r>
      <w:r w:rsidR="0053560F" w:rsidRPr="001256EA">
        <w:rPr>
          <w:rStyle w:val="rynqvb"/>
          <w:rFonts w:ascii="Times New Roman" w:hAnsi="Times New Roman" w:cs="Times New Roman"/>
          <w:sz w:val="24"/>
          <w:szCs w:val="24"/>
        </w:rPr>
        <w:t xml:space="preserve">Create a permanent interdisciplinary oversight mechanism (e.g., </w:t>
      </w:r>
      <w:r w:rsidRPr="001256EA">
        <w:rPr>
          <w:rStyle w:val="rynqvb"/>
          <w:rFonts w:ascii="Times New Roman" w:hAnsi="Times New Roman" w:cs="Times New Roman"/>
          <w:sz w:val="24"/>
          <w:szCs w:val="24"/>
        </w:rPr>
        <w:t>bring</w:t>
      </w:r>
      <w:r w:rsidR="0053560F" w:rsidRPr="001256EA">
        <w:rPr>
          <w:rStyle w:val="rynqvb"/>
          <w:rFonts w:ascii="Times New Roman" w:hAnsi="Times New Roman" w:cs="Times New Roman"/>
          <w:sz w:val="24"/>
          <w:szCs w:val="24"/>
        </w:rPr>
        <w:t xml:space="preserve"> together doctors, lawyers, ethics experts) and implement a centralized complaint registration and handling system that ensures traceability.</w:t>
      </w:r>
      <w:r w:rsidR="00510E77" w:rsidRPr="001256EA">
        <w:rPr>
          <w:sz w:val="24"/>
          <w:szCs w:val="24"/>
        </w:rPr>
        <w:t xml:space="preserve"> </w:t>
      </w:r>
      <w:r w:rsidR="00510E77" w:rsidRPr="001256EA">
        <w:rPr>
          <w:rStyle w:val="rynqvb"/>
          <w:rFonts w:ascii="Times New Roman" w:hAnsi="Times New Roman" w:cs="Times New Roman"/>
          <w:sz w:val="24"/>
          <w:szCs w:val="24"/>
        </w:rPr>
        <w:t xml:space="preserve">A permanent interdisciplinary supervisory body, bringing together doctors, lawyers and bioethicists, would ensure a comprehensive assessment of decisions. Such a joint assessment would reduce the risk that </w:t>
      </w:r>
      <w:r w:rsidR="00510E77" w:rsidRPr="001256EA">
        <w:rPr>
          <w:rStyle w:val="rynqvb"/>
          <w:rFonts w:ascii="Times New Roman" w:hAnsi="Times New Roman" w:cs="Times New Roman"/>
          <w:sz w:val="24"/>
          <w:szCs w:val="24"/>
        </w:rPr>
        <w:lastRenderedPageBreak/>
        <w:t>decisions will be made narrowly, without considering all relevant circumstances. A permanent, rather than ad hoc, oversight mechanism would allow for the accumulation of institutional experience and ensure consistency of decisions. A regularly operating institution could identify recurring problems, monitor the development of practice, and make recommendations for improving legislation or professional standards.</w:t>
      </w:r>
      <w:r w:rsidR="0002646F" w:rsidRPr="001256EA">
        <w:rPr>
          <w:sz w:val="24"/>
          <w:szCs w:val="24"/>
        </w:rPr>
        <w:t xml:space="preserve"> </w:t>
      </w:r>
      <w:r w:rsidR="0002646F" w:rsidRPr="001256EA">
        <w:rPr>
          <w:rStyle w:val="rynqvb"/>
          <w:rFonts w:ascii="Times New Roman" w:hAnsi="Times New Roman" w:cs="Times New Roman"/>
          <w:sz w:val="24"/>
          <w:szCs w:val="24"/>
        </w:rPr>
        <w:t>Centralized data would allow for independent inspections, audits, and, if necessary, judicial control.</w:t>
      </w:r>
      <w:r w:rsidR="0002646F" w:rsidRPr="001256EA">
        <w:rPr>
          <w:sz w:val="24"/>
          <w:szCs w:val="24"/>
        </w:rPr>
        <w:t xml:space="preserve"> </w:t>
      </w:r>
      <w:r w:rsidR="0002646F" w:rsidRPr="001256EA">
        <w:rPr>
          <w:rStyle w:val="rynqvb"/>
          <w:rFonts w:ascii="Times New Roman" w:hAnsi="Times New Roman" w:cs="Times New Roman"/>
          <w:sz w:val="24"/>
          <w:szCs w:val="24"/>
        </w:rPr>
        <w:t>Centralized data would allow for independent inspections, audits, and, if necessary, judicial control.</w:t>
      </w:r>
    </w:p>
    <w:p w14:paraId="6708E801" w14:textId="1D72CF86" w:rsidR="0053560F" w:rsidRPr="001256EA" w:rsidRDefault="002142D1"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19</w:t>
      </w:r>
      <w:r w:rsidR="0053560F" w:rsidRPr="001256EA">
        <w:rPr>
          <w:rStyle w:val="rynqvb"/>
          <w:rFonts w:ascii="Times New Roman" w:hAnsi="Times New Roman" w:cs="Times New Roman"/>
          <w:sz w:val="24"/>
          <w:szCs w:val="24"/>
          <w:u w:val="single"/>
        </w:rPr>
        <w:t xml:space="preserve">. Recommendation. </w:t>
      </w:r>
      <w:r w:rsidR="0053560F" w:rsidRPr="001256EA">
        <w:rPr>
          <w:rStyle w:val="rynqvb"/>
          <w:rFonts w:ascii="Times New Roman" w:hAnsi="Times New Roman" w:cs="Times New Roman"/>
          <w:sz w:val="24"/>
          <w:szCs w:val="24"/>
        </w:rPr>
        <w:t>Establish mandatory ethics and human rights training for healthcare workers. Promote international exchange and adoption of good practices.</w:t>
      </w:r>
      <w:r w:rsidR="0002646F" w:rsidRPr="001256EA">
        <w:rPr>
          <w:sz w:val="24"/>
          <w:szCs w:val="24"/>
        </w:rPr>
        <w:t xml:space="preserve"> </w:t>
      </w:r>
      <w:r w:rsidR="0002646F" w:rsidRPr="001256EA">
        <w:rPr>
          <w:rStyle w:val="rynqvb"/>
          <w:rFonts w:ascii="Times New Roman" w:hAnsi="Times New Roman" w:cs="Times New Roman"/>
          <w:sz w:val="24"/>
          <w:szCs w:val="24"/>
        </w:rPr>
        <w:t xml:space="preserve">Such training would help healthcare workers better understand the importance of patient autonomy, informed consent, dignity and non-discrimination, as well as clearly distinguish between legitimate procedures and potential forms of abuse. It would reduce the likelihood of errors and strengthen trust </w:t>
      </w:r>
      <w:r w:rsidR="00802402" w:rsidRPr="001256EA">
        <w:rPr>
          <w:rStyle w:val="rynqvb"/>
          <w:rFonts w:ascii="Times New Roman" w:hAnsi="Times New Roman" w:cs="Times New Roman"/>
          <w:sz w:val="24"/>
          <w:szCs w:val="24"/>
        </w:rPr>
        <w:t>between patients</w:t>
      </w:r>
      <w:r w:rsidR="0002646F" w:rsidRPr="001256EA">
        <w:rPr>
          <w:rStyle w:val="rynqvb"/>
          <w:rFonts w:ascii="Times New Roman" w:hAnsi="Times New Roman" w:cs="Times New Roman"/>
          <w:sz w:val="24"/>
          <w:szCs w:val="24"/>
        </w:rPr>
        <w:t>, doctors and supervisory authorities.</w:t>
      </w:r>
    </w:p>
    <w:p w14:paraId="5CB5777C" w14:textId="2763968A" w:rsidR="0053560F" w:rsidRPr="001256EA" w:rsidRDefault="002142D1" w:rsidP="0053560F">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20</w:t>
      </w:r>
      <w:r w:rsidR="0053560F" w:rsidRPr="001256EA">
        <w:rPr>
          <w:rStyle w:val="rynqvb"/>
          <w:rFonts w:ascii="Times New Roman" w:hAnsi="Times New Roman" w:cs="Times New Roman"/>
          <w:sz w:val="24"/>
          <w:szCs w:val="24"/>
          <w:u w:val="single"/>
        </w:rPr>
        <w:t xml:space="preserve">. Recommendation. </w:t>
      </w:r>
      <w:r w:rsidR="0053560F" w:rsidRPr="001256EA">
        <w:rPr>
          <w:rFonts w:ascii="Times New Roman" w:hAnsi="Times New Roman" w:cs="Times New Roman"/>
          <w:sz w:val="24"/>
          <w:szCs w:val="24"/>
        </w:rPr>
        <w:t>Recommend regular public reporting on the activities of the euthanasia institute, abuses and their prevention. Establish public consultation mechanisms (e.g. citizens' councils or public forums).</w:t>
      </w:r>
      <w:r w:rsidR="00510E77" w:rsidRPr="001256EA">
        <w:rPr>
          <w:rFonts w:ascii="Times New Roman" w:hAnsi="Times New Roman" w:cs="Times New Roman"/>
          <w:sz w:val="24"/>
          <w:szCs w:val="24"/>
        </w:rPr>
        <w:t xml:space="preserve"> Regularly published reports, including statistical data, the progress of procedures, identified violations and applied preventive measures, would enable the public to objectively assess how the law is implemented in practice.</w:t>
      </w:r>
      <w:r w:rsidR="00510E77" w:rsidRPr="001256EA">
        <w:rPr>
          <w:sz w:val="24"/>
          <w:szCs w:val="24"/>
        </w:rPr>
        <w:t xml:space="preserve"> </w:t>
      </w:r>
      <w:r w:rsidR="00510E77" w:rsidRPr="001256EA">
        <w:rPr>
          <w:rFonts w:ascii="Times New Roman" w:hAnsi="Times New Roman" w:cs="Times New Roman"/>
          <w:sz w:val="24"/>
          <w:szCs w:val="24"/>
        </w:rPr>
        <w:t xml:space="preserve">Publicly </w:t>
      </w:r>
      <w:r w:rsidR="00802402" w:rsidRPr="001256EA">
        <w:rPr>
          <w:rFonts w:ascii="Times New Roman" w:hAnsi="Times New Roman" w:cs="Times New Roman"/>
          <w:sz w:val="24"/>
          <w:szCs w:val="24"/>
        </w:rPr>
        <w:t>identifying</w:t>
      </w:r>
      <w:r w:rsidR="00510E77" w:rsidRPr="001256EA">
        <w:rPr>
          <w:rFonts w:ascii="Times New Roman" w:hAnsi="Times New Roman" w:cs="Times New Roman"/>
          <w:sz w:val="24"/>
          <w:szCs w:val="24"/>
        </w:rPr>
        <w:t xml:space="preserve"> systemic problems would allow for timely improvement of legal regulation and practical application mechanisms.</w:t>
      </w:r>
    </w:p>
    <w:p w14:paraId="44C374AC" w14:textId="4D9691BE" w:rsidR="00F9105E" w:rsidRPr="001256EA" w:rsidRDefault="002142D1" w:rsidP="0053560F">
      <w:pPr>
        <w:spacing w:after="0" w:line="360" w:lineRule="auto"/>
        <w:ind w:firstLine="709"/>
        <w:jc w:val="both"/>
        <w:rPr>
          <w:rFonts w:ascii="Times New Roman" w:hAnsi="Times New Roman" w:cs="Times New Roman"/>
          <w:sz w:val="24"/>
          <w:szCs w:val="24"/>
        </w:rPr>
      </w:pPr>
      <w:r w:rsidRPr="001256EA">
        <w:rPr>
          <w:rFonts w:ascii="Times New Roman" w:eastAsia="Calibri" w:hAnsi="Times New Roman" w:cs="Times New Roman"/>
          <w:bCs/>
          <w:sz w:val="24"/>
          <w:szCs w:val="24"/>
        </w:rPr>
        <w:t>7</w:t>
      </w:r>
      <w:r w:rsidR="00F9105E" w:rsidRPr="001256EA">
        <w:rPr>
          <w:rFonts w:ascii="Times New Roman" w:eastAsia="Calibri" w:hAnsi="Times New Roman" w:cs="Times New Roman"/>
          <w:bCs/>
          <w:sz w:val="24"/>
          <w:szCs w:val="24"/>
        </w:rPr>
        <w:t xml:space="preserve">. </w:t>
      </w:r>
      <w:r w:rsidR="00F9105E" w:rsidRPr="001256EA">
        <w:rPr>
          <w:rFonts w:ascii="Times New Roman" w:eastAsia="Calibri" w:hAnsi="Times New Roman" w:cs="Times New Roman"/>
          <w:bCs/>
          <w:sz w:val="24"/>
          <w:szCs w:val="24"/>
          <w:u w:val="single"/>
        </w:rPr>
        <w:t>Conclusion:</w:t>
      </w:r>
      <w:r w:rsidR="00F9105E" w:rsidRPr="001256EA">
        <w:rPr>
          <w:rFonts w:ascii="Times New Roman" w:hAnsi="Times New Roman" w:cs="Times New Roman"/>
          <w:sz w:val="24"/>
          <w:szCs w:val="24"/>
        </w:rPr>
        <w:t xml:space="preserve"> The results of the systematized expert opinion on safeguards revealed that the Ministry of Justice (MOJ) pays special attention to eligibility criteria and complaint handling processes, prioritizing rigorous screening and transparent reviews. The Ministry of Health (MSH) focuses mainly on second opinions and document collection, ensuring reliable case documentation. The Lithuanian Health Rights Institute (LHRI) emphasized strict penalties for violations as a deterrent, while the Lithuanian National Human Rights Institute (LNHRI) prioritizes the principle of informed consent to protect patients’ rights. The European Union Agency for Fundamental Rights (FRA) emphasized the application of best international practices, learning from established systems, and the International Centre for Health and Human Rights (ICHHR) noted that a system of checks and balances with public awareness is crucial to foster trust and prevent misconduct. These differences demonstrate a shared commitment to preventing abuse through institution-specific mechanisms.</w:t>
      </w:r>
    </w:p>
    <w:p w14:paraId="3CE279DA" w14:textId="2520CC78" w:rsidR="00F9105E" w:rsidRPr="001256EA" w:rsidRDefault="002142D1" w:rsidP="0053560F">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sz w:val="24"/>
          <w:szCs w:val="24"/>
          <w:u w:val="single"/>
        </w:rPr>
        <w:t>21</w:t>
      </w:r>
      <w:r w:rsidR="00F9105E" w:rsidRPr="001256EA">
        <w:rPr>
          <w:rStyle w:val="rynqvb"/>
          <w:rFonts w:ascii="Times New Roman" w:hAnsi="Times New Roman" w:cs="Times New Roman"/>
          <w:sz w:val="24"/>
          <w:szCs w:val="24"/>
          <w:u w:val="single"/>
        </w:rPr>
        <w:t xml:space="preserve">. Recommendation. </w:t>
      </w:r>
      <w:r w:rsidR="00F9105E" w:rsidRPr="001256EA">
        <w:rPr>
          <w:rFonts w:ascii="Times New Roman" w:hAnsi="Times New Roman" w:cs="Times New Roman"/>
          <w:sz w:val="24"/>
          <w:szCs w:val="24"/>
        </w:rPr>
        <w:t xml:space="preserve">It is recommended to promote institutional coordination and cooperation. To this end, establish an interdepartmental coordination council that would ensure </w:t>
      </w:r>
      <w:r w:rsidR="00F9105E" w:rsidRPr="001256EA">
        <w:rPr>
          <w:rFonts w:ascii="Times New Roman" w:hAnsi="Times New Roman" w:cs="Times New Roman"/>
          <w:sz w:val="24"/>
          <w:szCs w:val="24"/>
        </w:rPr>
        <w:lastRenderedPageBreak/>
        <w:t>that the recommendations of the Ministry of Justice, the Ministry of Health, human rights institutes and international organizations are coordinated and applied consistently. Also, include representatives of civil society in the activities of this council to ensure transparency and public trust.</w:t>
      </w:r>
    </w:p>
    <w:p w14:paraId="05984258" w14:textId="7650D51B" w:rsidR="00F9105E" w:rsidRPr="001256EA" w:rsidRDefault="00F9105E"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2</w:t>
      </w:r>
      <w:r w:rsidR="002142D1" w:rsidRPr="001256EA">
        <w:rPr>
          <w:rStyle w:val="rynqvb"/>
          <w:rFonts w:ascii="Times New Roman" w:hAnsi="Times New Roman" w:cs="Times New Roman"/>
          <w:sz w:val="24"/>
          <w:szCs w:val="24"/>
          <w:u w:val="single"/>
        </w:rPr>
        <w:t>2</w:t>
      </w:r>
      <w:r w:rsidRPr="001256EA">
        <w:rPr>
          <w:rStyle w:val="rynqvb"/>
          <w:rFonts w:ascii="Times New Roman" w:hAnsi="Times New Roman" w:cs="Times New Roman"/>
          <w:sz w:val="24"/>
          <w:szCs w:val="24"/>
          <w:u w:val="single"/>
        </w:rPr>
        <w:t xml:space="preserve">. Recommendation. </w:t>
      </w:r>
      <w:r w:rsidRPr="001256EA">
        <w:rPr>
          <w:rStyle w:val="rynqvb"/>
          <w:rFonts w:ascii="Times New Roman" w:hAnsi="Times New Roman" w:cs="Times New Roman"/>
          <w:sz w:val="24"/>
          <w:szCs w:val="24"/>
        </w:rPr>
        <w:t>Create an independent platform for registering and reviewing complaints, accessible to patients and their relatives, and establish mandatory publication of reports on complaints received, methods and deadlines for resolving them.</w:t>
      </w:r>
      <w:r w:rsidR="00510E77" w:rsidRPr="001256EA">
        <w:rPr>
          <w:rStyle w:val="rynqvb"/>
          <w:rFonts w:ascii="Times New Roman" w:hAnsi="Times New Roman" w:cs="Times New Roman"/>
          <w:sz w:val="24"/>
          <w:szCs w:val="24"/>
        </w:rPr>
        <w:t xml:space="preserve"> The creation of an independent platform would ensure real procedural accessibility for patients and their relatives. A separate institutional structure with clearly defined powers and guaranteed autonomy would enhance the credibility of decisions and compliance with the principle of justice.</w:t>
      </w:r>
    </w:p>
    <w:p w14:paraId="6A0221EE" w14:textId="4C2560F7" w:rsidR="00F9105E" w:rsidRPr="001256EA" w:rsidRDefault="002142D1"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u w:val="single"/>
        </w:rPr>
        <w:t>2</w:t>
      </w:r>
      <w:r w:rsidR="00F9105E" w:rsidRPr="001256EA">
        <w:rPr>
          <w:rStyle w:val="rynqvb"/>
          <w:rFonts w:ascii="Times New Roman" w:hAnsi="Times New Roman" w:cs="Times New Roman"/>
          <w:sz w:val="24"/>
          <w:szCs w:val="24"/>
          <w:u w:val="single"/>
        </w:rPr>
        <w:t xml:space="preserve">3. Recommendation. </w:t>
      </w:r>
      <w:r w:rsidR="00A366A0" w:rsidRPr="001256EA">
        <w:rPr>
          <w:rStyle w:val="rynqvb"/>
          <w:rFonts w:ascii="Times New Roman" w:hAnsi="Times New Roman" w:cs="Times New Roman"/>
          <w:sz w:val="24"/>
          <w:szCs w:val="24"/>
        </w:rPr>
        <w:t xml:space="preserve">In implementing the principle of strict selection of </w:t>
      </w:r>
      <w:r w:rsidR="00802402" w:rsidRPr="001256EA">
        <w:rPr>
          <w:rStyle w:val="rynqvb"/>
          <w:rFonts w:ascii="Times New Roman" w:hAnsi="Times New Roman" w:cs="Times New Roman"/>
          <w:sz w:val="24"/>
          <w:szCs w:val="24"/>
        </w:rPr>
        <w:t>people</w:t>
      </w:r>
      <w:r w:rsidR="00A366A0" w:rsidRPr="001256EA">
        <w:rPr>
          <w:rStyle w:val="rynqvb"/>
          <w:rFonts w:ascii="Times New Roman" w:hAnsi="Times New Roman" w:cs="Times New Roman"/>
          <w:sz w:val="24"/>
          <w:szCs w:val="24"/>
        </w:rPr>
        <w:t xml:space="preserve"> emphasized by the Ministry of Justice. It is proposed to prepare and adopt a special Law on </w:t>
      </w:r>
      <w:proofErr w:type="gramStart"/>
      <w:r w:rsidR="00A366A0" w:rsidRPr="001256EA">
        <w:rPr>
          <w:rStyle w:val="rynqvb"/>
          <w:rFonts w:ascii="Times New Roman" w:hAnsi="Times New Roman" w:cs="Times New Roman"/>
          <w:sz w:val="24"/>
          <w:szCs w:val="24"/>
        </w:rPr>
        <w:t>Euthanasia, which</w:t>
      </w:r>
      <w:proofErr w:type="gramEnd"/>
      <w:r w:rsidR="00A366A0" w:rsidRPr="001256EA">
        <w:rPr>
          <w:rStyle w:val="rynqvb"/>
          <w:rFonts w:ascii="Times New Roman" w:hAnsi="Times New Roman" w:cs="Times New Roman"/>
          <w:sz w:val="24"/>
          <w:szCs w:val="24"/>
        </w:rPr>
        <w:t xml:space="preserve"> would systematically regulate all material and procedural conditions. Article X of the Law should establish clear criteria for a person's suitability for euthanasia, such as age, capacity, diagnosed incurable disease, constant and unbearable pain. Such legal regulation would reduce the risk of discretion and ensure uniform application of the law.</w:t>
      </w:r>
    </w:p>
    <w:p w14:paraId="6D46DD41" w14:textId="7679B55A" w:rsidR="00A366A0" w:rsidRPr="001256EA" w:rsidRDefault="002142D1"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rPr>
        <w:t>2</w:t>
      </w:r>
      <w:r w:rsidR="00A366A0" w:rsidRPr="001256EA">
        <w:rPr>
          <w:rStyle w:val="rynqvb"/>
          <w:rFonts w:ascii="Times New Roman" w:hAnsi="Times New Roman" w:cs="Times New Roman"/>
          <w:sz w:val="24"/>
          <w:szCs w:val="24"/>
        </w:rPr>
        <w:t xml:space="preserve">4. </w:t>
      </w:r>
      <w:r w:rsidR="00A366A0" w:rsidRPr="001256EA">
        <w:rPr>
          <w:rStyle w:val="rynqvb"/>
          <w:rFonts w:ascii="Times New Roman" w:hAnsi="Times New Roman" w:cs="Times New Roman"/>
          <w:sz w:val="24"/>
          <w:szCs w:val="24"/>
          <w:u w:val="single"/>
        </w:rPr>
        <w:t xml:space="preserve">Recommendation. </w:t>
      </w:r>
      <w:r w:rsidR="00A366A0" w:rsidRPr="001256EA">
        <w:rPr>
          <w:rStyle w:val="rynqvb"/>
          <w:rFonts w:ascii="Times New Roman" w:hAnsi="Times New Roman" w:cs="Times New Roman"/>
          <w:sz w:val="24"/>
          <w:szCs w:val="24"/>
        </w:rPr>
        <w:t>Considering the position of the Lithuanian National Institute of Human Rights, it is proposed that Article y of the future Euthanasia Law should define in detail the content and procedure of informed consent. It should establish the obligation to provide the patient with full information in a language he understands about the diagnosis, alternatives (including palliative care), possible consequences and the right to revoke his decision at any time. This would strengthen the protection of the patient's autonomy and dignity.</w:t>
      </w:r>
    </w:p>
    <w:p w14:paraId="1A7664F8" w14:textId="670C5BC4" w:rsidR="00A366A0" w:rsidRPr="001256EA" w:rsidRDefault="002142D1" w:rsidP="0053560F">
      <w:pPr>
        <w:spacing w:after="0" w:line="360" w:lineRule="auto"/>
        <w:ind w:firstLine="709"/>
        <w:jc w:val="both"/>
        <w:rPr>
          <w:rStyle w:val="rynqvb"/>
          <w:rFonts w:ascii="Times New Roman" w:hAnsi="Times New Roman" w:cs="Times New Roman"/>
          <w:sz w:val="24"/>
          <w:szCs w:val="24"/>
        </w:rPr>
      </w:pPr>
      <w:r w:rsidRPr="001256EA">
        <w:rPr>
          <w:rStyle w:val="rynqvb"/>
          <w:rFonts w:ascii="Times New Roman" w:hAnsi="Times New Roman" w:cs="Times New Roman"/>
          <w:sz w:val="24"/>
          <w:szCs w:val="24"/>
        </w:rPr>
        <w:t>2</w:t>
      </w:r>
      <w:r w:rsidR="00A366A0" w:rsidRPr="001256EA">
        <w:rPr>
          <w:rStyle w:val="rynqvb"/>
          <w:rFonts w:ascii="Times New Roman" w:hAnsi="Times New Roman" w:cs="Times New Roman"/>
          <w:sz w:val="24"/>
          <w:szCs w:val="24"/>
        </w:rPr>
        <w:t xml:space="preserve">5. </w:t>
      </w:r>
      <w:r w:rsidR="00A366A0" w:rsidRPr="001256EA">
        <w:rPr>
          <w:rStyle w:val="rynqvb"/>
          <w:rFonts w:ascii="Times New Roman" w:hAnsi="Times New Roman" w:cs="Times New Roman"/>
          <w:sz w:val="24"/>
          <w:szCs w:val="24"/>
          <w:u w:val="single"/>
        </w:rPr>
        <w:t>Recommendation.</w:t>
      </w:r>
      <w:r w:rsidR="00A366A0" w:rsidRPr="001256EA">
        <w:rPr>
          <w:sz w:val="24"/>
          <w:szCs w:val="24"/>
        </w:rPr>
        <w:t xml:space="preserve"> </w:t>
      </w:r>
      <w:r w:rsidR="00A366A0" w:rsidRPr="001256EA">
        <w:rPr>
          <w:rStyle w:val="rynqvb"/>
          <w:rFonts w:ascii="Times New Roman" w:hAnsi="Times New Roman" w:cs="Times New Roman"/>
          <w:sz w:val="24"/>
          <w:szCs w:val="24"/>
        </w:rPr>
        <w:t xml:space="preserve">In response to the priority identified by the Ministry of Health, it is proposed to establish in Article z of the future Euthanasia Law a mandatory independent second (and in certain cases a third) medical opinion. In addition, an obligation to document all stages of the decision in a standardized </w:t>
      </w:r>
      <w:r w:rsidR="00802402" w:rsidRPr="001256EA">
        <w:rPr>
          <w:rStyle w:val="rynqvb"/>
          <w:rFonts w:ascii="Times New Roman" w:hAnsi="Times New Roman" w:cs="Times New Roman"/>
          <w:sz w:val="24"/>
          <w:szCs w:val="24"/>
        </w:rPr>
        <w:t>national</w:t>
      </w:r>
      <w:r w:rsidR="00A366A0" w:rsidRPr="001256EA">
        <w:rPr>
          <w:rStyle w:val="rynqvb"/>
          <w:rFonts w:ascii="Times New Roman" w:hAnsi="Times New Roman" w:cs="Times New Roman"/>
          <w:sz w:val="24"/>
          <w:szCs w:val="24"/>
        </w:rPr>
        <w:t xml:space="preserve"> system should be established, ensuring traceability and reliable reconstruction of the case.</w:t>
      </w:r>
    </w:p>
    <w:p w14:paraId="1F00D693" w14:textId="2D5B6189" w:rsidR="00A366A0" w:rsidRPr="001256EA" w:rsidRDefault="002142D1" w:rsidP="0053560F">
      <w:pPr>
        <w:spacing w:after="0" w:line="360" w:lineRule="auto"/>
        <w:ind w:firstLine="709"/>
        <w:jc w:val="both"/>
        <w:rPr>
          <w:rFonts w:ascii="Times New Roman" w:hAnsi="Times New Roman" w:cs="Times New Roman"/>
          <w:sz w:val="24"/>
          <w:szCs w:val="24"/>
        </w:rPr>
      </w:pPr>
      <w:r w:rsidRPr="001256EA">
        <w:rPr>
          <w:rStyle w:val="rynqvb"/>
          <w:rFonts w:ascii="Times New Roman" w:hAnsi="Times New Roman" w:cs="Times New Roman"/>
          <w:sz w:val="24"/>
          <w:szCs w:val="24"/>
        </w:rPr>
        <w:t>2</w:t>
      </w:r>
      <w:r w:rsidR="00A366A0" w:rsidRPr="001256EA">
        <w:rPr>
          <w:rStyle w:val="rynqvb"/>
          <w:rFonts w:ascii="Times New Roman" w:hAnsi="Times New Roman" w:cs="Times New Roman"/>
          <w:sz w:val="24"/>
          <w:szCs w:val="24"/>
        </w:rPr>
        <w:t xml:space="preserve">6. </w:t>
      </w:r>
      <w:r w:rsidR="00A366A0" w:rsidRPr="001256EA">
        <w:rPr>
          <w:rStyle w:val="rynqvb"/>
          <w:rFonts w:ascii="Times New Roman" w:hAnsi="Times New Roman" w:cs="Times New Roman"/>
          <w:sz w:val="24"/>
          <w:szCs w:val="24"/>
          <w:u w:val="single"/>
        </w:rPr>
        <w:t xml:space="preserve">Recommendation. </w:t>
      </w:r>
      <w:r w:rsidR="00A366A0" w:rsidRPr="001256EA">
        <w:rPr>
          <w:rStyle w:val="rynqvb"/>
          <w:rFonts w:ascii="Times New Roman" w:hAnsi="Times New Roman" w:cs="Times New Roman"/>
          <w:sz w:val="24"/>
          <w:szCs w:val="24"/>
        </w:rPr>
        <w:t xml:space="preserve">Considering the position of the Lithuanian Institute of Health Rights, it is proposed to harmonize the future Euthanasia Law with the provisions of the Criminal Code and the Code of Administrative Offences. It should </w:t>
      </w:r>
      <w:r w:rsidR="00802402" w:rsidRPr="001256EA">
        <w:rPr>
          <w:rStyle w:val="rynqvb"/>
          <w:rFonts w:ascii="Times New Roman" w:hAnsi="Times New Roman" w:cs="Times New Roman"/>
          <w:sz w:val="24"/>
          <w:szCs w:val="24"/>
        </w:rPr>
        <w:t>provide</w:t>
      </w:r>
      <w:r w:rsidR="00A366A0" w:rsidRPr="001256EA">
        <w:rPr>
          <w:rStyle w:val="rynqvb"/>
          <w:rFonts w:ascii="Times New Roman" w:hAnsi="Times New Roman" w:cs="Times New Roman"/>
          <w:sz w:val="24"/>
          <w:szCs w:val="24"/>
        </w:rPr>
        <w:t xml:space="preserve"> strict sanctions for violations of procedures, falsification of data or application of pressure on the patient. Clear and unavoidable liability would act as a preventive measure against abuse.</w:t>
      </w:r>
    </w:p>
    <w:p w14:paraId="6444689A" w14:textId="592FEA31" w:rsidR="00626632" w:rsidRPr="001256EA" w:rsidRDefault="00626632" w:rsidP="00D84B3C">
      <w:pPr>
        <w:pStyle w:val="Heading1"/>
        <w:jc w:val="center"/>
        <w:rPr>
          <w:rFonts w:ascii="Times New Roman" w:hAnsi="Times New Roman" w:cs="Times New Roman"/>
          <w:b/>
          <w:bCs/>
          <w:color w:val="auto"/>
          <w:sz w:val="28"/>
          <w:szCs w:val="28"/>
        </w:rPr>
      </w:pPr>
      <w:bookmarkStart w:id="83" w:name="_Toc186051826"/>
      <w:bookmarkStart w:id="84" w:name="_Toc216374419"/>
      <w:r w:rsidRPr="001256EA">
        <w:rPr>
          <w:rFonts w:ascii="Times New Roman" w:hAnsi="Times New Roman" w:cs="Times New Roman"/>
          <w:b/>
          <w:bCs/>
          <w:color w:val="auto"/>
          <w:sz w:val="28"/>
          <w:szCs w:val="28"/>
        </w:rPr>
        <w:lastRenderedPageBreak/>
        <w:t>LIST OF LITERATURE AND SOURCES</w:t>
      </w:r>
      <w:bookmarkEnd w:id="83"/>
      <w:bookmarkEnd w:id="84"/>
    </w:p>
    <w:p w14:paraId="67A3CEBA" w14:textId="77777777" w:rsidR="00F32265" w:rsidRPr="001256EA" w:rsidRDefault="00F32265" w:rsidP="008E7E07">
      <w:pPr>
        <w:spacing w:line="360" w:lineRule="auto"/>
        <w:jc w:val="center"/>
        <w:rPr>
          <w:rFonts w:ascii="Times New Roman" w:hAnsi="Times New Roman" w:cs="Times New Roman"/>
          <w:b/>
          <w:bCs/>
          <w:sz w:val="24"/>
          <w:szCs w:val="24"/>
        </w:rPr>
      </w:pPr>
      <w:r w:rsidRPr="001256EA">
        <w:rPr>
          <w:rFonts w:ascii="Times New Roman" w:hAnsi="Times New Roman" w:cs="Times New Roman"/>
          <w:b/>
          <w:bCs/>
          <w:sz w:val="24"/>
          <w:szCs w:val="24"/>
        </w:rPr>
        <w:t>Articles, book chapters and books</w:t>
      </w:r>
    </w:p>
    <w:p w14:paraId="64FD385F" w14:textId="21670BD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Abal, F. G. (2025). Euthanasia, Anti‐Egalitarian Bias, and Breach of the Duty of Medical Care: A Reply to Rivera López. </w:t>
      </w:r>
      <w:r w:rsidRPr="001256EA">
        <w:rPr>
          <w:rFonts w:ascii="Times New Roman" w:hAnsi="Times New Roman" w:cs="Times New Roman"/>
          <w:i/>
          <w:iCs/>
          <w:sz w:val="20"/>
          <w:szCs w:val="20"/>
        </w:rPr>
        <w:t>Bioethics</w:t>
      </w:r>
      <w:r w:rsidRPr="001256EA">
        <w:rPr>
          <w:rFonts w:ascii="Times New Roman" w:hAnsi="Times New Roman" w:cs="Times New Roman"/>
          <w:sz w:val="20"/>
          <w:szCs w:val="20"/>
        </w:rPr>
        <w:t xml:space="preserve">, bioe.13439. </w:t>
      </w:r>
      <w:hyperlink r:id="rId24" w:history="1">
        <w:r w:rsidRPr="001256EA">
          <w:rPr>
            <w:rStyle w:val="Hyperlink"/>
            <w:rFonts w:ascii="Times New Roman" w:hAnsi="Times New Roman" w:cs="Times New Roman"/>
            <w:sz w:val="20"/>
            <w:szCs w:val="20"/>
          </w:rPr>
          <w:t>https://doi.org/10.1111/bioe.13439</w:t>
        </w:r>
      </w:hyperlink>
      <w:r w:rsidRPr="001256EA">
        <w:rPr>
          <w:rFonts w:ascii="Times New Roman" w:hAnsi="Times New Roman" w:cs="Times New Roman"/>
          <w:sz w:val="20"/>
          <w:szCs w:val="20"/>
        </w:rPr>
        <w:t xml:space="preserve"> </w:t>
      </w:r>
    </w:p>
    <w:p w14:paraId="616885A7" w14:textId="1AEE79E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Adeoye‐Olatunde, O. A., &amp; Olenik, N. L. (2021). Research and scholarly methods: Semi‐structured interviews. </w:t>
      </w:r>
      <w:r w:rsidRPr="001256EA">
        <w:rPr>
          <w:rFonts w:ascii="Times New Roman" w:hAnsi="Times New Roman" w:cs="Times New Roman"/>
          <w:i/>
          <w:iCs/>
          <w:sz w:val="20"/>
          <w:szCs w:val="20"/>
        </w:rPr>
        <w:t>JACCP:  JOURNAL OF THE AMERICAN COLLEGE OF CLINICAL PHARMACY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w:t>
      </w:r>
      <w:r w:rsidRPr="001256EA">
        <w:rPr>
          <w:rFonts w:ascii="Times New Roman" w:hAnsi="Times New Roman" w:cs="Times New Roman"/>
          <w:sz w:val="20"/>
          <w:szCs w:val="20"/>
        </w:rPr>
        <w:t xml:space="preserve">(10), 1358–1367. </w:t>
      </w:r>
      <w:hyperlink r:id="rId25" w:history="1">
        <w:r w:rsidRPr="001256EA">
          <w:rPr>
            <w:rStyle w:val="Hyperlink"/>
            <w:rFonts w:ascii="Times New Roman" w:hAnsi="Times New Roman" w:cs="Times New Roman"/>
            <w:sz w:val="20"/>
            <w:szCs w:val="20"/>
          </w:rPr>
          <w:t>https://doi.org/10.1002/jac5.1441</w:t>
        </w:r>
      </w:hyperlink>
      <w:r w:rsidRPr="001256EA">
        <w:rPr>
          <w:rFonts w:ascii="Times New Roman" w:hAnsi="Times New Roman" w:cs="Times New Roman"/>
          <w:sz w:val="20"/>
          <w:szCs w:val="20"/>
        </w:rPr>
        <w:t xml:space="preserve"> </w:t>
      </w:r>
    </w:p>
    <w:p w14:paraId="65C99059" w14:textId="1998C785" w:rsidR="003F71D1" w:rsidRPr="001256EA" w:rsidRDefault="003F71D1"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Ahmad, M., &amp; Wilkins, S. (2025). Purposive sampling in qualitative research: A framework for the entire journey. Quality &amp; Quantity, 59(2), 1461-1479. https://doi.org/10.1007/s11135-024-02022-5</w:t>
      </w:r>
    </w:p>
    <w:p w14:paraId="01DC3C27" w14:textId="0DD4C04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Albalawi</w:t>
      </w:r>
      <w:proofErr w:type="spellEnd"/>
      <w:r w:rsidRPr="001256EA">
        <w:rPr>
          <w:rFonts w:ascii="Times New Roman" w:hAnsi="Times New Roman" w:cs="Times New Roman"/>
          <w:sz w:val="20"/>
          <w:szCs w:val="20"/>
        </w:rPr>
        <w:t xml:space="preserve">, R., Yeap, T. H., &amp; Benyoucef, M. (2020). Using topic modeling methods for short-text data: A comparative analysis. </w:t>
      </w:r>
      <w:r w:rsidRPr="001256EA">
        <w:rPr>
          <w:rFonts w:ascii="Times New Roman" w:hAnsi="Times New Roman" w:cs="Times New Roman"/>
          <w:i/>
          <w:iCs/>
          <w:sz w:val="20"/>
          <w:szCs w:val="20"/>
        </w:rPr>
        <w:t>Frontiers in Artificial Intelligence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w:t>
      </w:r>
      <w:r w:rsidRPr="001256EA">
        <w:rPr>
          <w:rFonts w:ascii="Times New Roman" w:hAnsi="Times New Roman" w:cs="Times New Roman"/>
          <w:sz w:val="20"/>
          <w:szCs w:val="20"/>
        </w:rPr>
        <w:t xml:space="preserve">, 42. </w:t>
      </w:r>
      <w:hyperlink r:id="rId26" w:history="1">
        <w:r w:rsidRPr="001256EA">
          <w:rPr>
            <w:rStyle w:val="Hyperlink"/>
            <w:rFonts w:ascii="Times New Roman" w:hAnsi="Times New Roman" w:cs="Times New Roman"/>
            <w:sz w:val="20"/>
            <w:szCs w:val="20"/>
          </w:rPr>
          <w:t>https://www.frontiersin.org/articles/10.3389/frai.2020.00042/full</w:t>
        </w:r>
      </w:hyperlink>
      <w:r w:rsidRPr="001256EA">
        <w:rPr>
          <w:rFonts w:ascii="Times New Roman" w:hAnsi="Times New Roman" w:cs="Times New Roman"/>
          <w:sz w:val="20"/>
          <w:szCs w:val="20"/>
        </w:rPr>
        <w:t xml:space="preserve"> </w:t>
      </w:r>
    </w:p>
    <w:p w14:paraId="78FC4788" w14:textId="62909129" w:rsidR="00342C72"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Ali, M., &amp; Pagala, A. (2023). IMPLEMENTASI KAIDAH-KAIDAH FIKIH PADA HUKUM EUTHANASIA. </w:t>
      </w:r>
      <w:r w:rsidRPr="001256EA">
        <w:rPr>
          <w:rFonts w:ascii="Times New Roman" w:hAnsi="Times New Roman" w:cs="Times New Roman"/>
          <w:i/>
          <w:iCs/>
          <w:sz w:val="20"/>
          <w:szCs w:val="20"/>
        </w:rPr>
        <w:t xml:space="preserve">Minhaj: </w:t>
      </w:r>
      <w:proofErr w:type="spellStart"/>
      <w:r w:rsidRPr="001256EA">
        <w:rPr>
          <w:rFonts w:ascii="Times New Roman" w:hAnsi="Times New Roman" w:cs="Times New Roman"/>
          <w:i/>
          <w:iCs/>
          <w:sz w:val="20"/>
          <w:szCs w:val="20"/>
        </w:rPr>
        <w:t>Jurnal</w:t>
      </w:r>
      <w:proofErr w:type="spellEnd"/>
      <w:r w:rsidRPr="001256EA">
        <w:rPr>
          <w:rFonts w:ascii="Times New Roman" w:hAnsi="Times New Roman" w:cs="Times New Roman"/>
          <w:i/>
          <w:iCs/>
          <w:sz w:val="20"/>
          <w:szCs w:val="20"/>
        </w:rPr>
        <w:t xml:space="preserve"> </w:t>
      </w:r>
      <w:proofErr w:type="spellStart"/>
      <w:r w:rsidRPr="001256EA">
        <w:rPr>
          <w:rFonts w:ascii="Times New Roman" w:hAnsi="Times New Roman" w:cs="Times New Roman"/>
          <w:i/>
          <w:iCs/>
          <w:sz w:val="20"/>
          <w:szCs w:val="20"/>
        </w:rPr>
        <w:t>Ilmu</w:t>
      </w:r>
      <w:proofErr w:type="spellEnd"/>
      <w:r w:rsidRPr="001256EA">
        <w:rPr>
          <w:rFonts w:ascii="Times New Roman" w:hAnsi="Times New Roman" w:cs="Times New Roman"/>
          <w:i/>
          <w:iCs/>
          <w:sz w:val="20"/>
          <w:szCs w:val="20"/>
        </w:rPr>
        <w:t xml:space="preserve"> Syariah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w:t>
      </w:r>
      <w:r w:rsidRPr="001256EA">
        <w:rPr>
          <w:rFonts w:ascii="Times New Roman" w:hAnsi="Times New Roman" w:cs="Times New Roman"/>
          <w:sz w:val="20"/>
          <w:szCs w:val="20"/>
        </w:rPr>
        <w:t xml:space="preserve">(1), 62–76. </w:t>
      </w:r>
      <w:hyperlink r:id="rId27" w:history="1">
        <w:r w:rsidRPr="001256EA">
          <w:rPr>
            <w:rStyle w:val="Hyperlink"/>
            <w:rFonts w:ascii="Times New Roman" w:hAnsi="Times New Roman" w:cs="Times New Roman"/>
            <w:sz w:val="20"/>
            <w:szCs w:val="20"/>
          </w:rPr>
          <w:t>https://jurnal.iaibafa.ac.id/index.php/minhaj/article/view/minhaj_januari23_05</w:t>
        </w:r>
      </w:hyperlink>
      <w:r w:rsidRPr="001256EA">
        <w:rPr>
          <w:rFonts w:ascii="Times New Roman" w:hAnsi="Times New Roman" w:cs="Times New Roman"/>
          <w:sz w:val="20"/>
          <w:szCs w:val="20"/>
        </w:rPr>
        <w:t xml:space="preserve"> </w:t>
      </w:r>
    </w:p>
    <w:p w14:paraId="30CB5574" w14:textId="18DF57C3" w:rsidR="00B1409C" w:rsidRPr="00D0195E" w:rsidRDefault="00B1409C" w:rsidP="000753F3">
      <w:pPr>
        <w:pStyle w:val="ListParagraph"/>
        <w:numPr>
          <w:ilvl w:val="0"/>
          <w:numId w:val="34"/>
        </w:numPr>
        <w:spacing w:line="276" w:lineRule="auto"/>
        <w:ind w:left="270"/>
        <w:jc w:val="both"/>
        <w:rPr>
          <w:rFonts w:ascii="Times New Roman" w:hAnsi="Times New Roman" w:cs="Times New Roman"/>
          <w:sz w:val="20"/>
          <w:szCs w:val="20"/>
        </w:rPr>
      </w:pPr>
      <w:r w:rsidRPr="00D0195E">
        <w:rPr>
          <w:rFonts w:ascii="Times New Roman" w:hAnsi="Times New Roman" w:cs="Times New Roman"/>
          <w:sz w:val="20"/>
          <w:szCs w:val="20"/>
        </w:rPr>
        <w:t>Al Sabah, S., &amp; Al Haddad, E. (2026). Liability in Telesurgery: Navigating Legal, Ethical, and Cross-Border Challenges in the Era of Global Surgical Care. </w:t>
      </w:r>
      <w:r w:rsidRPr="00D0195E">
        <w:rPr>
          <w:rFonts w:ascii="Times New Roman" w:hAnsi="Times New Roman" w:cs="Times New Roman"/>
          <w:i/>
          <w:iCs/>
          <w:sz w:val="20"/>
          <w:szCs w:val="20"/>
        </w:rPr>
        <w:t>Medical Principles and Practice</w:t>
      </w:r>
      <w:r w:rsidRPr="00D0195E">
        <w:rPr>
          <w:rFonts w:ascii="Times New Roman" w:hAnsi="Times New Roman" w:cs="Times New Roman"/>
          <w:sz w:val="20"/>
          <w:szCs w:val="20"/>
        </w:rPr>
        <w:t xml:space="preserve">. </w:t>
      </w:r>
      <w:hyperlink r:id="rId28" w:history="1">
        <w:r w:rsidRPr="00D0195E">
          <w:rPr>
            <w:rStyle w:val="Hyperlink"/>
            <w:rFonts w:ascii="Times New Roman" w:hAnsi="Times New Roman" w:cs="Times New Roman"/>
            <w:sz w:val="20"/>
            <w:szCs w:val="20"/>
          </w:rPr>
          <w:t>https://doi.org/10.1159/000551387</w:t>
        </w:r>
      </w:hyperlink>
    </w:p>
    <w:p w14:paraId="20A256F0" w14:textId="319F7AA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es-ES"/>
        </w:rPr>
        <w:t>Altisent</w:t>
      </w:r>
      <w:proofErr w:type="spellEnd"/>
      <w:r w:rsidRPr="001256EA">
        <w:rPr>
          <w:rFonts w:ascii="Times New Roman" w:hAnsi="Times New Roman" w:cs="Times New Roman"/>
          <w:sz w:val="20"/>
          <w:szCs w:val="20"/>
          <w:lang w:val="es-ES"/>
        </w:rPr>
        <w:t xml:space="preserve">, R., Muñoz, P., Delgado-Marroquín, M. T., Alonso, A., Ferrer, S., &amp; Nabal, M. (2021). </w:t>
      </w:r>
      <w:r w:rsidRPr="001256EA">
        <w:rPr>
          <w:rFonts w:ascii="Times New Roman" w:hAnsi="Times New Roman" w:cs="Times New Roman"/>
          <w:i/>
          <w:iCs/>
          <w:sz w:val="20"/>
          <w:szCs w:val="20"/>
          <w:lang w:val="es-ES"/>
        </w:rPr>
        <w:t xml:space="preserve">Euthanasia: </w:t>
      </w:r>
      <w:proofErr w:type="spellStart"/>
      <w:r w:rsidRPr="001256EA">
        <w:rPr>
          <w:rFonts w:ascii="Times New Roman" w:hAnsi="Times New Roman" w:cs="Times New Roman"/>
          <w:i/>
          <w:iCs/>
          <w:sz w:val="20"/>
          <w:szCs w:val="20"/>
          <w:lang w:val="es-ES"/>
        </w:rPr>
        <w:t>Is</w:t>
      </w:r>
      <w:proofErr w:type="spellEnd"/>
      <w:r w:rsidRPr="001256EA">
        <w:rPr>
          <w:rFonts w:ascii="Times New Roman" w:hAnsi="Times New Roman" w:cs="Times New Roman"/>
          <w:i/>
          <w:iCs/>
          <w:sz w:val="20"/>
          <w:szCs w:val="20"/>
          <w:lang w:val="es-ES"/>
        </w:rPr>
        <w:t xml:space="preserve"> </w:t>
      </w:r>
      <w:proofErr w:type="spellStart"/>
      <w:r w:rsidRPr="001256EA">
        <w:rPr>
          <w:rFonts w:ascii="Times New Roman" w:hAnsi="Times New Roman" w:cs="Times New Roman"/>
          <w:i/>
          <w:iCs/>
          <w:sz w:val="20"/>
          <w:szCs w:val="20"/>
          <w:lang w:val="es-ES"/>
        </w:rPr>
        <w:t>this</w:t>
      </w:r>
      <w:proofErr w:type="spellEnd"/>
      <w:r w:rsidRPr="001256EA">
        <w:rPr>
          <w:rFonts w:ascii="Times New Roman" w:hAnsi="Times New Roman" w:cs="Times New Roman"/>
          <w:i/>
          <w:iCs/>
          <w:sz w:val="20"/>
          <w:szCs w:val="20"/>
          <w:lang w:val="es-ES"/>
        </w:rPr>
        <w:t xml:space="preserve"> </w:t>
      </w:r>
      <w:proofErr w:type="spellStart"/>
      <w:r w:rsidRPr="001256EA">
        <w:rPr>
          <w:rFonts w:ascii="Times New Roman" w:hAnsi="Times New Roman" w:cs="Times New Roman"/>
          <w:i/>
          <w:iCs/>
          <w:sz w:val="20"/>
          <w:szCs w:val="20"/>
          <w:lang w:val="es-ES"/>
        </w:rPr>
        <w:t>the</w:t>
      </w:r>
      <w:proofErr w:type="spellEnd"/>
      <w:r w:rsidRPr="001256EA">
        <w:rPr>
          <w:rFonts w:ascii="Times New Roman" w:hAnsi="Times New Roman" w:cs="Times New Roman"/>
          <w:i/>
          <w:iCs/>
          <w:sz w:val="20"/>
          <w:szCs w:val="20"/>
          <w:lang w:val="es-ES"/>
        </w:rPr>
        <w:t xml:space="preserve"> </w:t>
      </w:r>
      <w:proofErr w:type="spellStart"/>
      <w:r w:rsidRPr="001256EA">
        <w:rPr>
          <w:rFonts w:ascii="Times New Roman" w:hAnsi="Times New Roman" w:cs="Times New Roman"/>
          <w:i/>
          <w:iCs/>
          <w:sz w:val="20"/>
          <w:szCs w:val="20"/>
          <w:lang w:val="es-ES"/>
        </w:rPr>
        <w:t>law</w:t>
      </w:r>
      <w:proofErr w:type="spellEnd"/>
      <w:r w:rsidRPr="001256EA">
        <w:rPr>
          <w:rFonts w:ascii="Times New Roman" w:hAnsi="Times New Roman" w:cs="Times New Roman"/>
          <w:i/>
          <w:iCs/>
          <w:sz w:val="20"/>
          <w:szCs w:val="20"/>
          <w:lang w:val="es-ES"/>
        </w:rPr>
        <w:t xml:space="preserve"> </w:t>
      </w:r>
      <w:proofErr w:type="spellStart"/>
      <w:r w:rsidRPr="001256EA">
        <w:rPr>
          <w:rFonts w:ascii="Times New Roman" w:hAnsi="Times New Roman" w:cs="Times New Roman"/>
          <w:i/>
          <w:iCs/>
          <w:sz w:val="20"/>
          <w:szCs w:val="20"/>
          <w:lang w:val="es-ES"/>
        </w:rPr>
        <w:t>we</w:t>
      </w:r>
      <w:proofErr w:type="spellEnd"/>
      <w:r w:rsidRPr="001256EA">
        <w:rPr>
          <w:rFonts w:ascii="Times New Roman" w:hAnsi="Times New Roman" w:cs="Times New Roman"/>
          <w:i/>
          <w:iCs/>
          <w:sz w:val="20"/>
          <w:szCs w:val="20"/>
          <w:lang w:val="es-ES"/>
        </w:rPr>
        <w:t xml:space="preserve"> </w:t>
      </w:r>
      <w:proofErr w:type="spellStart"/>
      <w:proofErr w:type="gramStart"/>
      <w:r w:rsidRPr="001256EA">
        <w:rPr>
          <w:rFonts w:ascii="Times New Roman" w:hAnsi="Times New Roman" w:cs="Times New Roman"/>
          <w:i/>
          <w:iCs/>
          <w:sz w:val="20"/>
          <w:szCs w:val="20"/>
          <w:lang w:val="es-ES"/>
        </w:rPr>
        <w:t>need</w:t>
      </w:r>
      <w:proofErr w:type="spellEnd"/>
      <w:r w:rsidRPr="001256EA">
        <w:rPr>
          <w:rFonts w:ascii="Times New Roman" w:hAnsi="Times New Roman" w:cs="Times New Roman"/>
          <w:i/>
          <w:iCs/>
          <w:sz w:val="20"/>
          <w:szCs w:val="20"/>
          <w:lang w:val="es-ES"/>
        </w:rPr>
        <w:t>?[Eutanasia:?</w:t>
      </w:r>
      <w:proofErr w:type="gramEnd"/>
      <w:r w:rsidRPr="001256EA">
        <w:rPr>
          <w:rFonts w:ascii="Times New Roman" w:hAnsi="Times New Roman" w:cs="Times New Roman"/>
          <w:i/>
          <w:iCs/>
          <w:sz w:val="20"/>
          <w:szCs w:val="20"/>
          <w:lang w:val="es-ES"/>
        </w:rPr>
        <w:t>` es esta la ley que necesitamos?]</w:t>
      </w:r>
      <w:r w:rsidRPr="001256EA">
        <w:rPr>
          <w:rFonts w:ascii="Times New Roman" w:hAnsi="Times New Roman" w:cs="Times New Roman"/>
          <w:sz w:val="20"/>
          <w:szCs w:val="20"/>
          <w:lang w:val="es-ES"/>
        </w:rPr>
        <w:t xml:space="preserve">. </w:t>
      </w:r>
      <w:hyperlink r:id="rId29" w:history="1">
        <w:r w:rsidRPr="001256EA">
          <w:rPr>
            <w:rStyle w:val="Hyperlink"/>
            <w:rFonts w:ascii="Times New Roman" w:hAnsi="Times New Roman" w:cs="Times New Roman"/>
            <w:sz w:val="20"/>
            <w:szCs w:val="20"/>
          </w:rPr>
          <w:t>https://zaguan.unizar.es/record/151472</w:t>
        </w:r>
      </w:hyperlink>
      <w:r w:rsidRPr="001256EA">
        <w:rPr>
          <w:rFonts w:ascii="Times New Roman" w:hAnsi="Times New Roman" w:cs="Times New Roman"/>
          <w:sz w:val="20"/>
          <w:szCs w:val="20"/>
        </w:rPr>
        <w:t xml:space="preserve"> </w:t>
      </w:r>
    </w:p>
    <w:p w14:paraId="0EEDF688" w14:textId="4AEC935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Angel, J. L. (1947). The length of life in ancient Greece. </w:t>
      </w:r>
      <w:r w:rsidRPr="001256EA">
        <w:rPr>
          <w:rFonts w:ascii="Times New Roman" w:hAnsi="Times New Roman" w:cs="Times New Roman"/>
          <w:i/>
          <w:iCs/>
          <w:sz w:val="20"/>
          <w:szCs w:val="20"/>
        </w:rPr>
        <w:t>Journal of Gerontology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w:t>
      </w:r>
      <w:r w:rsidRPr="001256EA">
        <w:rPr>
          <w:rFonts w:ascii="Times New Roman" w:hAnsi="Times New Roman" w:cs="Times New Roman"/>
          <w:sz w:val="20"/>
          <w:szCs w:val="20"/>
        </w:rPr>
        <w:t xml:space="preserve">(1), 18–24. </w:t>
      </w:r>
      <w:hyperlink r:id="rId30" w:history="1">
        <w:r w:rsidRPr="001256EA">
          <w:rPr>
            <w:rStyle w:val="Hyperlink"/>
            <w:rFonts w:ascii="Times New Roman" w:hAnsi="Times New Roman" w:cs="Times New Roman"/>
            <w:sz w:val="20"/>
            <w:szCs w:val="20"/>
          </w:rPr>
          <w:t>https://academic.oup.com/geronj/article-abstract/2/1/18/614828</w:t>
        </w:r>
      </w:hyperlink>
      <w:r w:rsidRPr="001256EA">
        <w:rPr>
          <w:rFonts w:ascii="Times New Roman" w:hAnsi="Times New Roman" w:cs="Times New Roman"/>
          <w:sz w:val="20"/>
          <w:szCs w:val="20"/>
        </w:rPr>
        <w:t xml:space="preserve"> </w:t>
      </w:r>
    </w:p>
    <w:p w14:paraId="4ED77E45" w14:textId="6437412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Archer, M., Willmott, L., </w:t>
      </w: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&amp; White, B. P. (2023). What Domains of Belgian Euthanasia Practice are Governed and by Which Sources of Regulation: A Scoping Review. </w:t>
      </w:r>
      <w:r w:rsidRPr="001256EA">
        <w:rPr>
          <w:rFonts w:ascii="Times New Roman" w:hAnsi="Times New Roman" w:cs="Times New Roman"/>
          <w:i/>
          <w:iCs/>
          <w:sz w:val="20"/>
          <w:szCs w:val="20"/>
        </w:rPr>
        <w:t>OMEGA - Journal of Death and Dying</w:t>
      </w:r>
      <w:r w:rsidRPr="001256EA">
        <w:rPr>
          <w:rFonts w:ascii="Times New Roman" w:hAnsi="Times New Roman" w:cs="Times New Roman"/>
          <w:sz w:val="20"/>
          <w:szCs w:val="20"/>
        </w:rPr>
        <w:t xml:space="preserve">, 00302228231221839. </w:t>
      </w:r>
      <w:hyperlink r:id="rId31" w:history="1">
        <w:r w:rsidRPr="001256EA">
          <w:rPr>
            <w:rStyle w:val="Hyperlink"/>
            <w:rFonts w:ascii="Times New Roman" w:hAnsi="Times New Roman" w:cs="Times New Roman"/>
            <w:sz w:val="20"/>
            <w:szCs w:val="20"/>
          </w:rPr>
          <w:t>https://doi.org/10.1177/00302228231221839</w:t>
        </w:r>
      </w:hyperlink>
      <w:r w:rsidRPr="001256EA">
        <w:rPr>
          <w:rFonts w:ascii="Times New Roman" w:hAnsi="Times New Roman" w:cs="Times New Roman"/>
          <w:sz w:val="20"/>
          <w:szCs w:val="20"/>
        </w:rPr>
        <w:t xml:space="preserve"> </w:t>
      </w:r>
    </w:p>
    <w:p w14:paraId="3C140A9D" w14:textId="7D5C6D2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Archer, M., Willmott, L., </w:t>
      </w: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&amp; White, B. P. (2025). Key challenges in providing assisted dying in Belgium: A qualitative analysis of health professionals’ experiences. </w:t>
      </w:r>
      <w:r w:rsidRPr="001256EA">
        <w:rPr>
          <w:rFonts w:ascii="Times New Roman" w:hAnsi="Times New Roman" w:cs="Times New Roman"/>
          <w:i/>
          <w:iCs/>
          <w:sz w:val="20"/>
          <w:szCs w:val="20"/>
        </w:rPr>
        <w:t>Palliative Care and Social Practice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19</w:t>
      </w:r>
      <w:r w:rsidRPr="001256EA">
        <w:rPr>
          <w:rFonts w:ascii="Times New Roman" w:hAnsi="Times New Roman" w:cs="Times New Roman"/>
          <w:sz w:val="20"/>
          <w:szCs w:val="20"/>
        </w:rPr>
        <w:t xml:space="preserve">, 26323524251318044. </w:t>
      </w:r>
      <w:hyperlink r:id="rId32" w:history="1">
        <w:r w:rsidRPr="001256EA">
          <w:rPr>
            <w:rStyle w:val="Hyperlink"/>
            <w:rFonts w:ascii="Times New Roman" w:hAnsi="Times New Roman" w:cs="Times New Roman"/>
            <w:sz w:val="20"/>
            <w:szCs w:val="20"/>
          </w:rPr>
          <w:t>https://doi.org/10.1177/26323524251318044</w:t>
        </w:r>
      </w:hyperlink>
      <w:r w:rsidRPr="001256EA">
        <w:rPr>
          <w:rFonts w:ascii="Times New Roman" w:hAnsi="Times New Roman" w:cs="Times New Roman"/>
          <w:sz w:val="20"/>
          <w:szCs w:val="20"/>
        </w:rPr>
        <w:t xml:space="preserve"> </w:t>
      </w:r>
    </w:p>
    <w:p w14:paraId="67E7F1F0" w14:textId="0CAA65B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fr-FR"/>
        </w:rPr>
        <w:t>Arreciado</w:t>
      </w:r>
      <w:proofErr w:type="spellEnd"/>
      <w:r w:rsidRPr="001256EA">
        <w:rPr>
          <w:rFonts w:ascii="Times New Roman" w:hAnsi="Times New Roman" w:cs="Times New Roman"/>
          <w:sz w:val="20"/>
          <w:szCs w:val="20"/>
          <w:lang w:val="fr-FR"/>
        </w:rPr>
        <w:t xml:space="preserve"> Marañón, A., García-Sierra, R., </w:t>
      </w:r>
      <w:proofErr w:type="spellStart"/>
      <w:r w:rsidRPr="001256EA">
        <w:rPr>
          <w:rFonts w:ascii="Times New Roman" w:hAnsi="Times New Roman" w:cs="Times New Roman"/>
          <w:sz w:val="20"/>
          <w:szCs w:val="20"/>
          <w:lang w:val="fr-FR"/>
        </w:rPr>
        <w:t>Busquet</w:t>
      </w:r>
      <w:proofErr w:type="spellEnd"/>
      <w:r w:rsidRPr="001256EA">
        <w:rPr>
          <w:rFonts w:ascii="Times New Roman" w:hAnsi="Times New Roman" w:cs="Times New Roman"/>
          <w:sz w:val="20"/>
          <w:szCs w:val="20"/>
          <w:lang w:val="fr-FR"/>
        </w:rPr>
        <w:t>-Duran, X., Tort-</w:t>
      </w:r>
      <w:proofErr w:type="spellStart"/>
      <w:r w:rsidRPr="001256EA">
        <w:rPr>
          <w:rFonts w:ascii="Times New Roman" w:hAnsi="Times New Roman" w:cs="Times New Roman"/>
          <w:sz w:val="20"/>
          <w:szCs w:val="20"/>
          <w:lang w:val="fr-FR"/>
        </w:rPr>
        <w:t>Nasarre</w:t>
      </w:r>
      <w:proofErr w:type="spellEnd"/>
      <w:r w:rsidRPr="001256EA">
        <w:rPr>
          <w:rFonts w:ascii="Times New Roman" w:hAnsi="Times New Roman" w:cs="Times New Roman"/>
          <w:sz w:val="20"/>
          <w:szCs w:val="20"/>
          <w:lang w:val="fr-FR"/>
        </w:rPr>
        <w:t xml:space="preserve">, G., &amp; Feijoo-Cid, M. (2025). </w:t>
      </w:r>
      <w:r w:rsidRPr="001256EA">
        <w:rPr>
          <w:rFonts w:ascii="Times New Roman" w:hAnsi="Times New Roman" w:cs="Times New Roman"/>
          <w:sz w:val="20"/>
          <w:szCs w:val="20"/>
        </w:rPr>
        <w:t xml:space="preserve">Nursing students’ attitude toward euthanasia following its legalization in Spain. </w:t>
      </w:r>
      <w:r w:rsidRPr="001256EA">
        <w:rPr>
          <w:rFonts w:ascii="Times New Roman" w:hAnsi="Times New Roman" w:cs="Times New Roman"/>
          <w:i/>
          <w:iCs/>
          <w:sz w:val="20"/>
          <w:szCs w:val="20"/>
        </w:rPr>
        <w:t>Nursing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32</w:t>
      </w:r>
      <w:r w:rsidRPr="001256EA">
        <w:rPr>
          <w:rFonts w:ascii="Times New Roman" w:hAnsi="Times New Roman" w:cs="Times New Roman"/>
          <w:sz w:val="20"/>
          <w:szCs w:val="20"/>
        </w:rPr>
        <w:t xml:space="preserve">(2), 412–423. </w:t>
      </w:r>
      <w:hyperlink r:id="rId33" w:history="1">
        <w:r w:rsidRPr="001256EA">
          <w:rPr>
            <w:rStyle w:val="Hyperlink"/>
            <w:rFonts w:ascii="Times New Roman" w:hAnsi="Times New Roman" w:cs="Times New Roman"/>
            <w:sz w:val="20"/>
            <w:szCs w:val="20"/>
          </w:rPr>
          <w:t>https://doi.org/10.1177/09697330241238342</w:t>
        </w:r>
      </w:hyperlink>
      <w:r w:rsidRPr="001256EA">
        <w:rPr>
          <w:rFonts w:ascii="Times New Roman" w:hAnsi="Times New Roman" w:cs="Times New Roman"/>
          <w:sz w:val="20"/>
          <w:szCs w:val="20"/>
        </w:rPr>
        <w:t xml:space="preserve"> </w:t>
      </w:r>
    </w:p>
    <w:p w14:paraId="48397A46" w14:textId="6B389AF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Astromskė</w:t>
      </w:r>
      <w:proofErr w:type="spellEnd"/>
      <w:r w:rsidRPr="001256EA">
        <w:rPr>
          <w:rFonts w:ascii="Times New Roman" w:hAnsi="Times New Roman" w:cs="Times New Roman"/>
          <w:sz w:val="20"/>
          <w:szCs w:val="20"/>
        </w:rPr>
        <w:t xml:space="preserve">, K., </w:t>
      </w:r>
      <w:proofErr w:type="spellStart"/>
      <w:r w:rsidRPr="001256EA">
        <w:rPr>
          <w:rFonts w:ascii="Times New Roman" w:hAnsi="Times New Roman" w:cs="Times New Roman"/>
          <w:sz w:val="20"/>
          <w:szCs w:val="20"/>
        </w:rPr>
        <w:t>Butkevičienė</w:t>
      </w:r>
      <w:proofErr w:type="spellEnd"/>
      <w:r w:rsidRPr="001256EA">
        <w:rPr>
          <w:rFonts w:ascii="Times New Roman" w:hAnsi="Times New Roman" w:cs="Times New Roman"/>
          <w:sz w:val="20"/>
          <w:szCs w:val="20"/>
        </w:rPr>
        <w:t xml:space="preserve">, R., </w:t>
      </w:r>
      <w:proofErr w:type="spellStart"/>
      <w:r w:rsidRPr="001256EA">
        <w:rPr>
          <w:rFonts w:ascii="Times New Roman" w:hAnsi="Times New Roman" w:cs="Times New Roman"/>
          <w:sz w:val="20"/>
          <w:szCs w:val="20"/>
        </w:rPr>
        <w:t>Kuznecovienė</w:t>
      </w:r>
      <w:proofErr w:type="spellEnd"/>
      <w:r w:rsidRPr="001256EA">
        <w:rPr>
          <w:rFonts w:ascii="Times New Roman" w:hAnsi="Times New Roman" w:cs="Times New Roman"/>
          <w:sz w:val="20"/>
          <w:szCs w:val="20"/>
        </w:rPr>
        <w:t xml:space="preserve">, Peičius, E., &amp; Urbonas, G. (2021). </w:t>
      </w:r>
      <w:proofErr w:type="spellStart"/>
      <w:r w:rsidRPr="001256EA">
        <w:rPr>
          <w:rFonts w:ascii="Times New Roman" w:hAnsi="Times New Roman" w:cs="Times New Roman"/>
          <w:sz w:val="20"/>
          <w:szCs w:val="20"/>
        </w:rPr>
        <w:t>Sunkiomis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nepagydomomis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ligomis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sergančių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asmenų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orumo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apsaugos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reikalavimas</w:t>
      </w:r>
      <w:proofErr w:type="spellEnd"/>
      <w:r w:rsidRPr="001256EA">
        <w:rPr>
          <w:rFonts w:ascii="Times New Roman" w:hAnsi="Times New Roman" w:cs="Times New Roman"/>
          <w:sz w:val="20"/>
          <w:szCs w:val="20"/>
        </w:rPr>
        <w:t xml:space="preserve"> – </w:t>
      </w:r>
      <w:proofErr w:type="spellStart"/>
      <w:r w:rsidRPr="001256EA">
        <w:rPr>
          <w:rFonts w:ascii="Times New Roman" w:hAnsi="Times New Roman" w:cs="Times New Roman"/>
          <w:sz w:val="20"/>
          <w:szCs w:val="20"/>
        </w:rPr>
        <w:t>tarptautinės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nacionalinės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teisės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normos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bei</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praktiniai</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jų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taikymo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aspektai</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i/>
          <w:iCs/>
          <w:sz w:val="20"/>
          <w:szCs w:val="20"/>
        </w:rPr>
        <w:t>Teisės</w:t>
      </w:r>
      <w:proofErr w:type="spellEnd"/>
      <w:r w:rsidRPr="001256EA">
        <w:rPr>
          <w:rFonts w:ascii="Times New Roman" w:hAnsi="Times New Roman" w:cs="Times New Roman"/>
          <w:i/>
          <w:iCs/>
          <w:sz w:val="20"/>
          <w:szCs w:val="20"/>
        </w:rPr>
        <w:t xml:space="preserve"> </w:t>
      </w:r>
      <w:proofErr w:type="spellStart"/>
      <w:r w:rsidRPr="001256EA">
        <w:rPr>
          <w:rFonts w:ascii="Times New Roman" w:hAnsi="Times New Roman" w:cs="Times New Roman"/>
          <w:i/>
          <w:iCs/>
          <w:sz w:val="20"/>
          <w:szCs w:val="20"/>
        </w:rPr>
        <w:t>apžvalga</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1(23)</w:t>
      </w:r>
      <w:r w:rsidRPr="001256EA">
        <w:rPr>
          <w:rFonts w:ascii="Times New Roman" w:hAnsi="Times New Roman" w:cs="Times New Roman"/>
          <w:sz w:val="20"/>
          <w:szCs w:val="20"/>
        </w:rPr>
        <w:t xml:space="preserve">, 3–21. </w:t>
      </w:r>
      <w:hyperlink r:id="rId34" w:history="1">
        <w:r w:rsidRPr="001256EA">
          <w:rPr>
            <w:rStyle w:val="Hyperlink"/>
            <w:rFonts w:ascii="Times New Roman" w:hAnsi="Times New Roman" w:cs="Times New Roman"/>
            <w:sz w:val="20"/>
            <w:szCs w:val="20"/>
          </w:rPr>
          <w:t>https://www.ceeol.com/search/article-detail?id=980274</w:t>
        </w:r>
      </w:hyperlink>
      <w:r w:rsidRPr="001256EA">
        <w:rPr>
          <w:rFonts w:ascii="Times New Roman" w:hAnsi="Times New Roman" w:cs="Times New Roman"/>
          <w:sz w:val="20"/>
          <w:szCs w:val="20"/>
        </w:rPr>
        <w:t xml:space="preserve"> </w:t>
      </w:r>
    </w:p>
    <w:p w14:paraId="7BA36AA5" w14:textId="6402463D" w:rsidR="003D0C40" w:rsidRPr="001256EA" w:rsidRDefault="003D0C40"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Atiq, E. H. (2023). Legal positivism and the moral origins of legal systems. Canadian Journal of Law &amp; Jurisprudence, 36(1), 37-64. Retrieved 20.12.2025, From: https://www.cambridge.org/core/journals/canadian-journal-of-law-and-jurisprudence/article/legal-positivism-and-the-moral-origins-of-legal-systems/CDBDD99E35D63DD479026211F39D6FC0</w:t>
      </w:r>
    </w:p>
    <w:p w14:paraId="15357C27" w14:textId="359FCFC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Aubry, R. (2016). End-of-life, euthanasia, and assisted suicide: An update on the situation in France. </w:t>
      </w:r>
      <w:r w:rsidRPr="001256EA">
        <w:rPr>
          <w:rFonts w:ascii="Times New Roman" w:hAnsi="Times New Roman" w:cs="Times New Roman"/>
          <w:i/>
          <w:iCs/>
          <w:sz w:val="20"/>
          <w:szCs w:val="20"/>
        </w:rPr>
        <w:t xml:space="preserve">Revue </w:t>
      </w:r>
      <w:proofErr w:type="spellStart"/>
      <w:r w:rsidRPr="001256EA">
        <w:rPr>
          <w:rFonts w:ascii="Times New Roman" w:hAnsi="Times New Roman" w:cs="Times New Roman"/>
          <w:i/>
          <w:iCs/>
          <w:sz w:val="20"/>
          <w:szCs w:val="20"/>
        </w:rPr>
        <w:t>Neurologique</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172</w:t>
      </w:r>
      <w:r w:rsidRPr="001256EA">
        <w:rPr>
          <w:rFonts w:ascii="Times New Roman" w:hAnsi="Times New Roman" w:cs="Times New Roman"/>
          <w:sz w:val="20"/>
          <w:szCs w:val="20"/>
        </w:rPr>
        <w:t xml:space="preserve">(12), 719–724. </w:t>
      </w:r>
      <w:hyperlink r:id="rId35" w:history="1">
        <w:r w:rsidRPr="001256EA">
          <w:rPr>
            <w:rStyle w:val="Hyperlink"/>
            <w:rFonts w:ascii="Times New Roman" w:hAnsi="Times New Roman" w:cs="Times New Roman"/>
            <w:sz w:val="20"/>
            <w:szCs w:val="20"/>
          </w:rPr>
          <w:t>https://www.sciencedirect.com/science/article/pii/S0035378716301254</w:t>
        </w:r>
      </w:hyperlink>
      <w:r w:rsidRPr="001256EA">
        <w:rPr>
          <w:rFonts w:ascii="Times New Roman" w:hAnsi="Times New Roman" w:cs="Times New Roman"/>
          <w:sz w:val="20"/>
          <w:szCs w:val="20"/>
        </w:rPr>
        <w:t xml:space="preserve"> </w:t>
      </w:r>
    </w:p>
    <w:p w14:paraId="3FE8A62E" w14:textId="6EDAB7FF" w:rsidR="00342C72"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Bachmetjev</w:t>
      </w:r>
      <w:proofErr w:type="spellEnd"/>
      <w:r w:rsidRPr="001256EA">
        <w:rPr>
          <w:rFonts w:ascii="Times New Roman" w:hAnsi="Times New Roman" w:cs="Times New Roman"/>
          <w:sz w:val="20"/>
          <w:szCs w:val="20"/>
        </w:rPr>
        <w:t xml:space="preserve">, B., </w:t>
      </w:r>
      <w:proofErr w:type="spellStart"/>
      <w:r w:rsidRPr="001256EA">
        <w:rPr>
          <w:rFonts w:ascii="Times New Roman" w:hAnsi="Times New Roman" w:cs="Times New Roman"/>
          <w:sz w:val="20"/>
          <w:szCs w:val="20"/>
        </w:rPr>
        <w:t>Airapetian</w:t>
      </w:r>
      <w:proofErr w:type="spellEnd"/>
      <w:r w:rsidRPr="001256EA">
        <w:rPr>
          <w:rFonts w:ascii="Times New Roman" w:hAnsi="Times New Roman" w:cs="Times New Roman"/>
          <w:sz w:val="20"/>
          <w:szCs w:val="20"/>
        </w:rPr>
        <w:t xml:space="preserve">, A., </w:t>
      </w:r>
      <w:proofErr w:type="spellStart"/>
      <w:r w:rsidRPr="001256EA">
        <w:rPr>
          <w:rFonts w:ascii="Times New Roman" w:hAnsi="Times New Roman" w:cs="Times New Roman"/>
          <w:sz w:val="20"/>
          <w:szCs w:val="20"/>
        </w:rPr>
        <w:t>Jakubauskienė</w:t>
      </w:r>
      <w:proofErr w:type="spellEnd"/>
      <w:r w:rsidRPr="001256EA">
        <w:rPr>
          <w:rFonts w:ascii="Times New Roman" w:hAnsi="Times New Roman" w:cs="Times New Roman"/>
          <w:sz w:val="20"/>
          <w:szCs w:val="20"/>
        </w:rPr>
        <w:t xml:space="preserve">, M., Zablockis, R., &amp; </w:t>
      </w:r>
      <w:proofErr w:type="spellStart"/>
      <w:r w:rsidRPr="001256EA">
        <w:rPr>
          <w:rFonts w:ascii="Times New Roman" w:hAnsi="Times New Roman" w:cs="Times New Roman"/>
          <w:sz w:val="20"/>
          <w:szCs w:val="20"/>
        </w:rPr>
        <w:t>Čekanauskaitė</w:t>
      </w:r>
      <w:proofErr w:type="spellEnd"/>
      <w:r w:rsidRPr="001256EA">
        <w:rPr>
          <w:rFonts w:ascii="Times New Roman" w:hAnsi="Times New Roman" w:cs="Times New Roman"/>
          <w:sz w:val="20"/>
          <w:szCs w:val="20"/>
        </w:rPr>
        <w:t xml:space="preserve">, A. (2025). Demographic influences on Lithuanian physicians’ attitudes toward medical assistance in dying: A cross-sectional study. </w:t>
      </w:r>
      <w:r w:rsidRPr="001256EA">
        <w:rPr>
          <w:rFonts w:ascii="Times New Roman" w:hAnsi="Times New Roman" w:cs="Times New Roman"/>
          <w:i/>
          <w:iCs/>
          <w:sz w:val="20"/>
          <w:szCs w:val="20"/>
        </w:rPr>
        <w:t>Frontiers in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15</w:t>
      </w:r>
      <w:r w:rsidRPr="001256EA">
        <w:rPr>
          <w:rFonts w:ascii="Times New Roman" w:hAnsi="Times New Roman" w:cs="Times New Roman"/>
          <w:sz w:val="20"/>
          <w:szCs w:val="20"/>
        </w:rPr>
        <w:t xml:space="preserve">, 1507790. </w:t>
      </w:r>
      <w:hyperlink r:id="rId36" w:history="1">
        <w:r w:rsidRPr="001256EA">
          <w:rPr>
            <w:rStyle w:val="Hyperlink"/>
            <w:rFonts w:ascii="Times New Roman" w:hAnsi="Times New Roman" w:cs="Times New Roman"/>
            <w:sz w:val="20"/>
            <w:szCs w:val="20"/>
          </w:rPr>
          <w:t>https://www.frontiersin.org/journals/psychiatry/articles/10.3389/fpsyt.2024.1507790/full</w:t>
        </w:r>
      </w:hyperlink>
      <w:r w:rsidRPr="001256EA">
        <w:rPr>
          <w:rFonts w:ascii="Times New Roman" w:hAnsi="Times New Roman" w:cs="Times New Roman"/>
          <w:sz w:val="20"/>
          <w:szCs w:val="20"/>
        </w:rPr>
        <w:t xml:space="preserve"> </w:t>
      </w:r>
    </w:p>
    <w:p w14:paraId="364DB892" w14:textId="5EAE81CB" w:rsidR="00113846" w:rsidRPr="00D0195E" w:rsidRDefault="00113846"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D0195E">
        <w:rPr>
          <w:rFonts w:ascii="Times New Roman" w:hAnsi="Times New Roman" w:cs="Times New Roman"/>
          <w:sz w:val="20"/>
          <w:szCs w:val="20"/>
        </w:rPr>
        <w:t>Bachmetjev</w:t>
      </w:r>
      <w:proofErr w:type="spellEnd"/>
      <w:r w:rsidRPr="00D0195E">
        <w:rPr>
          <w:rFonts w:ascii="Times New Roman" w:hAnsi="Times New Roman" w:cs="Times New Roman"/>
          <w:sz w:val="20"/>
          <w:szCs w:val="20"/>
        </w:rPr>
        <w:t xml:space="preserve">, B., </w:t>
      </w:r>
      <w:proofErr w:type="spellStart"/>
      <w:r w:rsidRPr="00D0195E">
        <w:rPr>
          <w:rFonts w:ascii="Times New Roman" w:hAnsi="Times New Roman" w:cs="Times New Roman"/>
          <w:sz w:val="20"/>
          <w:szCs w:val="20"/>
        </w:rPr>
        <w:t>Airapetian</w:t>
      </w:r>
      <w:proofErr w:type="spellEnd"/>
      <w:r w:rsidRPr="00D0195E">
        <w:rPr>
          <w:rFonts w:ascii="Times New Roman" w:hAnsi="Times New Roman" w:cs="Times New Roman"/>
          <w:sz w:val="20"/>
          <w:szCs w:val="20"/>
        </w:rPr>
        <w:t xml:space="preserve">, A., &amp; Zablockis, R. (2024, March). Attitude of the Lithuanian public toward medical assistance in dying: A cross-sectional study. In </w:t>
      </w:r>
      <w:r w:rsidRPr="00D0195E">
        <w:rPr>
          <w:rFonts w:ascii="Times New Roman" w:hAnsi="Times New Roman" w:cs="Times New Roman"/>
          <w:i/>
          <w:iCs/>
          <w:sz w:val="20"/>
          <w:szCs w:val="20"/>
        </w:rPr>
        <w:t>Healthcare</w:t>
      </w:r>
      <w:r w:rsidRPr="00D0195E">
        <w:rPr>
          <w:rFonts w:ascii="Times New Roman" w:hAnsi="Times New Roman" w:cs="Times New Roman"/>
          <w:sz w:val="20"/>
          <w:szCs w:val="20"/>
        </w:rPr>
        <w:t xml:space="preserve"> (Vol. 12, No. 6, p. 626). MDPI. </w:t>
      </w:r>
      <w:hyperlink r:id="rId37" w:history="1">
        <w:r w:rsidRPr="00D0195E">
          <w:rPr>
            <w:rStyle w:val="Hyperlink"/>
            <w:rFonts w:ascii="Times New Roman" w:hAnsi="Times New Roman" w:cs="Times New Roman"/>
            <w:sz w:val="20"/>
            <w:szCs w:val="20"/>
          </w:rPr>
          <w:t>https://doi.org/10.3390/healthcare12060626</w:t>
        </w:r>
      </w:hyperlink>
    </w:p>
    <w:p w14:paraId="5B3C0D86" w14:textId="796932A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es-ES"/>
        </w:rPr>
      </w:pPr>
      <w:r w:rsidRPr="001256EA">
        <w:rPr>
          <w:rFonts w:ascii="Times New Roman" w:hAnsi="Times New Roman" w:cs="Times New Roman"/>
          <w:sz w:val="20"/>
          <w:szCs w:val="20"/>
        </w:rPr>
        <w:t xml:space="preserve">Baksheev, A., </w:t>
      </w:r>
      <w:proofErr w:type="spellStart"/>
      <w:r w:rsidRPr="001256EA">
        <w:rPr>
          <w:rFonts w:ascii="Times New Roman" w:hAnsi="Times New Roman" w:cs="Times New Roman"/>
          <w:sz w:val="20"/>
          <w:szCs w:val="20"/>
        </w:rPr>
        <w:t>Turchina</w:t>
      </w:r>
      <w:proofErr w:type="spellEnd"/>
      <w:r w:rsidRPr="001256EA">
        <w:rPr>
          <w:rFonts w:ascii="Times New Roman" w:hAnsi="Times New Roman" w:cs="Times New Roman"/>
          <w:sz w:val="20"/>
          <w:szCs w:val="20"/>
        </w:rPr>
        <w:t xml:space="preserve">, Z., Gusarenko, V., Rakhinsky, D., </w:t>
      </w:r>
      <w:proofErr w:type="spellStart"/>
      <w:r w:rsidRPr="001256EA">
        <w:rPr>
          <w:rFonts w:ascii="Times New Roman" w:hAnsi="Times New Roman" w:cs="Times New Roman"/>
          <w:sz w:val="20"/>
          <w:szCs w:val="20"/>
        </w:rPr>
        <w:t>Rukavitsyna</w:t>
      </w:r>
      <w:proofErr w:type="spellEnd"/>
      <w:r w:rsidRPr="001256EA">
        <w:rPr>
          <w:rFonts w:ascii="Times New Roman" w:hAnsi="Times New Roman" w:cs="Times New Roman"/>
          <w:sz w:val="20"/>
          <w:szCs w:val="20"/>
        </w:rPr>
        <w:t xml:space="preserve">, E., &amp; </w:t>
      </w:r>
      <w:proofErr w:type="spellStart"/>
      <w:r w:rsidRPr="001256EA">
        <w:rPr>
          <w:rFonts w:ascii="Times New Roman" w:hAnsi="Times New Roman" w:cs="Times New Roman"/>
          <w:sz w:val="20"/>
          <w:szCs w:val="20"/>
        </w:rPr>
        <w:t>Bershadskaja</w:t>
      </w:r>
      <w:proofErr w:type="spellEnd"/>
      <w:r w:rsidRPr="001256EA">
        <w:rPr>
          <w:rFonts w:ascii="Times New Roman" w:hAnsi="Times New Roman" w:cs="Times New Roman"/>
          <w:sz w:val="20"/>
          <w:szCs w:val="20"/>
        </w:rPr>
        <w:t xml:space="preserve">, S. (2020). Euthanasia and Human Right to Life in International and National Law. </w:t>
      </w:r>
      <w:r w:rsidRPr="001256EA">
        <w:rPr>
          <w:rFonts w:ascii="Times New Roman" w:hAnsi="Times New Roman" w:cs="Times New Roman"/>
          <w:i/>
          <w:iCs/>
          <w:sz w:val="20"/>
          <w:szCs w:val="20"/>
          <w:lang w:val="es-ES"/>
        </w:rPr>
        <w:t>Revista Inclusiones</w:t>
      </w:r>
      <w:r w:rsidRPr="001256EA">
        <w:rPr>
          <w:rFonts w:ascii="Times New Roman" w:hAnsi="Times New Roman" w:cs="Times New Roman"/>
          <w:sz w:val="20"/>
          <w:szCs w:val="20"/>
          <w:lang w:val="es-ES"/>
        </w:rPr>
        <w:t xml:space="preserve">, 329–341. </w:t>
      </w:r>
      <w:hyperlink r:id="rId38" w:history="1">
        <w:r w:rsidRPr="001256EA">
          <w:rPr>
            <w:rStyle w:val="Hyperlink"/>
            <w:rFonts w:ascii="Times New Roman" w:hAnsi="Times New Roman" w:cs="Times New Roman"/>
            <w:sz w:val="20"/>
            <w:szCs w:val="20"/>
            <w:lang w:val="es-ES"/>
          </w:rPr>
          <w:t>http://www.revistainclusiones.org/index.php/inclu/article/view/369</w:t>
        </w:r>
      </w:hyperlink>
      <w:r w:rsidRPr="001256EA">
        <w:rPr>
          <w:rFonts w:ascii="Times New Roman" w:hAnsi="Times New Roman" w:cs="Times New Roman"/>
          <w:sz w:val="20"/>
          <w:szCs w:val="20"/>
          <w:lang w:val="es-ES"/>
        </w:rPr>
        <w:t xml:space="preserve"> </w:t>
      </w:r>
    </w:p>
    <w:p w14:paraId="29DFAD37" w14:textId="12C3724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lastRenderedPageBreak/>
        <w:t xml:space="preserve">Banerjee, S., &amp; Sengupta, S. (2022). </w:t>
      </w:r>
      <w:r w:rsidRPr="001256EA">
        <w:rPr>
          <w:rFonts w:ascii="Times New Roman" w:hAnsi="Times New Roman" w:cs="Times New Roman"/>
          <w:i/>
          <w:iCs/>
          <w:sz w:val="20"/>
          <w:szCs w:val="20"/>
        </w:rPr>
        <w:t>Euthanasia-A Doctrine of Death</w:t>
      </w:r>
      <w:r w:rsidRPr="001256EA">
        <w:rPr>
          <w:rFonts w:ascii="Times New Roman" w:hAnsi="Times New Roman" w:cs="Times New Roman"/>
          <w:sz w:val="20"/>
          <w:szCs w:val="20"/>
        </w:rPr>
        <w:t xml:space="preserve">. Blue Rose Publishers. </w:t>
      </w:r>
      <w:hyperlink r:id="rId39" w:history="1">
        <w:r w:rsidRPr="001256EA">
          <w:rPr>
            <w:rStyle w:val="Hyperlink"/>
            <w:rFonts w:ascii="Times New Roman" w:hAnsi="Times New Roman" w:cs="Times New Roman"/>
            <w:sz w:val="20"/>
            <w:szCs w:val="20"/>
          </w:rPr>
          <w:t>https://books.google.com/books?hl=en&amp;lr=&amp;id=K5VZEAAAQBAJ&amp;oi=fnd&amp;pg=PA8&amp;dq=Banerjee,+Sourav,+and+Shreya+Sengupta.+Euthanasia-A+Doctrine+of+Death.+Blue+Rose+Publishers,+2022.&amp;ots=pVSKylIQOu&amp;sig=tzwHTLPAogSmLWo8_Qf-94oRelk</w:t>
        </w:r>
      </w:hyperlink>
      <w:r w:rsidRPr="001256EA">
        <w:rPr>
          <w:rFonts w:ascii="Times New Roman" w:hAnsi="Times New Roman" w:cs="Times New Roman"/>
          <w:sz w:val="20"/>
          <w:szCs w:val="20"/>
        </w:rPr>
        <w:t xml:space="preserve"> </w:t>
      </w:r>
    </w:p>
    <w:p w14:paraId="5C43386B" w14:textId="50FCC24B" w:rsidR="00022492" w:rsidRPr="001256EA" w:rsidRDefault="0002249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Barrett, D., &amp; Younas, A. (2024). Induction, deduction and abduction. Evidence-based nursing, 27(1), 6-7. </w:t>
      </w:r>
      <w:hyperlink r:id="rId40" w:tgtFrame="_new" w:history="1">
        <w:r w:rsidRPr="001256EA">
          <w:rPr>
            <w:rStyle w:val="Hyperlink"/>
            <w:rFonts w:ascii="Times New Roman" w:hAnsi="Times New Roman" w:cs="Times New Roman"/>
            <w:sz w:val="20"/>
            <w:szCs w:val="20"/>
          </w:rPr>
          <w:t>https://doi.org/10.1136/ebnurs-2023-103873</w:t>
        </w:r>
      </w:hyperlink>
      <w:r w:rsidRPr="001256EA">
        <w:rPr>
          <w:rFonts w:ascii="Times New Roman" w:hAnsi="Times New Roman" w:cs="Times New Roman"/>
          <w:sz w:val="20"/>
          <w:szCs w:val="20"/>
        </w:rPr>
        <w:t xml:space="preserve"> </w:t>
      </w:r>
    </w:p>
    <w:p w14:paraId="12FC1826" w14:textId="716B15D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Barroso, L. R. (2012). Here, there, and everywhere: Human dignity in contemporary law and in </w:t>
      </w:r>
      <w:proofErr w:type="gramStart"/>
      <w:r w:rsidRPr="001256EA">
        <w:rPr>
          <w:rFonts w:ascii="Times New Roman" w:hAnsi="Times New Roman" w:cs="Times New Roman"/>
          <w:sz w:val="20"/>
          <w:szCs w:val="20"/>
        </w:rPr>
        <w:t>the transnational</w:t>
      </w:r>
      <w:proofErr w:type="gramEnd"/>
      <w:r w:rsidRPr="001256EA">
        <w:rPr>
          <w:rFonts w:ascii="Times New Roman" w:hAnsi="Times New Roman" w:cs="Times New Roman"/>
          <w:sz w:val="20"/>
          <w:szCs w:val="20"/>
        </w:rPr>
        <w:t xml:space="preserve"> discourse. </w:t>
      </w:r>
      <w:r w:rsidRPr="001256EA">
        <w:rPr>
          <w:rFonts w:ascii="Times New Roman" w:hAnsi="Times New Roman" w:cs="Times New Roman"/>
          <w:i/>
          <w:iCs/>
          <w:sz w:val="20"/>
          <w:szCs w:val="20"/>
        </w:rPr>
        <w:t>BC Int’l &amp; Comp. L. Rev.</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35</w:t>
      </w:r>
      <w:r w:rsidRPr="001256EA">
        <w:rPr>
          <w:rFonts w:ascii="Times New Roman" w:hAnsi="Times New Roman" w:cs="Times New Roman"/>
          <w:sz w:val="20"/>
          <w:szCs w:val="20"/>
        </w:rPr>
        <w:t xml:space="preserve">, 331. </w:t>
      </w:r>
      <w:hyperlink r:id="rId41" w:history="1">
        <w:r w:rsidRPr="001256EA">
          <w:rPr>
            <w:rStyle w:val="Hyperlink"/>
            <w:rFonts w:ascii="Times New Roman" w:hAnsi="Times New Roman" w:cs="Times New Roman"/>
            <w:sz w:val="20"/>
            <w:szCs w:val="20"/>
          </w:rPr>
          <w:t>https://heinonline.org/hol-cgi-bin/get_pdf.cgi?handle=hein.journals/bcic35&amp;section=13</w:t>
        </w:r>
      </w:hyperlink>
      <w:r w:rsidRPr="001256EA">
        <w:rPr>
          <w:rFonts w:ascii="Times New Roman" w:hAnsi="Times New Roman" w:cs="Times New Roman"/>
          <w:sz w:val="20"/>
          <w:szCs w:val="20"/>
        </w:rPr>
        <w:t xml:space="preserve"> </w:t>
      </w:r>
    </w:p>
    <w:p w14:paraId="6C3725AC" w14:textId="2E0B45E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fr-FR"/>
        </w:rPr>
      </w:pPr>
      <w:r w:rsidRPr="001256EA">
        <w:rPr>
          <w:rFonts w:ascii="Times New Roman" w:hAnsi="Times New Roman" w:cs="Times New Roman"/>
          <w:sz w:val="20"/>
          <w:szCs w:val="20"/>
          <w:lang w:val="fr-FR"/>
        </w:rPr>
        <w:t xml:space="preserve">Basile, G., &amp; De Nina, A. (2023). </w:t>
      </w:r>
      <w:r w:rsidRPr="001256EA">
        <w:rPr>
          <w:rFonts w:ascii="Times New Roman" w:hAnsi="Times New Roman" w:cs="Times New Roman"/>
          <w:sz w:val="20"/>
          <w:szCs w:val="20"/>
        </w:rPr>
        <w:t xml:space="preserve">The core notion of euthanasia in its primordial beginnings. </w:t>
      </w:r>
      <w:r w:rsidRPr="001256EA">
        <w:rPr>
          <w:rFonts w:ascii="Times New Roman" w:hAnsi="Times New Roman" w:cs="Times New Roman"/>
          <w:i/>
          <w:iCs/>
          <w:sz w:val="20"/>
          <w:szCs w:val="20"/>
          <w:lang w:val="fr-FR"/>
        </w:rPr>
        <w:t xml:space="preserve">La </w:t>
      </w:r>
      <w:proofErr w:type="spellStart"/>
      <w:r w:rsidRPr="001256EA">
        <w:rPr>
          <w:rFonts w:ascii="Times New Roman" w:hAnsi="Times New Roman" w:cs="Times New Roman"/>
          <w:i/>
          <w:iCs/>
          <w:sz w:val="20"/>
          <w:szCs w:val="20"/>
          <w:lang w:val="fr-FR"/>
        </w:rPr>
        <w:t>Clinica</w:t>
      </w:r>
      <w:proofErr w:type="spellEnd"/>
      <w:r w:rsidRPr="001256EA">
        <w:rPr>
          <w:rFonts w:ascii="Times New Roman" w:hAnsi="Times New Roman" w:cs="Times New Roman"/>
          <w:i/>
          <w:iCs/>
          <w:sz w:val="20"/>
          <w:szCs w:val="20"/>
          <w:lang w:val="fr-FR"/>
        </w:rPr>
        <w:t xml:space="preserve"> </w:t>
      </w:r>
      <w:proofErr w:type="spellStart"/>
      <w:r w:rsidRPr="001256EA">
        <w:rPr>
          <w:rFonts w:ascii="Times New Roman" w:hAnsi="Times New Roman" w:cs="Times New Roman"/>
          <w:i/>
          <w:iCs/>
          <w:sz w:val="20"/>
          <w:szCs w:val="20"/>
          <w:lang w:val="fr-FR"/>
        </w:rPr>
        <w:t>Terapeutica</w:t>
      </w:r>
      <w:proofErr w:type="spellEnd"/>
      <w:r w:rsidRPr="001256EA">
        <w:rPr>
          <w:rFonts w:ascii="Times New Roman" w:hAnsi="Times New Roman" w:cs="Times New Roman"/>
          <w:sz w:val="20"/>
          <w:szCs w:val="20"/>
          <w:lang w:val="fr-FR"/>
        </w:rPr>
        <w:t xml:space="preserve">, </w:t>
      </w:r>
      <w:r w:rsidRPr="001256EA">
        <w:rPr>
          <w:rFonts w:ascii="Times New Roman" w:hAnsi="Times New Roman" w:cs="Times New Roman"/>
          <w:i/>
          <w:iCs/>
          <w:sz w:val="20"/>
          <w:szCs w:val="20"/>
          <w:lang w:val="fr-FR"/>
        </w:rPr>
        <w:t>174</w:t>
      </w:r>
      <w:r w:rsidRPr="001256EA">
        <w:rPr>
          <w:rFonts w:ascii="Times New Roman" w:hAnsi="Times New Roman" w:cs="Times New Roman"/>
          <w:sz w:val="20"/>
          <w:szCs w:val="20"/>
          <w:lang w:val="fr-FR"/>
        </w:rPr>
        <w:t xml:space="preserve">(2). </w:t>
      </w:r>
      <w:hyperlink r:id="rId42" w:history="1">
        <w:r w:rsidRPr="001256EA">
          <w:rPr>
            <w:rStyle w:val="Hyperlink"/>
            <w:rFonts w:ascii="Times New Roman" w:hAnsi="Times New Roman" w:cs="Times New Roman"/>
            <w:sz w:val="20"/>
            <w:szCs w:val="20"/>
            <w:lang w:val="fr-FR"/>
          </w:rPr>
          <w:t>http://clinicaterapeutica.it/ojs/index.php/1/article/view/713</w:t>
        </w:r>
      </w:hyperlink>
      <w:r w:rsidRPr="001256EA">
        <w:rPr>
          <w:rFonts w:ascii="Times New Roman" w:hAnsi="Times New Roman" w:cs="Times New Roman"/>
          <w:sz w:val="20"/>
          <w:szCs w:val="20"/>
          <w:lang w:val="fr-FR"/>
        </w:rPr>
        <w:t xml:space="preserve"> </w:t>
      </w:r>
    </w:p>
    <w:p w14:paraId="1AAD1659" w14:textId="21CAF0A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Battin, M. P., Rhodes, R., &amp; Silvers, A. (1998). </w:t>
      </w:r>
      <w:r w:rsidRPr="001256EA">
        <w:rPr>
          <w:rFonts w:ascii="Times New Roman" w:hAnsi="Times New Roman" w:cs="Times New Roman"/>
          <w:i/>
          <w:iCs/>
          <w:sz w:val="20"/>
          <w:szCs w:val="20"/>
        </w:rPr>
        <w:t>Physician assisted suicide: Expanding the debate</w:t>
      </w:r>
      <w:r w:rsidRPr="001256EA">
        <w:rPr>
          <w:rFonts w:ascii="Times New Roman" w:hAnsi="Times New Roman" w:cs="Times New Roman"/>
          <w:sz w:val="20"/>
          <w:szCs w:val="20"/>
        </w:rPr>
        <w:t xml:space="preserve">. Psychology Press.  </w:t>
      </w:r>
      <w:hyperlink r:id="rId43" w:history="1">
        <w:r w:rsidRPr="001256EA">
          <w:rPr>
            <w:rStyle w:val="Hyperlink"/>
            <w:rFonts w:ascii="Times New Roman" w:hAnsi="Times New Roman" w:cs="Times New Roman"/>
            <w:sz w:val="20"/>
            <w:szCs w:val="20"/>
          </w:rPr>
          <w:t>https://books.google.com/books?hl=en&amp;lr=&amp;id=BH5eQSiBdlUC&amp;oi=fnd&amp;pg=PA1&amp;dq=++Battin,+M.+P.,+Rhodes,+R.,+%26+Silvers,+A.+(2015).+Physician+assisted+suicide:+expanding+the+debate.+Routledge.&amp;ots=oWiyqTgYwQ&amp;sig=n2re4wAQDBbKUCD2zpTNUSpQfVg</w:t>
        </w:r>
      </w:hyperlink>
      <w:r w:rsidRPr="001256EA">
        <w:rPr>
          <w:rFonts w:ascii="Times New Roman" w:hAnsi="Times New Roman" w:cs="Times New Roman"/>
          <w:sz w:val="20"/>
          <w:szCs w:val="20"/>
        </w:rPr>
        <w:t xml:space="preserve"> </w:t>
      </w:r>
    </w:p>
    <w:p w14:paraId="7D3F064E" w14:textId="7389D84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Battin, M. P., Van der Heide, A., </w:t>
      </w:r>
      <w:proofErr w:type="spellStart"/>
      <w:r w:rsidRPr="001256EA">
        <w:rPr>
          <w:rFonts w:ascii="Times New Roman" w:hAnsi="Times New Roman" w:cs="Times New Roman"/>
          <w:sz w:val="20"/>
          <w:szCs w:val="20"/>
          <w:lang w:val="de-DE"/>
        </w:rPr>
        <w:t>Ganzini</w:t>
      </w:r>
      <w:proofErr w:type="spellEnd"/>
      <w:r w:rsidRPr="001256EA">
        <w:rPr>
          <w:rFonts w:ascii="Times New Roman" w:hAnsi="Times New Roman" w:cs="Times New Roman"/>
          <w:sz w:val="20"/>
          <w:szCs w:val="20"/>
          <w:lang w:val="de-DE"/>
        </w:rPr>
        <w:t xml:space="preserve">, L., Van der Wal, G., &amp; </w:t>
      </w:r>
      <w:proofErr w:type="spellStart"/>
      <w:r w:rsidRPr="001256EA">
        <w:rPr>
          <w:rFonts w:ascii="Times New Roman" w:hAnsi="Times New Roman" w:cs="Times New Roman"/>
          <w:sz w:val="20"/>
          <w:szCs w:val="20"/>
          <w:lang w:val="de-DE"/>
        </w:rPr>
        <w:t>Onwuteaka</w:t>
      </w:r>
      <w:proofErr w:type="spellEnd"/>
      <w:r w:rsidRPr="001256EA">
        <w:rPr>
          <w:rFonts w:ascii="Times New Roman" w:hAnsi="Times New Roman" w:cs="Times New Roman"/>
          <w:sz w:val="20"/>
          <w:szCs w:val="20"/>
          <w:lang w:val="de-DE"/>
        </w:rPr>
        <w:t xml:space="preserve">-Philipsen, B. D. (2007). </w:t>
      </w:r>
      <w:r w:rsidRPr="001256EA">
        <w:rPr>
          <w:rFonts w:ascii="Times New Roman" w:hAnsi="Times New Roman" w:cs="Times New Roman"/>
          <w:sz w:val="20"/>
          <w:szCs w:val="20"/>
        </w:rPr>
        <w:t xml:space="preserve">Legal physician-assisted dying in Oregon and the Netherlands: Evidence concerning the impact on patients in “vulnerable” groups.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33</w:t>
      </w:r>
      <w:r w:rsidRPr="001256EA">
        <w:rPr>
          <w:rFonts w:ascii="Times New Roman" w:hAnsi="Times New Roman" w:cs="Times New Roman"/>
          <w:sz w:val="20"/>
          <w:szCs w:val="20"/>
        </w:rPr>
        <w:t xml:space="preserve">(10), 591–597. </w:t>
      </w:r>
      <w:hyperlink r:id="rId44" w:history="1">
        <w:r w:rsidRPr="001256EA">
          <w:rPr>
            <w:rStyle w:val="Hyperlink"/>
            <w:rFonts w:ascii="Times New Roman" w:hAnsi="Times New Roman" w:cs="Times New Roman"/>
            <w:sz w:val="20"/>
            <w:szCs w:val="20"/>
          </w:rPr>
          <w:t>https://jme.bmj.com/content/33/10/591.short</w:t>
        </w:r>
      </w:hyperlink>
      <w:r w:rsidRPr="001256EA">
        <w:rPr>
          <w:rFonts w:ascii="Times New Roman" w:hAnsi="Times New Roman" w:cs="Times New Roman"/>
          <w:sz w:val="20"/>
          <w:szCs w:val="20"/>
        </w:rPr>
        <w:t xml:space="preserve"> </w:t>
      </w:r>
    </w:p>
    <w:p w14:paraId="75E1E474" w14:textId="0711412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Beauchamp, T. L., &amp; Childress, J. F. (1994). </w:t>
      </w:r>
      <w:r w:rsidRPr="001256EA">
        <w:rPr>
          <w:rFonts w:ascii="Times New Roman" w:hAnsi="Times New Roman" w:cs="Times New Roman"/>
          <w:i/>
          <w:iCs/>
          <w:sz w:val="20"/>
          <w:szCs w:val="20"/>
        </w:rPr>
        <w:t>Principles of biomedical ethics</w:t>
      </w:r>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Edicoes</w:t>
      </w:r>
      <w:proofErr w:type="spellEnd"/>
      <w:r w:rsidRPr="001256EA">
        <w:rPr>
          <w:rFonts w:ascii="Times New Roman" w:hAnsi="Times New Roman" w:cs="Times New Roman"/>
          <w:sz w:val="20"/>
          <w:szCs w:val="20"/>
        </w:rPr>
        <w:t xml:space="preserve"> Loyola. </w:t>
      </w:r>
      <w:hyperlink r:id="rId45" w:history="1">
        <w:r w:rsidRPr="001256EA">
          <w:rPr>
            <w:rStyle w:val="Hyperlink"/>
            <w:rFonts w:ascii="Times New Roman" w:hAnsi="Times New Roman" w:cs="Times New Roman"/>
            <w:sz w:val="20"/>
            <w:szCs w:val="20"/>
          </w:rPr>
          <w:t>https://www.allisonkrilethornton.com/wp-content/uploads/Medical_Ethics_Readings/BandC-Moral-Dilemmas.pdf</w:t>
        </w:r>
      </w:hyperlink>
      <w:r w:rsidRPr="001256EA">
        <w:rPr>
          <w:rFonts w:ascii="Times New Roman" w:hAnsi="Times New Roman" w:cs="Times New Roman"/>
          <w:sz w:val="20"/>
          <w:szCs w:val="20"/>
        </w:rPr>
        <w:t xml:space="preserve"> </w:t>
      </w:r>
    </w:p>
    <w:p w14:paraId="76063BBC" w14:textId="40B7542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fr-FR"/>
        </w:rPr>
        <w:t xml:space="preserve">Beauchamp, T. L., &amp; Davidson, A. I. (1979). </w:t>
      </w:r>
      <w:r w:rsidRPr="001256EA">
        <w:rPr>
          <w:rFonts w:ascii="Times New Roman" w:hAnsi="Times New Roman" w:cs="Times New Roman"/>
          <w:sz w:val="20"/>
          <w:szCs w:val="20"/>
        </w:rPr>
        <w:t xml:space="preserve">The definition of euthanasia. </w:t>
      </w:r>
      <w:r w:rsidRPr="001256EA">
        <w:rPr>
          <w:rFonts w:ascii="Times New Roman" w:hAnsi="Times New Roman" w:cs="Times New Roman"/>
          <w:i/>
          <w:iCs/>
          <w:sz w:val="20"/>
          <w:szCs w:val="20"/>
        </w:rPr>
        <w:t>The Journal of Medicine and Philosophy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w:t>
      </w:r>
      <w:r w:rsidRPr="001256EA">
        <w:rPr>
          <w:rFonts w:ascii="Times New Roman" w:hAnsi="Times New Roman" w:cs="Times New Roman"/>
          <w:sz w:val="20"/>
          <w:szCs w:val="20"/>
        </w:rPr>
        <w:t xml:space="preserve">(3), 294–312. </w:t>
      </w:r>
      <w:hyperlink r:id="rId46" w:history="1">
        <w:r w:rsidRPr="001256EA">
          <w:rPr>
            <w:rStyle w:val="Hyperlink"/>
            <w:rFonts w:ascii="Times New Roman" w:hAnsi="Times New Roman" w:cs="Times New Roman"/>
            <w:sz w:val="20"/>
            <w:szCs w:val="20"/>
          </w:rPr>
          <w:t>https://academic.oup.com/jmp/article-abstract/4/3/294/899452</w:t>
        </w:r>
      </w:hyperlink>
      <w:r w:rsidRPr="001256EA">
        <w:rPr>
          <w:rFonts w:ascii="Times New Roman" w:hAnsi="Times New Roman" w:cs="Times New Roman"/>
          <w:sz w:val="20"/>
          <w:szCs w:val="20"/>
        </w:rPr>
        <w:t xml:space="preserve"> </w:t>
      </w:r>
    </w:p>
    <w:p w14:paraId="682E9667" w14:textId="5AE30DD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Bell, D. (2007). The legal framework for </w:t>
      </w:r>
      <w:proofErr w:type="gramStart"/>
      <w:r w:rsidRPr="001256EA">
        <w:rPr>
          <w:rFonts w:ascii="Times New Roman" w:hAnsi="Times New Roman" w:cs="Times New Roman"/>
          <w:sz w:val="20"/>
          <w:szCs w:val="20"/>
        </w:rPr>
        <w:t>end of life</w:t>
      </w:r>
      <w:proofErr w:type="gramEnd"/>
      <w:r w:rsidRPr="001256EA">
        <w:rPr>
          <w:rFonts w:ascii="Times New Roman" w:hAnsi="Times New Roman" w:cs="Times New Roman"/>
          <w:sz w:val="20"/>
          <w:szCs w:val="20"/>
        </w:rPr>
        <w:t xml:space="preserve"> care: A United Kingdom perspective. </w:t>
      </w:r>
      <w:r w:rsidRPr="001256EA">
        <w:rPr>
          <w:rFonts w:ascii="Times New Roman" w:hAnsi="Times New Roman" w:cs="Times New Roman"/>
          <w:i/>
          <w:iCs/>
          <w:sz w:val="20"/>
          <w:szCs w:val="20"/>
        </w:rPr>
        <w:t>Intensive Care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33</w:t>
      </w:r>
      <w:r w:rsidRPr="001256EA">
        <w:rPr>
          <w:rFonts w:ascii="Times New Roman" w:hAnsi="Times New Roman" w:cs="Times New Roman"/>
          <w:sz w:val="20"/>
          <w:szCs w:val="20"/>
        </w:rPr>
        <w:t xml:space="preserve">(1), 158–162. </w:t>
      </w:r>
      <w:hyperlink r:id="rId47" w:history="1">
        <w:r w:rsidRPr="001256EA">
          <w:rPr>
            <w:rStyle w:val="Hyperlink"/>
            <w:rFonts w:ascii="Times New Roman" w:hAnsi="Times New Roman" w:cs="Times New Roman"/>
            <w:sz w:val="20"/>
            <w:szCs w:val="20"/>
          </w:rPr>
          <w:t>https://doi.org/10.1007/s00134-006-0426-9</w:t>
        </w:r>
      </w:hyperlink>
      <w:r w:rsidRPr="001256EA">
        <w:rPr>
          <w:rFonts w:ascii="Times New Roman" w:hAnsi="Times New Roman" w:cs="Times New Roman"/>
          <w:sz w:val="20"/>
          <w:szCs w:val="20"/>
        </w:rPr>
        <w:t xml:space="preserve"> </w:t>
      </w:r>
    </w:p>
    <w:p w14:paraId="5E4CD80A" w14:textId="67EAD08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sv-SE"/>
        </w:rPr>
        <w:t xml:space="preserve">Bergman, T. D., Pasman, H. R. W., &amp; </w:t>
      </w:r>
      <w:proofErr w:type="spellStart"/>
      <w:r w:rsidRPr="001256EA">
        <w:rPr>
          <w:rFonts w:ascii="Times New Roman" w:hAnsi="Times New Roman" w:cs="Times New Roman"/>
          <w:sz w:val="20"/>
          <w:szCs w:val="20"/>
          <w:lang w:val="sv-SE"/>
        </w:rPr>
        <w:t>Onwuteaka-Philipsen</w:t>
      </w:r>
      <w:proofErr w:type="spellEnd"/>
      <w:r w:rsidRPr="001256EA">
        <w:rPr>
          <w:rFonts w:ascii="Times New Roman" w:hAnsi="Times New Roman" w:cs="Times New Roman"/>
          <w:sz w:val="20"/>
          <w:szCs w:val="20"/>
          <w:lang w:val="sv-SE"/>
        </w:rPr>
        <w:t xml:space="preserve">, B. D. (2020). </w:t>
      </w:r>
      <w:r w:rsidRPr="001256EA">
        <w:rPr>
          <w:rFonts w:ascii="Times New Roman" w:hAnsi="Times New Roman" w:cs="Times New Roman"/>
          <w:sz w:val="20"/>
          <w:szCs w:val="20"/>
        </w:rPr>
        <w:t xml:space="preserve">Complexities in consultations in case of euthanasia or physician-assisted suicide: A survey among SCEN physicians. </w:t>
      </w:r>
      <w:r w:rsidRPr="001256EA">
        <w:rPr>
          <w:rFonts w:ascii="Times New Roman" w:hAnsi="Times New Roman" w:cs="Times New Roman"/>
          <w:i/>
          <w:iCs/>
          <w:sz w:val="20"/>
          <w:szCs w:val="20"/>
        </w:rPr>
        <w:t>BMC Family Practice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21</w:t>
      </w:r>
      <w:r w:rsidRPr="001256EA">
        <w:rPr>
          <w:rFonts w:ascii="Times New Roman" w:hAnsi="Times New Roman" w:cs="Times New Roman"/>
          <w:sz w:val="20"/>
          <w:szCs w:val="20"/>
        </w:rPr>
        <w:t xml:space="preserve">(1), 6. </w:t>
      </w:r>
      <w:hyperlink r:id="rId48" w:history="1">
        <w:r w:rsidRPr="001256EA">
          <w:rPr>
            <w:rStyle w:val="Hyperlink"/>
            <w:rFonts w:ascii="Times New Roman" w:hAnsi="Times New Roman" w:cs="Times New Roman"/>
            <w:sz w:val="20"/>
            <w:szCs w:val="20"/>
          </w:rPr>
          <w:t>https://doi.org/10.1186/s12875-019-1063-z</w:t>
        </w:r>
      </w:hyperlink>
      <w:r w:rsidRPr="001256EA">
        <w:rPr>
          <w:rFonts w:ascii="Times New Roman" w:hAnsi="Times New Roman" w:cs="Times New Roman"/>
          <w:sz w:val="20"/>
          <w:szCs w:val="20"/>
        </w:rPr>
        <w:t xml:space="preserve"> </w:t>
      </w:r>
    </w:p>
    <w:p w14:paraId="4508E3AE" w14:textId="372501B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es-ES"/>
        </w:rPr>
      </w:pPr>
      <w:proofErr w:type="spellStart"/>
      <w:r w:rsidRPr="001256EA">
        <w:rPr>
          <w:rFonts w:ascii="Times New Roman" w:hAnsi="Times New Roman" w:cs="Times New Roman"/>
          <w:sz w:val="20"/>
          <w:szCs w:val="20"/>
        </w:rPr>
        <w:t>Beriozovas</w:t>
      </w:r>
      <w:proofErr w:type="spellEnd"/>
      <w:r w:rsidRPr="001256EA">
        <w:rPr>
          <w:rFonts w:ascii="Times New Roman" w:hAnsi="Times New Roman" w:cs="Times New Roman"/>
          <w:sz w:val="20"/>
          <w:szCs w:val="20"/>
        </w:rPr>
        <w:t xml:space="preserve">, O., &amp; </w:t>
      </w:r>
      <w:proofErr w:type="spellStart"/>
      <w:r w:rsidRPr="001256EA">
        <w:rPr>
          <w:rFonts w:ascii="Times New Roman" w:hAnsi="Times New Roman" w:cs="Times New Roman"/>
          <w:sz w:val="20"/>
          <w:szCs w:val="20"/>
        </w:rPr>
        <w:t>Avižienė</w:t>
      </w:r>
      <w:proofErr w:type="spellEnd"/>
      <w:r w:rsidRPr="001256EA">
        <w:rPr>
          <w:rFonts w:ascii="Times New Roman" w:hAnsi="Times New Roman" w:cs="Times New Roman"/>
          <w:sz w:val="20"/>
          <w:szCs w:val="20"/>
        </w:rPr>
        <w:t xml:space="preserve">, G. (2023). Institute of Euthanasia between a Person’s Right to Life and the Right to a Dignified Death Problems and Challenges in the Implementation of Human Rights of Choice in Lithuania. </w:t>
      </w:r>
      <w:r w:rsidRPr="001256EA">
        <w:rPr>
          <w:rFonts w:ascii="Times New Roman" w:hAnsi="Times New Roman" w:cs="Times New Roman"/>
          <w:i/>
          <w:iCs/>
          <w:sz w:val="20"/>
          <w:szCs w:val="20"/>
          <w:lang w:val="es-ES"/>
        </w:rPr>
        <w:t xml:space="preserve">Acta </w:t>
      </w:r>
      <w:proofErr w:type="spellStart"/>
      <w:r w:rsidRPr="001256EA">
        <w:rPr>
          <w:rFonts w:ascii="Times New Roman" w:hAnsi="Times New Roman" w:cs="Times New Roman"/>
          <w:i/>
          <w:iCs/>
          <w:sz w:val="20"/>
          <w:szCs w:val="20"/>
          <w:lang w:val="es-ES"/>
        </w:rPr>
        <w:t>Prosperitatis</w:t>
      </w:r>
      <w:proofErr w:type="spellEnd"/>
      <w:r w:rsidRPr="001256EA">
        <w:rPr>
          <w:rFonts w:ascii="Times New Roman" w:hAnsi="Times New Roman" w:cs="Times New Roman"/>
          <w:sz w:val="20"/>
          <w:szCs w:val="20"/>
          <w:lang w:val="es-ES"/>
        </w:rPr>
        <w:t xml:space="preserve">, </w:t>
      </w:r>
      <w:r w:rsidRPr="001256EA">
        <w:rPr>
          <w:rFonts w:ascii="Times New Roman" w:hAnsi="Times New Roman" w:cs="Times New Roman"/>
          <w:i/>
          <w:iCs/>
          <w:sz w:val="20"/>
          <w:szCs w:val="20"/>
          <w:lang w:val="es-ES"/>
        </w:rPr>
        <w:t>14</w:t>
      </w:r>
      <w:r w:rsidRPr="001256EA">
        <w:rPr>
          <w:rFonts w:ascii="Times New Roman" w:hAnsi="Times New Roman" w:cs="Times New Roman"/>
          <w:sz w:val="20"/>
          <w:szCs w:val="20"/>
          <w:lang w:val="es-ES"/>
        </w:rPr>
        <w:t xml:space="preserve">(1). </w:t>
      </w:r>
      <w:hyperlink r:id="rId49" w:history="1">
        <w:r w:rsidRPr="001256EA">
          <w:rPr>
            <w:rStyle w:val="Hyperlink"/>
            <w:rFonts w:ascii="Times New Roman" w:hAnsi="Times New Roman" w:cs="Times New Roman"/>
            <w:sz w:val="20"/>
            <w:szCs w:val="20"/>
            <w:lang w:val="es-ES"/>
          </w:rPr>
          <w:t>https://search.ebscohost.com/login.aspx?direct=true&amp;profile=ehost&amp;scope=site&amp;authtype=crawler&amp;jrnl=16916077&amp;AN=172264606&amp;h=7%2BWf5r47VrmQQwNrf9mmzN0fP9PWu4901mR3N4PwlB0T1hAKQN%2B0HsdrdtNJFwh0CV3uFz1S13a8Jc2Bp9jSBg%3D%3D&amp;crl=c</w:t>
        </w:r>
      </w:hyperlink>
      <w:r w:rsidRPr="001256EA">
        <w:rPr>
          <w:rFonts w:ascii="Times New Roman" w:hAnsi="Times New Roman" w:cs="Times New Roman"/>
          <w:sz w:val="20"/>
          <w:szCs w:val="20"/>
          <w:lang w:val="es-ES"/>
        </w:rPr>
        <w:t xml:space="preserve"> </w:t>
      </w:r>
    </w:p>
    <w:p w14:paraId="01136135" w14:textId="20E7792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Bernal, V., &amp; Trejo-Gabriel-Galan, J. M. (2021). Euthanasia laws in Spain and in the world: Medical aspects. </w:t>
      </w:r>
      <w:r w:rsidRPr="001256EA">
        <w:rPr>
          <w:rFonts w:ascii="Times New Roman" w:hAnsi="Times New Roman" w:cs="Times New Roman"/>
          <w:i/>
          <w:iCs/>
          <w:sz w:val="20"/>
          <w:szCs w:val="20"/>
        </w:rPr>
        <w:t>Atencion Primaria</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54</w:t>
      </w:r>
      <w:r w:rsidRPr="001256EA">
        <w:rPr>
          <w:rFonts w:ascii="Times New Roman" w:hAnsi="Times New Roman" w:cs="Times New Roman"/>
          <w:sz w:val="20"/>
          <w:szCs w:val="20"/>
        </w:rPr>
        <w:t xml:space="preserve">(1), 102170–102170. </w:t>
      </w:r>
      <w:hyperlink r:id="rId50" w:history="1">
        <w:r w:rsidRPr="001256EA">
          <w:rPr>
            <w:rStyle w:val="Hyperlink"/>
            <w:rFonts w:ascii="Times New Roman" w:hAnsi="Times New Roman" w:cs="Times New Roman"/>
            <w:sz w:val="20"/>
            <w:szCs w:val="20"/>
          </w:rPr>
          <w:t>https://europepmc.org/article/med/34798415</w:t>
        </w:r>
      </w:hyperlink>
      <w:r w:rsidRPr="001256EA">
        <w:rPr>
          <w:rFonts w:ascii="Times New Roman" w:hAnsi="Times New Roman" w:cs="Times New Roman"/>
          <w:sz w:val="20"/>
          <w:szCs w:val="20"/>
        </w:rPr>
        <w:t xml:space="preserve"> </w:t>
      </w:r>
    </w:p>
    <w:p w14:paraId="5F84DD4F" w14:textId="437C350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Bertini, I. (2025). The Right to Die: Autonomy at the Limits. </w:t>
      </w:r>
      <w:r w:rsidRPr="001256EA">
        <w:rPr>
          <w:rFonts w:ascii="Times New Roman" w:hAnsi="Times New Roman" w:cs="Times New Roman"/>
          <w:i/>
          <w:iCs/>
          <w:sz w:val="20"/>
          <w:szCs w:val="20"/>
        </w:rPr>
        <w:t>Voices in Bioethics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11</w:t>
      </w:r>
      <w:r w:rsidRPr="001256EA">
        <w:rPr>
          <w:rFonts w:ascii="Times New Roman" w:hAnsi="Times New Roman" w:cs="Times New Roman"/>
          <w:sz w:val="20"/>
          <w:szCs w:val="20"/>
        </w:rPr>
        <w:t xml:space="preserve">. </w:t>
      </w:r>
      <w:hyperlink r:id="rId51" w:history="1">
        <w:r w:rsidRPr="001256EA">
          <w:rPr>
            <w:rStyle w:val="Hyperlink"/>
            <w:rFonts w:ascii="Times New Roman" w:hAnsi="Times New Roman" w:cs="Times New Roman"/>
            <w:sz w:val="20"/>
            <w:szCs w:val="20"/>
          </w:rPr>
          <w:t>https://journals.library.columbia.edu/index.php/bioethics/article/view/13787</w:t>
        </w:r>
      </w:hyperlink>
      <w:r w:rsidRPr="001256EA">
        <w:rPr>
          <w:rFonts w:ascii="Times New Roman" w:hAnsi="Times New Roman" w:cs="Times New Roman"/>
          <w:sz w:val="20"/>
          <w:szCs w:val="20"/>
        </w:rPr>
        <w:t xml:space="preserve"> </w:t>
      </w:r>
    </w:p>
    <w:p w14:paraId="072AFC3E" w14:textId="33CEAFF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Biggs, H. (2001). </w:t>
      </w:r>
      <w:r w:rsidRPr="001256EA">
        <w:rPr>
          <w:rFonts w:ascii="Times New Roman" w:hAnsi="Times New Roman" w:cs="Times New Roman"/>
          <w:i/>
          <w:iCs/>
          <w:sz w:val="20"/>
          <w:szCs w:val="20"/>
        </w:rPr>
        <w:t>Euthanasia, death with dignity and the Law</w:t>
      </w:r>
      <w:r w:rsidRPr="001256EA">
        <w:rPr>
          <w:rFonts w:ascii="Times New Roman" w:hAnsi="Times New Roman" w:cs="Times New Roman"/>
          <w:sz w:val="20"/>
          <w:szCs w:val="20"/>
        </w:rPr>
        <w:t xml:space="preserve">. Hart Publishing. </w:t>
      </w:r>
      <w:hyperlink r:id="rId52" w:history="1">
        <w:r w:rsidRPr="001256EA">
          <w:rPr>
            <w:rStyle w:val="Hyperlink"/>
            <w:rFonts w:ascii="Times New Roman" w:hAnsi="Times New Roman" w:cs="Times New Roman"/>
            <w:sz w:val="20"/>
            <w:szCs w:val="20"/>
          </w:rPr>
          <w:t>https://books.google.com/books?hl=en&amp;lr=&amp;id=E3asTXxKps4C&amp;oi=fnd&amp;pg=PR1&amp;dq=Biggs,+H.+(2001).+Euthanasia,+death+with+dignity+and+the+Law.+Hart+Publishing.&amp;ots=UNDOY1tFBs&amp;sig=y3IP1yX_3vg1k-xj9WNU-VDn9i4</w:t>
        </w:r>
      </w:hyperlink>
      <w:r w:rsidRPr="001256EA">
        <w:rPr>
          <w:rFonts w:ascii="Times New Roman" w:hAnsi="Times New Roman" w:cs="Times New Roman"/>
          <w:sz w:val="20"/>
          <w:szCs w:val="20"/>
        </w:rPr>
        <w:t xml:space="preserve"> </w:t>
      </w:r>
    </w:p>
    <w:p w14:paraId="171B7B9E" w14:textId="713BCE2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Blei, D. M., &amp; Lafferty, J. D. (2007). </w:t>
      </w:r>
      <w:r w:rsidRPr="001256EA">
        <w:rPr>
          <w:rFonts w:ascii="Times New Roman" w:hAnsi="Times New Roman" w:cs="Times New Roman"/>
          <w:sz w:val="20"/>
          <w:szCs w:val="20"/>
        </w:rPr>
        <w:t xml:space="preserve">A correlated topic model of </w:t>
      </w:r>
      <w:proofErr w:type="gramStart"/>
      <w:r w:rsidRPr="001256EA">
        <w:rPr>
          <w:rFonts w:ascii="Times New Roman" w:hAnsi="Times New Roman" w:cs="Times New Roman"/>
          <w:sz w:val="20"/>
          <w:szCs w:val="20"/>
        </w:rPr>
        <w:t>Science</w:t>
      </w:r>
      <w:proofErr w:type="gram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The Annals of Applied Statistics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w:t>
      </w:r>
      <w:r w:rsidRPr="001256EA">
        <w:rPr>
          <w:rFonts w:ascii="Times New Roman" w:hAnsi="Times New Roman" w:cs="Times New Roman"/>
          <w:sz w:val="20"/>
          <w:szCs w:val="20"/>
        </w:rPr>
        <w:t xml:space="preserve">(1), 17–35. </w:t>
      </w:r>
      <w:hyperlink r:id="rId53" w:history="1">
        <w:r w:rsidRPr="001256EA">
          <w:rPr>
            <w:rStyle w:val="Hyperlink"/>
            <w:rFonts w:ascii="Times New Roman" w:hAnsi="Times New Roman" w:cs="Times New Roman"/>
            <w:sz w:val="20"/>
            <w:szCs w:val="20"/>
          </w:rPr>
          <w:t>https://doi.org/10.1214/07-AOAS114</w:t>
        </w:r>
      </w:hyperlink>
      <w:r w:rsidRPr="001256EA">
        <w:rPr>
          <w:rFonts w:ascii="Times New Roman" w:hAnsi="Times New Roman" w:cs="Times New Roman"/>
          <w:sz w:val="20"/>
          <w:szCs w:val="20"/>
        </w:rPr>
        <w:t xml:space="preserve"> </w:t>
      </w:r>
    </w:p>
    <w:p w14:paraId="14620C81" w14:textId="2F68380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Bolt, E. E., Flens, E. Q., Pasman, H. R. W., Willems, D., &amp;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D. (2017). Physician‐assisted dying for children is conceivable for most Dutch </w:t>
      </w:r>
      <w:proofErr w:type="spellStart"/>
      <w:r w:rsidRPr="001256EA">
        <w:rPr>
          <w:rFonts w:ascii="Times New Roman" w:hAnsi="Times New Roman" w:cs="Times New Roman"/>
          <w:sz w:val="20"/>
          <w:szCs w:val="20"/>
        </w:rPr>
        <w:t>paediatricians</w:t>
      </w:r>
      <w:proofErr w:type="spellEnd"/>
      <w:r w:rsidRPr="001256EA">
        <w:rPr>
          <w:rFonts w:ascii="Times New Roman" w:hAnsi="Times New Roman" w:cs="Times New Roman"/>
          <w:sz w:val="20"/>
          <w:szCs w:val="20"/>
        </w:rPr>
        <w:t xml:space="preserve">, irrespective of the patient’s age or competence to decide. </w:t>
      </w:r>
      <w:r w:rsidRPr="001256EA">
        <w:rPr>
          <w:rFonts w:ascii="Times New Roman" w:hAnsi="Times New Roman" w:cs="Times New Roman"/>
          <w:i/>
          <w:iCs/>
          <w:sz w:val="20"/>
          <w:szCs w:val="20"/>
        </w:rPr>
        <w:t xml:space="preserve">Acta </w:t>
      </w:r>
      <w:proofErr w:type="spellStart"/>
      <w:r w:rsidRPr="001256EA">
        <w:rPr>
          <w:rFonts w:ascii="Times New Roman" w:hAnsi="Times New Roman" w:cs="Times New Roman"/>
          <w:i/>
          <w:iCs/>
          <w:sz w:val="20"/>
          <w:szCs w:val="20"/>
        </w:rPr>
        <w:t>Paediatrica</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106</w:t>
      </w:r>
      <w:r w:rsidRPr="001256EA">
        <w:rPr>
          <w:rFonts w:ascii="Times New Roman" w:hAnsi="Times New Roman" w:cs="Times New Roman"/>
          <w:sz w:val="20"/>
          <w:szCs w:val="20"/>
        </w:rPr>
        <w:t xml:space="preserve">(4), 668–675. </w:t>
      </w:r>
      <w:hyperlink r:id="rId54" w:history="1">
        <w:r w:rsidRPr="001256EA">
          <w:rPr>
            <w:rStyle w:val="Hyperlink"/>
            <w:rFonts w:ascii="Times New Roman" w:hAnsi="Times New Roman" w:cs="Times New Roman"/>
            <w:sz w:val="20"/>
            <w:szCs w:val="20"/>
          </w:rPr>
          <w:t>https://doi.org/10.1111/apa.13620</w:t>
        </w:r>
      </w:hyperlink>
      <w:r w:rsidRPr="001256EA">
        <w:rPr>
          <w:rFonts w:ascii="Times New Roman" w:hAnsi="Times New Roman" w:cs="Times New Roman"/>
          <w:sz w:val="20"/>
          <w:szCs w:val="20"/>
        </w:rPr>
        <w:t xml:space="preserve"> </w:t>
      </w:r>
    </w:p>
    <w:p w14:paraId="10867BDF" w14:textId="1C67D05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a-DK"/>
        </w:rPr>
        <w:t xml:space="preserve">Bosma, F., Mink, K. R., van Delden, J. J. M., van der Heide, A., Van De Vathorst, S., &amp; van Thiel, G. J. M. W. (2024). </w:t>
      </w:r>
      <w:r w:rsidRPr="001256EA">
        <w:rPr>
          <w:rFonts w:ascii="Times New Roman" w:hAnsi="Times New Roman" w:cs="Times New Roman"/>
          <w:sz w:val="20"/>
          <w:szCs w:val="20"/>
        </w:rPr>
        <w:t xml:space="preserve">The Dutch practice of euthanasia and assisted suicide in patients suffering from psychiatric </w:t>
      </w:r>
      <w:r w:rsidRPr="001256EA">
        <w:rPr>
          <w:rFonts w:ascii="Times New Roman" w:hAnsi="Times New Roman" w:cs="Times New Roman"/>
          <w:sz w:val="20"/>
          <w:szCs w:val="20"/>
        </w:rPr>
        <w:lastRenderedPageBreak/>
        <w:t xml:space="preserve">disorders: A qualitative case review study. </w:t>
      </w:r>
      <w:r w:rsidRPr="001256EA">
        <w:rPr>
          <w:rFonts w:ascii="Times New Roman" w:hAnsi="Times New Roman" w:cs="Times New Roman"/>
          <w:i/>
          <w:iCs/>
          <w:sz w:val="20"/>
          <w:szCs w:val="20"/>
        </w:rPr>
        <w:t>Frontiers in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15</w:t>
      </w:r>
      <w:r w:rsidRPr="001256EA">
        <w:rPr>
          <w:rFonts w:ascii="Times New Roman" w:hAnsi="Times New Roman" w:cs="Times New Roman"/>
          <w:sz w:val="20"/>
          <w:szCs w:val="20"/>
        </w:rPr>
        <w:t xml:space="preserve">, 1452835. </w:t>
      </w:r>
      <w:hyperlink r:id="rId55" w:history="1">
        <w:r w:rsidRPr="001256EA">
          <w:rPr>
            <w:rStyle w:val="Hyperlink"/>
            <w:rFonts w:ascii="Times New Roman" w:hAnsi="Times New Roman" w:cs="Times New Roman"/>
            <w:sz w:val="20"/>
            <w:szCs w:val="20"/>
          </w:rPr>
          <w:t>https://www.frontiersin.org/journals/psychiatry/articles/10.3389/fpsyt.2024.1452835/full</w:t>
        </w:r>
      </w:hyperlink>
      <w:r w:rsidRPr="001256EA">
        <w:rPr>
          <w:rFonts w:ascii="Times New Roman" w:hAnsi="Times New Roman" w:cs="Times New Roman"/>
          <w:sz w:val="20"/>
          <w:szCs w:val="20"/>
        </w:rPr>
        <w:t xml:space="preserve"> </w:t>
      </w:r>
    </w:p>
    <w:p w14:paraId="7306CE3E" w14:textId="091615F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Brock, D. W. (2019). Voluntary active euthanasia. In </w:t>
      </w:r>
      <w:r w:rsidRPr="001256EA">
        <w:rPr>
          <w:rFonts w:ascii="Times New Roman" w:hAnsi="Times New Roman" w:cs="Times New Roman"/>
          <w:i/>
          <w:iCs/>
          <w:sz w:val="20"/>
          <w:szCs w:val="20"/>
        </w:rPr>
        <w:t>Death, Dying and the Ending of Life, Volumes I and II</w:t>
      </w:r>
      <w:r w:rsidRPr="001256EA">
        <w:rPr>
          <w:rFonts w:ascii="Times New Roman" w:hAnsi="Times New Roman" w:cs="Times New Roman"/>
          <w:sz w:val="20"/>
          <w:szCs w:val="20"/>
        </w:rPr>
        <w:t xml:space="preserve"> (p. V2_229-V2_241). Routledge. </w:t>
      </w:r>
      <w:hyperlink r:id="rId56" w:history="1">
        <w:r w:rsidRPr="001256EA">
          <w:rPr>
            <w:rStyle w:val="Hyperlink"/>
            <w:rFonts w:ascii="Times New Roman" w:hAnsi="Times New Roman" w:cs="Times New Roman"/>
            <w:sz w:val="20"/>
            <w:szCs w:val="20"/>
          </w:rPr>
          <w:t>https://www.taylorfrancis.com/chapters/edit/10.4324/9781315258447-35/voluntary-active-euthanasia-dan-brock</w:t>
        </w:r>
      </w:hyperlink>
      <w:r w:rsidRPr="001256EA">
        <w:rPr>
          <w:rFonts w:ascii="Times New Roman" w:hAnsi="Times New Roman" w:cs="Times New Roman"/>
          <w:sz w:val="20"/>
          <w:szCs w:val="20"/>
        </w:rPr>
        <w:t xml:space="preserve"> </w:t>
      </w:r>
    </w:p>
    <w:p w14:paraId="6723151C" w14:textId="1DA5BDB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Buijsen</w:t>
      </w:r>
      <w:proofErr w:type="spellEnd"/>
      <w:r w:rsidRPr="001256EA">
        <w:rPr>
          <w:rFonts w:ascii="Times New Roman" w:hAnsi="Times New Roman" w:cs="Times New Roman"/>
          <w:sz w:val="20"/>
          <w:szCs w:val="20"/>
        </w:rPr>
        <w:t xml:space="preserve">, M. (2016). Communicating Concerns: Reviewing the Review Procedure in Dutch Euthanasia Law. </w:t>
      </w:r>
      <w:r w:rsidRPr="001256EA">
        <w:rPr>
          <w:rFonts w:ascii="Times New Roman" w:hAnsi="Times New Roman" w:cs="Times New Roman"/>
          <w:i/>
          <w:iCs/>
          <w:sz w:val="20"/>
          <w:szCs w:val="20"/>
        </w:rPr>
        <w:t>Cambridge Quarterly of Healthcare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25</w:t>
      </w:r>
      <w:r w:rsidRPr="001256EA">
        <w:rPr>
          <w:rFonts w:ascii="Times New Roman" w:hAnsi="Times New Roman" w:cs="Times New Roman"/>
          <w:sz w:val="20"/>
          <w:szCs w:val="20"/>
        </w:rPr>
        <w:t xml:space="preserve">(3), 395–403. </w:t>
      </w:r>
      <w:hyperlink r:id="rId57" w:history="1">
        <w:r w:rsidRPr="001256EA">
          <w:rPr>
            <w:rStyle w:val="Hyperlink"/>
            <w:rFonts w:ascii="Times New Roman" w:hAnsi="Times New Roman" w:cs="Times New Roman"/>
            <w:sz w:val="20"/>
            <w:szCs w:val="20"/>
          </w:rPr>
          <w:t>https://www.cambridge.org/core/journals/cambridge-quarterly-of-healthcare-ethics/article/communicating-concerns/5B8D23A699D5519D431EFED7FE342B53</w:t>
        </w:r>
      </w:hyperlink>
      <w:r w:rsidRPr="001256EA">
        <w:rPr>
          <w:rFonts w:ascii="Times New Roman" w:hAnsi="Times New Roman" w:cs="Times New Roman"/>
          <w:sz w:val="20"/>
          <w:szCs w:val="20"/>
        </w:rPr>
        <w:t xml:space="preserve"> </w:t>
      </w:r>
    </w:p>
    <w:p w14:paraId="7BEA0277" w14:textId="709B883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es-ES"/>
        </w:rPr>
      </w:pPr>
      <w:r w:rsidRPr="001256EA">
        <w:rPr>
          <w:rFonts w:ascii="Times New Roman" w:hAnsi="Times New Roman" w:cs="Times New Roman"/>
          <w:sz w:val="20"/>
          <w:szCs w:val="20"/>
        </w:rPr>
        <w:t xml:space="preserve">Burnham, J. F. (2006). Scopus database: A review. </w:t>
      </w:r>
      <w:proofErr w:type="spellStart"/>
      <w:r w:rsidRPr="001256EA">
        <w:rPr>
          <w:rFonts w:ascii="Times New Roman" w:hAnsi="Times New Roman" w:cs="Times New Roman"/>
          <w:i/>
          <w:iCs/>
          <w:sz w:val="20"/>
          <w:szCs w:val="20"/>
          <w:lang w:val="es-ES"/>
        </w:rPr>
        <w:t>Biomedical</w:t>
      </w:r>
      <w:proofErr w:type="spellEnd"/>
      <w:r w:rsidRPr="001256EA">
        <w:rPr>
          <w:rFonts w:ascii="Times New Roman" w:hAnsi="Times New Roman" w:cs="Times New Roman"/>
          <w:i/>
          <w:iCs/>
          <w:sz w:val="20"/>
          <w:szCs w:val="20"/>
          <w:lang w:val="es-ES"/>
        </w:rPr>
        <w:t xml:space="preserve"> Digital </w:t>
      </w:r>
      <w:proofErr w:type="spellStart"/>
      <w:r w:rsidRPr="001256EA">
        <w:rPr>
          <w:rFonts w:ascii="Times New Roman" w:hAnsi="Times New Roman" w:cs="Times New Roman"/>
          <w:i/>
          <w:iCs/>
          <w:sz w:val="20"/>
          <w:szCs w:val="20"/>
          <w:lang w:val="es-ES"/>
        </w:rPr>
        <w:t>Libraries</w:t>
      </w:r>
      <w:proofErr w:type="spellEnd"/>
      <w:r w:rsidRPr="001256EA">
        <w:rPr>
          <w:rFonts w:ascii="Times New Roman" w:hAnsi="Times New Roman" w:cs="Times New Roman"/>
          <w:sz w:val="20"/>
          <w:szCs w:val="20"/>
          <w:lang w:val="es-ES"/>
        </w:rPr>
        <w:t xml:space="preserve">, </w:t>
      </w:r>
      <w:r w:rsidRPr="001256EA">
        <w:rPr>
          <w:rFonts w:ascii="Times New Roman" w:hAnsi="Times New Roman" w:cs="Times New Roman"/>
          <w:i/>
          <w:iCs/>
          <w:sz w:val="20"/>
          <w:szCs w:val="20"/>
          <w:lang w:val="es-ES"/>
        </w:rPr>
        <w:t>3</w:t>
      </w:r>
      <w:r w:rsidRPr="001256EA">
        <w:rPr>
          <w:rFonts w:ascii="Times New Roman" w:hAnsi="Times New Roman" w:cs="Times New Roman"/>
          <w:sz w:val="20"/>
          <w:szCs w:val="20"/>
          <w:lang w:val="es-ES"/>
        </w:rPr>
        <w:t xml:space="preserve">(1), 1–8. </w:t>
      </w:r>
      <w:hyperlink r:id="rId58" w:history="1">
        <w:r w:rsidRPr="001256EA">
          <w:rPr>
            <w:rStyle w:val="Hyperlink"/>
            <w:rFonts w:ascii="Times New Roman" w:hAnsi="Times New Roman" w:cs="Times New Roman"/>
            <w:sz w:val="20"/>
            <w:szCs w:val="20"/>
            <w:lang w:val="es-ES"/>
          </w:rPr>
          <w:t>https://doi.org/10.1186/1742-5581-3-1</w:t>
        </w:r>
      </w:hyperlink>
      <w:r w:rsidRPr="001256EA">
        <w:rPr>
          <w:rFonts w:ascii="Times New Roman" w:hAnsi="Times New Roman" w:cs="Times New Roman"/>
          <w:sz w:val="20"/>
          <w:szCs w:val="20"/>
          <w:lang w:val="es-ES"/>
        </w:rPr>
        <w:t xml:space="preserve"> </w:t>
      </w:r>
    </w:p>
    <w:p w14:paraId="0DA7D4B9" w14:textId="071755F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Cavalieri, T. A. (2001). Ethical issues at the end of life. </w:t>
      </w:r>
      <w:r w:rsidRPr="001256EA">
        <w:rPr>
          <w:rFonts w:ascii="Times New Roman" w:hAnsi="Times New Roman" w:cs="Times New Roman"/>
          <w:i/>
          <w:iCs/>
          <w:sz w:val="20"/>
          <w:szCs w:val="20"/>
        </w:rPr>
        <w:t>Journal of Osteopathic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101</w:t>
      </w:r>
      <w:r w:rsidRPr="001256EA">
        <w:rPr>
          <w:rFonts w:ascii="Times New Roman" w:hAnsi="Times New Roman" w:cs="Times New Roman"/>
          <w:sz w:val="20"/>
          <w:szCs w:val="20"/>
        </w:rPr>
        <w:t xml:space="preserve">(10), 616–624. </w:t>
      </w:r>
      <w:hyperlink r:id="rId59" w:history="1">
        <w:r w:rsidRPr="001256EA">
          <w:rPr>
            <w:rStyle w:val="Hyperlink"/>
            <w:rFonts w:ascii="Times New Roman" w:hAnsi="Times New Roman" w:cs="Times New Roman"/>
            <w:sz w:val="20"/>
            <w:szCs w:val="20"/>
          </w:rPr>
          <w:t>https://www.degruyterbrill.com/document/doi/10.7556/jaoa.2001.101.10.616/html</w:t>
        </w:r>
      </w:hyperlink>
      <w:r w:rsidRPr="001256EA">
        <w:rPr>
          <w:rFonts w:ascii="Times New Roman" w:hAnsi="Times New Roman" w:cs="Times New Roman"/>
          <w:sz w:val="20"/>
          <w:szCs w:val="20"/>
        </w:rPr>
        <w:t xml:space="preserve"> </w:t>
      </w:r>
    </w:p>
    <w:p w14:paraId="7A987AA5" w14:textId="66209FE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de-DE"/>
        </w:rPr>
        <w:t>Chambaere</w:t>
      </w:r>
      <w:proofErr w:type="spellEnd"/>
      <w:r w:rsidRPr="001256EA">
        <w:rPr>
          <w:rFonts w:ascii="Times New Roman" w:hAnsi="Times New Roman" w:cs="Times New Roman"/>
          <w:sz w:val="20"/>
          <w:szCs w:val="20"/>
          <w:lang w:val="de-DE"/>
        </w:rPr>
        <w:t xml:space="preserve">, K., &amp; Bernheim, J. L. (2015). </w:t>
      </w:r>
      <w:r w:rsidRPr="001256EA">
        <w:rPr>
          <w:rFonts w:ascii="Times New Roman" w:hAnsi="Times New Roman" w:cs="Times New Roman"/>
          <w:sz w:val="20"/>
          <w:szCs w:val="20"/>
        </w:rPr>
        <w:t xml:space="preserve">Does legal physician-assisted dying impede development of palliative care? The Belgian and Benelux experience.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(8), 657–660. </w:t>
      </w:r>
      <w:hyperlink r:id="rId60" w:history="1">
        <w:r w:rsidRPr="001256EA">
          <w:rPr>
            <w:rStyle w:val="Hyperlink"/>
            <w:rFonts w:ascii="Times New Roman" w:hAnsi="Times New Roman" w:cs="Times New Roman"/>
            <w:sz w:val="20"/>
            <w:szCs w:val="20"/>
          </w:rPr>
          <w:t>https://jme.bmj.com/content/41/8/657.short</w:t>
        </w:r>
      </w:hyperlink>
      <w:r w:rsidRPr="001256EA">
        <w:rPr>
          <w:rFonts w:ascii="Times New Roman" w:hAnsi="Times New Roman" w:cs="Times New Roman"/>
          <w:sz w:val="20"/>
          <w:szCs w:val="20"/>
        </w:rPr>
        <w:t xml:space="preserve"> </w:t>
      </w:r>
    </w:p>
    <w:p w14:paraId="46A60A0C" w14:textId="0DAC57C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Bilsen, J., Cohen, J.,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D., Mortier, F.,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(2010). Physician-assisted deaths under the euthanasia law in Belgium: A population-based survey. </w:t>
      </w:r>
      <w:r w:rsidRPr="001256EA">
        <w:rPr>
          <w:rFonts w:ascii="Times New Roman" w:hAnsi="Times New Roman" w:cs="Times New Roman"/>
          <w:i/>
          <w:iCs/>
          <w:sz w:val="20"/>
          <w:szCs w:val="20"/>
        </w:rPr>
        <w:t>CMAJ</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182</w:t>
      </w:r>
      <w:r w:rsidRPr="001256EA">
        <w:rPr>
          <w:rFonts w:ascii="Times New Roman" w:hAnsi="Times New Roman" w:cs="Times New Roman"/>
          <w:sz w:val="20"/>
          <w:szCs w:val="20"/>
        </w:rPr>
        <w:t xml:space="preserve">(9), 895–901. </w:t>
      </w:r>
      <w:hyperlink r:id="rId61" w:history="1">
        <w:r w:rsidRPr="001256EA">
          <w:rPr>
            <w:rStyle w:val="Hyperlink"/>
            <w:rFonts w:ascii="Times New Roman" w:hAnsi="Times New Roman" w:cs="Times New Roman"/>
            <w:sz w:val="20"/>
            <w:szCs w:val="20"/>
          </w:rPr>
          <w:t>https://www.cmaj.ca/content/182/9/895.short</w:t>
        </w:r>
      </w:hyperlink>
      <w:r w:rsidRPr="001256EA">
        <w:rPr>
          <w:rFonts w:ascii="Times New Roman" w:hAnsi="Times New Roman" w:cs="Times New Roman"/>
          <w:sz w:val="20"/>
          <w:szCs w:val="20"/>
        </w:rPr>
        <w:t xml:space="preserve"> </w:t>
      </w:r>
    </w:p>
    <w:p w14:paraId="6ADC3CCF" w14:textId="6DEC97C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Bilsen, J., Cohen, J.,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D., Mortier, F.,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(2011). Trends in Medical End-of-Life Decision Making in Flanders, Belgium 1998–2001–2007. </w:t>
      </w:r>
      <w:r w:rsidRPr="001256EA">
        <w:rPr>
          <w:rFonts w:ascii="Times New Roman" w:hAnsi="Times New Roman" w:cs="Times New Roman"/>
          <w:i/>
          <w:iCs/>
          <w:sz w:val="20"/>
          <w:szCs w:val="20"/>
        </w:rPr>
        <w:t>Medical Decision Making</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31</w:t>
      </w:r>
      <w:r w:rsidRPr="001256EA">
        <w:rPr>
          <w:rFonts w:ascii="Times New Roman" w:hAnsi="Times New Roman" w:cs="Times New Roman"/>
          <w:sz w:val="20"/>
          <w:szCs w:val="20"/>
        </w:rPr>
        <w:t xml:space="preserve">(3). </w:t>
      </w:r>
      <w:hyperlink r:id="rId62" w:history="1">
        <w:r w:rsidRPr="001256EA">
          <w:rPr>
            <w:rStyle w:val="Hyperlink"/>
            <w:rFonts w:ascii="Times New Roman" w:hAnsi="Times New Roman" w:cs="Times New Roman"/>
            <w:sz w:val="20"/>
            <w:szCs w:val="20"/>
          </w:rPr>
          <w:t>https://doi.org/10.1177/0272989X10392379</w:t>
        </w:r>
      </w:hyperlink>
      <w:r w:rsidRPr="001256EA">
        <w:rPr>
          <w:rFonts w:ascii="Times New Roman" w:hAnsi="Times New Roman" w:cs="Times New Roman"/>
          <w:sz w:val="20"/>
          <w:szCs w:val="20"/>
        </w:rPr>
        <w:t xml:space="preserve"> </w:t>
      </w:r>
    </w:p>
    <w:p w14:paraId="1E15B1DC" w14:textId="39CAFC7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es-ES"/>
        </w:rPr>
        <w:t>Chambaere</w:t>
      </w:r>
      <w:proofErr w:type="spellEnd"/>
      <w:r w:rsidRPr="001256EA">
        <w:rPr>
          <w:rFonts w:ascii="Times New Roman" w:hAnsi="Times New Roman" w:cs="Times New Roman"/>
          <w:sz w:val="20"/>
          <w:szCs w:val="20"/>
          <w:lang w:val="es-ES"/>
        </w:rPr>
        <w:t xml:space="preserve">, K., Centeno, C., </w:t>
      </w:r>
      <w:proofErr w:type="spellStart"/>
      <w:r w:rsidRPr="001256EA">
        <w:rPr>
          <w:rFonts w:ascii="Times New Roman" w:hAnsi="Times New Roman" w:cs="Times New Roman"/>
          <w:sz w:val="20"/>
          <w:szCs w:val="20"/>
          <w:lang w:val="es-ES"/>
        </w:rPr>
        <w:t>Hernàndez</w:t>
      </w:r>
      <w:proofErr w:type="spellEnd"/>
      <w:r w:rsidRPr="001256EA">
        <w:rPr>
          <w:rFonts w:ascii="Times New Roman" w:hAnsi="Times New Roman" w:cs="Times New Roman"/>
          <w:sz w:val="20"/>
          <w:szCs w:val="20"/>
          <w:lang w:val="es-ES"/>
        </w:rPr>
        <w:t xml:space="preserve">, E. A., Van Wesemael, Y., Guillén-Grima, F., </w:t>
      </w:r>
      <w:proofErr w:type="spellStart"/>
      <w:r w:rsidRPr="001256EA">
        <w:rPr>
          <w:rFonts w:ascii="Times New Roman" w:hAnsi="Times New Roman" w:cs="Times New Roman"/>
          <w:sz w:val="20"/>
          <w:szCs w:val="20"/>
          <w:lang w:val="es-ES"/>
        </w:rPr>
        <w:t>Deliens</w:t>
      </w:r>
      <w:proofErr w:type="spellEnd"/>
      <w:r w:rsidRPr="001256EA">
        <w:rPr>
          <w:rFonts w:ascii="Times New Roman" w:hAnsi="Times New Roman" w:cs="Times New Roman"/>
          <w:sz w:val="20"/>
          <w:szCs w:val="20"/>
          <w:lang w:val="es-ES"/>
        </w:rPr>
        <w:t xml:space="preserve">, L., &amp; Payne, S. (2011). </w:t>
      </w:r>
      <w:r w:rsidRPr="001256EA">
        <w:rPr>
          <w:rFonts w:ascii="Times New Roman" w:hAnsi="Times New Roman" w:cs="Times New Roman"/>
          <w:i/>
          <w:iCs/>
          <w:sz w:val="20"/>
          <w:szCs w:val="20"/>
        </w:rPr>
        <w:t xml:space="preserve">Palliative Care Development in Countries with </w:t>
      </w:r>
      <w:proofErr w:type="gramStart"/>
      <w:r w:rsidRPr="001256EA">
        <w:rPr>
          <w:rFonts w:ascii="Times New Roman" w:hAnsi="Times New Roman" w:cs="Times New Roman"/>
          <w:i/>
          <w:iCs/>
          <w:sz w:val="20"/>
          <w:szCs w:val="20"/>
        </w:rPr>
        <w:t>a Euthanasia</w:t>
      </w:r>
      <w:proofErr w:type="gramEnd"/>
      <w:r w:rsidRPr="001256EA">
        <w:rPr>
          <w:rFonts w:ascii="Times New Roman" w:hAnsi="Times New Roman" w:cs="Times New Roman"/>
          <w:i/>
          <w:iCs/>
          <w:sz w:val="20"/>
          <w:szCs w:val="20"/>
        </w:rPr>
        <w:t xml:space="preserve"> Law. Report for the UK Commission on Assisted Dying Briefing Papers</w:t>
      </w:r>
      <w:r w:rsidRPr="001256EA">
        <w:rPr>
          <w:rFonts w:ascii="Times New Roman" w:hAnsi="Times New Roman" w:cs="Times New Roman"/>
          <w:sz w:val="20"/>
          <w:szCs w:val="20"/>
        </w:rPr>
        <w:t xml:space="preserve">. </w:t>
      </w:r>
      <w:hyperlink r:id="rId63" w:history="1">
        <w:r w:rsidRPr="001256EA">
          <w:rPr>
            <w:rStyle w:val="Hyperlink"/>
            <w:rFonts w:ascii="Times New Roman" w:hAnsi="Times New Roman" w:cs="Times New Roman"/>
            <w:sz w:val="20"/>
            <w:szCs w:val="20"/>
          </w:rPr>
          <w:t>https://researchportal.vub.be/en/publications/palliative-care-development-in-countries-with-a-euthanasia-law-re</w:t>
        </w:r>
      </w:hyperlink>
      <w:r w:rsidRPr="001256EA">
        <w:rPr>
          <w:rFonts w:ascii="Times New Roman" w:hAnsi="Times New Roman" w:cs="Times New Roman"/>
          <w:sz w:val="20"/>
          <w:szCs w:val="20"/>
        </w:rPr>
        <w:t xml:space="preserve"> </w:t>
      </w:r>
    </w:p>
    <w:p w14:paraId="415504B0" w14:textId="4308697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Rietjens, J. A. C., Smets, T., Bilsen, J., Deschepper, R., Pasman, H. R. W.,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(2012). Age-based disparities in end-of-life decisions in Belgium: A population-based death certificate survey. </w:t>
      </w:r>
      <w:r w:rsidRPr="001256EA">
        <w:rPr>
          <w:rFonts w:ascii="Times New Roman" w:hAnsi="Times New Roman" w:cs="Times New Roman"/>
          <w:i/>
          <w:iCs/>
          <w:sz w:val="20"/>
          <w:szCs w:val="20"/>
        </w:rPr>
        <w:t>BMC Public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w:t>
      </w:r>
      <w:r w:rsidRPr="001256EA">
        <w:rPr>
          <w:rFonts w:ascii="Times New Roman" w:hAnsi="Times New Roman" w:cs="Times New Roman"/>
          <w:sz w:val="20"/>
          <w:szCs w:val="20"/>
        </w:rPr>
        <w:t xml:space="preserve">(1), 447. </w:t>
      </w:r>
      <w:hyperlink r:id="rId64" w:history="1">
        <w:r w:rsidRPr="001256EA">
          <w:rPr>
            <w:rStyle w:val="Hyperlink"/>
            <w:rFonts w:ascii="Times New Roman" w:hAnsi="Times New Roman" w:cs="Times New Roman"/>
            <w:sz w:val="20"/>
            <w:szCs w:val="20"/>
          </w:rPr>
          <w:t>https://doi.org/10.1186/1471-2458-12-447</w:t>
        </w:r>
      </w:hyperlink>
      <w:r w:rsidRPr="001256EA">
        <w:rPr>
          <w:rFonts w:ascii="Times New Roman" w:hAnsi="Times New Roman" w:cs="Times New Roman"/>
          <w:sz w:val="20"/>
          <w:szCs w:val="20"/>
        </w:rPr>
        <w:t xml:space="preserve"> </w:t>
      </w:r>
    </w:p>
    <w:p w14:paraId="75A19D84" w14:textId="204D55E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Vander Stichele, R., Mortier, F., Cohen, J.,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(2015). Recent Trends in Euthanasia and Other End-of-Life Practices in Belgium. </w:t>
      </w:r>
      <w:r w:rsidRPr="001256EA">
        <w:rPr>
          <w:rFonts w:ascii="Times New Roman" w:hAnsi="Times New Roman" w:cs="Times New Roman"/>
          <w:i/>
          <w:iCs/>
          <w:sz w:val="20"/>
          <w:szCs w:val="20"/>
        </w:rPr>
        <w:t>New England Journal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372</w:t>
      </w:r>
      <w:r w:rsidRPr="001256EA">
        <w:rPr>
          <w:rFonts w:ascii="Times New Roman" w:hAnsi="Times New Roman" w:cs="Times New Roman"/>
          <w:sz w:val="20"/>
          <w:szCs w:val="20"/>
        </w:rPr>
        <w:t xml:space="preserve">(12), 1179–1181. </w:t>
      </w:r>
      <w:hyperlink r:id="rId65" w:history="1">
        <w:r w:rsidRPr="001256EA">
          <w:rPr>
            <w:rStyle w:val="Hyperlink"/>
            <w:rFonts w:ascii="Times New Roman" w:hAnsi="Times New Roman" w:cs="Times New Roman"/>
            <w:sz w:val="20"/>
            <w:szCs w:val="20"/>
          </w:rPr>
          <w:t>https://doi.org/10.1056/NEJMc1414527</w:t>
        </w:r>
      </w:hyperlink>
      <w:r w:rsidRPr="001256EA">
        <w:rPr>
          <w:rFonts w:ascii="Times New Roman" w:hAnsi="Times New Roman" w:cs="Times New Roman"/>
          <w:sz w:val="20"/>
          <w:szCs w:val="20"/>
        </w:rPr>
        <w:t xml:space="preserve"> </w:t>
      </w:r>
    </w:p>
    <w:p w14:paraId="5424B907" w14:textId="2C4F4DA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sv-SE"/>
        </w:rPr>
      </w:pPr>
      <w:proofErr w:type="spellStart"/>
      <w:r w:rsidRPr="001256EA">
        <w:rPr>
          <w:rFonts w:ascii="Times New Roman" w:hAnsi="Times New Roman" w:cs="Times New Roman"/>
          <w:sz w:val="20"/>
          <w:szCs w:val="20"/>
          <w:lang w:val="sv-SE"/>
        </w:rPr>
        <w:t>Chekhovska</w:t>
      </w:r>
      <w:proofErr w:type="spellEnd"/>
      <w:r w:rsidRPr="001256EA">
        <w:rPr>
          <w:rFonts w:ascii="Times New Roman" w:hAnsi="Times New Roman" w:cs="Times New Roman"/>
          <w:sz w:val="20"/>
          <w:szCs w:val="20"/>
          <w:lang w:val="sv-SE"/>
        </w:rPr>
        <w:t xml:space="preserve">, I. V., </w:t>
      </w:r>
      <w:proofErr w:type="spellStart"/>
      <w:r w:rsidRPr="001256EA">
        <w:rPr>
          <w:rFonts w:ascii="Times New Roman" w:hAnsi="Times New Roman" w:cs="Times New Roman"/>
          <w:sz w:val="20"/>
          <w:szCs w:val="20"/>
          <w:lang w:val="sv-SE"/>
        </w:rPr>
        <w:t>Balynska</w:t>
      </w:r>
      <w:proofErr w:type="spellEnd"/>
      <w:r w:rsidRPr="001256EA">
        <w:rPr>
          <w:rFonts w:ascii="Times New Roman" w:hAnsi="Times New Roman" w:cs="Times New Roman"/>
          <w:sz w:val="20"/>
          <w:szCs w:val="20"/>
          <w:lang w:val="sv-SE"/>
        </w:rPr>
        <w:t xml:space="preserve">, O. M., </w:t>
      </w:r>
      <w:proofErr w:type="spellStart"/>
      <w:r w:rsidRPr="001256EA">
        <w:rPr>
          <w:rFonts w:ascii="Times New Roman" w:hAnsi="Times New Roman" w:cs="Times New Roman"/>
          <w:sz w:val="20"/>
          <w:szCs w:val="20"/>
          <w:lang w:val="sv-SE"/>
        </w:rPr>
        <w:t>Blahuta</w:t>
      </w:r>
      <w:proofErr w:type="spellEnd"/>
      <w:r w:rsidRPr="001256EA">
        <w:rPr>
          <w:rFonts w:ascii="Times New Roman" w:hAnsi="Times New Roman" w:cs="Times New Roman"/>
          <w:sz w:val="20"/>
          <w:szCs w:val="20"/>
          <w:lang w:val="sv-SE"/>
        </w:rPr>
        <w:t xml:space="preserve">, R. I., </w:t>
      </w:r>
      <w:proofErr w:type="spellStart"/>
      <w:r w:rsidRPr="001256EA">
        <w:rPr>
          <w:rFonts w:ascii="Times New Roman" w:hAnsi="Times New Roman" w:cs="Times New Roman"/>
          <w:sz w:val="20"/>
          <w:szCs w:val="20"/>
          <w:lang w:val="sv-SE"/>
        </w:rPr>
        <w:t>Sereda</w:t>
      </w:r>
      <w:proofErr w:type="spellEnd"/>
      <w:r w:rsidRPr="001256EA">
        <w:rPr>
          <w:rFonts w:ascii="Times New Roman" w:hAnsi="Times New Roman" w:cs="Times New Roman"/>
          <w:sz w:val="20"/>
          <w:szCs w:val="20"/>
          <w:lang w:val="sv-SE"/>
        </w:rPr>
        <w:t xml:space="preserve">, V. V., &amp; </w:t>
      </w:r>
      <w:proofErr w:type="spellStart"/>
      <w:r w:rsidRPr="001256EA">
        <w:rPr>
          <w:rFonts w:ascii="Times New Roman" w:hAnsi="Times New Roman" w:cs="Times New Roman"/>
          <w:sz w:val="20"/>
          <w:szCs w:val="20"/>
          <w:lang w:val="sv-SE"/>
        </w:rPr>
        <w:t>Mosondz</w:t>
      </w:r>
      <w:proofErr w:type="spellEnd"/>
      <w:r w:rsidRPr="001256EA">
        <w:rPr>
          <w:rFonts w:ascii="Times New Roman" w:hAnsi="Times New Roman" w:cs="Times New Roman"/>
          <w:sz w:val="20"/>
          <w:szCs w:val="20"/>
          <w:lang w:val="sv-SE"/>
        </w:rPr>
        <w:t xml:space="preserve">, S. O. (2019). </w:t>
      </w:r>
      <w:r w:rsidRPr="001256EA">
        <w:rPr>
          <w:rFonts w:ascii="Times New Roman" w:hAnsi="Times New Roman" w:cs="Times New Roman"/>
          <w:sz w:val="20"/>
          <w:szCs w:val="20"/>
        </w:rPr>
        <w:t xml:space="preserve">Euthanasia or palliative care: Legal principles of </w:t>
      </w:r>
      <w:proofErr w:type="gramStart"/>
      <w:r w:rsidRPr="001256EA">
        <w:rPr>
          <w:rFonts w:ascii="Times New Roman" w:hAnsi="Times New Roman" w:cs="Times New Roman"/>
          <w:sz w:val="20"/>
          <w:szCs w:val="20"/>
        </w:rPr>
        <w:t>the implementation</w:t>
      </w:r>
      <w:proofErr w:type="gramEnd"/>
      <w:r w:rsidRPr="001256EA">
        <w:rPr>
          <w:rFonts w:ascii="Times New Roman" w:hAnsi="Times New Roman" w:cs="Times New Roman"/>
          <w:sz w:val="20"/>
          <w:szCs w:val="20"/>
        </w:rPr>
        <w:t xml:space="preserve"> in the context of the realization of human rights to life. </w:t>
      </w:r>
      <w:proofErr w:type="spellStart"/>
      <w:r w:rsidRPr="001256EA">
        <w:rPr>
          <w:rFonts w:ascii="Times New Roman" w:hAnsi="Times New Roman" w:cs="Times New Roman"/>
          <w:i/>
          <w:iCs/>
          <w:sz w:val="20"/>
          <w:szCs w:val="20"/>
          <w:lang w:val="sv-SE"/>
        </w:rPr>
        <w:t>Wiad</w:t>
      </w:r>
      <w:proofErr w:type="spellEnd"/>
      <w:r w:rsidRPr="001256EA">
        <w:rPr>
          <w:rFonts w:ascii="Times New Roman" w:hAnsi="Times New Roman" w:cs="Times New Roman"/>
          <w:i/>
          <w:iCs/>
          <w:sz w:val="20"/>
          <w:szCs w:val="20"/>
          <w:lang w:val="sv-SE"/>
        </w:rPr>
        <w:t xml:space="preserve"> Lek</w:t>
      </w:r>
      <w:r w:rsidRPr="001256EA">
        <w:rPr>
          <w:rFonts w:ascii="Times New Roman" w:hAnsi="Times New Roman" w:cs="Times New Roman"/>
          <w:sz w:val="20"/>
          <w:szCs w:val="20"/>
          <w:lang w:val="sv-SE"/>
        </w:rPr>
        <w:t xml:space="preserve">, </w:t>
      </w:r>
      <w:r w:rsidRPr="001256EA">
        <w:rPr>
          <w:rFonts w:ascii="Times New Roman" w:hAnsi="Times New Roman" w:cs="Times New Roman"/>
          <w:i/>
          <w:iCs/>
          <w:sz w:val="20"/>
          <w:szCs w:val="20"/>
          <w:lang w:val="sv-SE"/>
        </w:rPr>
        <w:t>72</w:t>
      </w:r>
      <w:r w:rsidRPr="001256EA">
        <w:rPr>
          <w:rFonts w:ascii="Times New Roman" w:hAnsi="Times New Roman" w:cs="Times New Roman"/>
          <w:sz w:val="20"/>
          <w:szCs w:val="20"/>
          <w:lang w:val="sv-SE"/>
        </w:rPr>
        <w:t xml:space="preserve">(4), 677–681. </w:t>
      </w:r>
      <w:hyperlink r:id="rId66" w:anchor="page=171" w:history="1">
        <w:r w:rsidRPr="001256EA">
          <w:rPr>
            <w:rStyle w:val="Hyperlink"/>
            <w:rFonts w:ascii="Times New Roman" w:hAnsi="Times New Roman" w:cs="Times New Roman"/>
            <w:sz w:val="20"/>
            <w:szCs w:val="20"/>
            <w:lang w:val="sv-SE"/>
          </w:rPr>
          <w:t>https://www.academia.edu/download/87065460/wlek201904136.pdf#page=171</w:t>
        </w:r>
      </w:hyperlink>
      <w:r w:rsidRPr="001256EA">
        <w:rPr>
          <w:rFonts w:ascii="Times New Roman" w:hAnsi="Times New Roman" w:cs="Times New Roman"/>
          <w:sz w:val="20"/>
          <w:szCs w:val="20"/>
          <w:lang w:val="sv-SE"/>
        </w:rPr>
        <w:t xml:space="preserve"> </w:t>
      </w:r>
    </w:p>
    <w:p w14:paraId="1FDB26EC" w14:textId="1D45953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fr-FR"/>
        </w:rPr>
      </w:pPr>
      <w:r w:rsidRPr="001256EA">
        <w:rPr>
          <w:rFonts w:ascii="Times New Roman" w:hAnsi="Times New Roman" w:cs="Times New Roman"/>
          <w:sz w:val="20"/>
          <w:szCs w:val="20"/>
          <w:lang w:val="fr-FR"/>
        </w:rPr>
        <w:t xml:space="preserve">Chiara, T. (2020). </w:t>
      </w:r>
      <w:r w:rsidRPr="001256EA">
        <w:rPr>
          <w:rFonts w:ascii="Times New Roman" w:hAnsi="Times New Roman" w:cs="Times New Roman"/>
          <w:i/>
          <w:iCs/>
          <w:sz w:val="20"/>
          <w:szCs w:val="20"/>
          <w:lang w:val="fr-FR"/>
        </w:rPr>
        <w:t xml:space="preserve">Les régulations juridiques de la fin de vie en Belgique, France et Italie. Une reconnaissance progressive du droit à </w:t>
      </w:r>
      <w:proofErr w:type="gramStart"/>
      <w:r w:rsidRPr="001256EA">
        <w:rPr>
          <w:rFonts w:ascii="Times New Roman" w:hAnsi="Times New Roman" w:cs="Times New Roman"/>
          <w:i/>
          <w:iCs/>
          <w:sz w:val="20"/>
          <w:szCs w:val="20"/>
          <w:lang w:val="fr-FR"/>
        </w:rPr>
        <w:t>l’euthanasie?</w:t>
      </w:r>
      <w:proofErr w:type="gramEnd"/>
      <w:r w:rsidRPr="001256EA">
        <w:rPr>
          <w:rFonts w:ascii="Times New Roman" w:hAnsi="Times New Roman" w:cs="Times New Roman"/>
          <w:sz w:val="20"/>
          <w:szCs w:val="20"/>
          <w:lang w:val="fr-FR"/>
        </w:rPr>
        <w:t xml:space="preserve"> </w:t>
      </w:r>
      <w:hyperlink r:id="rId67" w:history="1">
        <w:r w:rsidRPr="001256EA">
          <w:rPr>
            <w:rStyle w:val="Hyperlink"/>
            <w:rFonts w:ascii="Times New Roman" w:hAnsi="Times New Roman" w:cs="Times New Roman"/>
            <w:sz w:val="20"/>
            <w:szCs w:val="20"/>
            <w:lang w:val="fr-FR"/>
          </w:rPr>
          <w:t>https://tesidottorato.depositolegale.it/handle/20.500.14242/168980</w:t>
        </w:r>
      </w:hyperlink>
      <w:r w:rsidRPr="001256EA">
        <w:rPr>
          <w:rFonts w:ascii="Times New Roman" w:hAnsi="Times New Roman" w:cs="Times New Roman"/>
          <w:sz w:val="20"/>
          <w:szCs w:val="20"/>
          <w:lang w:val="fr-FR"/>
        </w:rPr>
        <w:t xml:space="preserve"> </w:t>
      </w:r>
    </w:p>
    <w:p w14:paraId="3570FC5C" w14:textId="2E50EBD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Cholbi</w:t>
      </w:r>
      <w:proofErr w:type="spellEnd"/>
      <w:r w:rsidRPr="001256EA">
        <w:rPr>
          <w:rFonts w:ascii="Times New Roman" w:hAnsi="Times New Roman" w:cs="Times New Roman"/>
          <w:sz w:val="20"/>
          <w:szCs w:val="20"/>
        </w:rPr>
        <w:t xml:space="preserve">, M., &amp; </w:t>
      </w:r>
      <w:proofErr w:type="spellStart"/>
      <w:r w:rsidRPr="001256EA">
        <w:rPr>
          <w:rFonts w:ascii="Times New Roman" w:hAnsi="Times New Roman" w:cs="Times New Roman"/>
          <w:sz w:val="20"/>
          <w:szCs w:val="20"/>
        </w:rPr>
        <w:t>Varelius</w:t>
      </w:r>
      <w:proofErr w:type="spellEnd"/>
      <w:r w:rsidRPr="001256EA">
        <w:rPr>
          <w:rFonts w:ascii="Times New Roman" w:hAnsi="Times New Roman" w:cs="Times New Roman"/>
          <w:sz w:val="20"/>
          <w:szCs w:val="20"/>
        </w:rPr>
        <w:t xml:space="preserve">, J. (Eds.). (2023). </w:t>
      </w:r>
      <w:r w:rsidRPr="001256EA">
        <w:rPr>
          <w:rFonts w:ascii="Times New Roman" w:hAnsi="Times New Roman" w:cs="Times New Roman"/>
          <w:i/>
          <w:iCs/>
          <w:sz w:val="20"/>
          <w:szCs w:val="20"/>
        </w:rPr>
        <w:t>New Directions in the Ethics of Assisted Suicide and Euthanasia</w:t>
      </w:r>
      <w:r w:rsidRPr="001256EA">
        <w:rPr>
          <w:rFonts w:ascii="Times New Roman" w:hAnsi="Times New Roman" w:cs="Times New Roman"/>
          <w:sz w:val="20"/>
          <w:szCs w:val="20"/>
        </w:rPr>
        <w:t xml:space="preserve"> (Vol. 103). Springer International Publishing. </w:t>
      </w:r>
      <w:hyperlink r:id="rId68" w:history="1">
        <w:r w:rsidRPr="001256EA">
          <w:rPr>
            <w:rStyle w:val="Hyperlink"/>
            <w:rFonts w:ascii="Times New Roman" w:hAnsi="Times New Roman" w:cs="Times New Roman"/>
            <w:sz w:val="20"/>
            <w:szCs w:val="20"/>
          </w:rPr>
          <w:t>https://doi.org/10.1007/978-3-031-25315-7</w:t>
        </w:r>
      </w:hyperlink>
      <w:r w:rsidRPr="001256EA">
        <w:rPr>
          <w:rFonts w:ascii="Times New Roman" w:hAnsi="Times New Roman" w:cs="Times New Roman"/>
          <w:sz w:val="20"/>
          <w:szCs w:val="20"/>
        </w:rPr>
        <w:t xml:space="preserve"> </w:t>
      </w:r>
    </w:p>
    <w:p w14:paraId="4A8E19FB" w14:textId="26F8932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Christou, P. A. (2022). How to use thematic analysis in qualitative research. </w:t>
      </w:r>
      <w:r w:rsidRPr="001256EA">
        <w:rPr>
          <w:rFonts w:ascii="Times New Roman" w:hAnsi="Times New Roman" w:cs="Times New Roman"/>
          <w:i/>
          <w:iCs/>
          <w:sz w:val="20"/>
          <w:szCs w:val="20"/>
        </w:rPr>
        <w:t>Journal of Qualitative Research in Tourism</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w:t>
      </w:r>
      <w:r w:rsidRPr="001256EA">
        <w:rPr>
          <w:rFonts w:ascii="Times New Roman" w:hAnsi="Times New Roman" w:cs="Times New Roman"/>
          <w:sz w:val="20"/>
          <w:szCs w:val="20"/>
        </w:rPr>
        <w:t xml:space="preserve">(2), 79–95. </w:t>
      </w:r>
      <w:hyperlink r:id="rId69" w:history="1">
        <w:r w:rsidRPr="001256EA">
          <w:rPr>
            <w:rStyle w:val="Hyperlink"/>
            <w:rFonts w:ascii="Times New Roman" w:hAnsi="Times New Roman" w:cs="Times New Roman"/>
            <w:sz w:val="20"/>
            <w:szCs w:val="20"/>
          </w:rPr>
          <w:t>https://www.elgaronline.com/view/journals/jqrt/3/2/article-p79.xml</w:t>
        </w:r>
      </w:hyperlink>
      <w:r w:rsidRPr="001256EA">
        <w:rPr>
          <w:rFonts w:ascii="Times New Roman" w:hAnsi="Times New Roman" w:cs="Times New Roman"/>
          <w:sz w:val="20"/>
          <w:szCs w:val="20"/>
        </w:rPr>
        <w:t xml:space="preserve"> </w:t>
      </w:r>
    </w:p>
    <w:p w14:paraId="488793BD" w14:textId="0A193EE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Cleemput</w:t>
      </w:r>
      <w:proofErr w:type="spellEnd"/>
      <w:r w:rsidRPr="001256EA">
        <w:rPr>
          <w:rFonts w:ascii="Times New Roman" w:hAnsi="Times New Roman" w:cs="Times New Roman"/>
          <w:sz w:val="20"/>
          <w:szCs w:val="20"/>
        </w:rPr>
        <w:t xml:space="preserve">, J., &amp; </w:t>
      </w:r>
      <w:proofErr w:type="spellStart"/>
      <w:r w:rsidRPr="001256EA">
        <w:rPr>
          <w:rFonts w:ascii="Times New Roman" w:hAnsi="Times New Roman" w:cs="Times New Roman"/>
          <w:sz w:val="20"/>
          <w:szCs w:val="20"/>
        </w:rPr>
        <w:t>Schoenmakers</w:t>
      </w:r>
      <w:proofErr w:type="spellEnd"/>
      <w:r w:rsidRPr="001256EA">
        <w:rPr>
          <w:rFonts w:ascii="Times New Roman" w:hAnsi="Times New Roman" w:cs="Times New Roman"/>
          <w:sz w:val="20"/>
          <w:szCs w:val="20"/>
        </w:rPr>
        <w:t xml:space="preserve">, B. (2019). Euthanasia in the case of dementia: A survey among Flemish GPs. </w:t>
      </w:r>
      <w:r w:rsidRPr="001256EA">
        <w:rPr>
          <w:rFonts w:ascii="Times New Roman" w:hAnsi="Times New Roman" w:cs="Times New Roman"/>
          <w:i/>
          <w:iCs/>
          <w:sz w:val="20"/>
          <w:szCs w:val="20"/>
        </w:rPr>
        <w:t>BJGP Open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w:t>
      </w:r>
      <w:r w:rsidRPr="001256EA">
        <w:rPr>
          <w:rFonts w:ascii="Times New Roman" w:hAnsi="Times New Roman" w:cs="Times New Roman"/>
          <w:sz w:val="20"/>
          <w:szCs w:val="20"/>
        </w:rPr>
        <w:t xml:space="preserve">(4). </w:t>
      </w:r>
      <w:hyperlink r:id="rId70" w:history="1">
        <w:r w:rsidRPr="001256EA">
          <w:rPr>
            <w:rStyle w:val="Hyperlink"/>
            <w:rFonts w:ascii="Times New Roman" w:hAnsi="Times New Roman" w:cs="Times New Roman"/>
            <w:sz w:val="20"/>
            <w:szCs w:val="20"/>
          </w:rPr>
          <w:t>https://bjgpopen.org/content/3/4/bjgpopen19X101677.abstract</w:t>
        </w:r>
      </w:hyperlink>
      <w:r w:rsidRPr="001256EA">
        <w:rPr>
          <w:rFonts w:ascii="Times New Roman" w:hAnsi="Times New Roman" w:cs="Times New Roman"/>
          <w:sz w:val="20"/>
          <w:szCs w:val="20"/>
        </w:rPr>
        <w:t xml:space="preserve"> </w:t>
      </w:r>
    </w:p>
    <w:p w14:paraId="143BA689" w14:textId="7E52703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Coelho, R., &amp; </w:t>
      </w:r>
      <w:proofErr w:type="spellStart"/>
      <w:r w:rsidRPr="001256EA">
        <w:rPr>
          <w:rFonts w:ascii="Times New Roman" w:hAnsi="Times New Roman" w:cs="Times New Roman"/>
          <w:sz w:val="20"/>
          <w:szCs w:val="20"/>
        </w:rPr>
        <w:t>Herx</w:t>
      </w:r>
      <w:proofErr w:type="spellEnd"/>
      <w:r w:rsidRPr="001256EA">
        <w:rPr>
          <w:rFonts w:ascii="Times New Roman" w:hAnsi="Times New Roman" w:cs="Times New Roman"/>
          <w:sz w:val="20"/>
          <w:szCs w:val="20"/>
        </w:rPr>
        <w:t xml:space="preserve">, L. (2024). 7 The rapid expansion of euthanasia and assisted suicide: The view from Canada. </w:t>
      </w:r>
      <w:r w:rsidRPr="001256EA">
        <w:rPr>
          <w:rFonts w:ascii="Times New Roman" w:hAnsi="Times New Roman" w:cs="Times New Roman"/>
          <w:i/>
          <w:iCs/>
          <w:sz w:val="20"/>
          <w:szCs w:val="20"/>
        </w:rPr>
        <w:t>The Reality of Assisted Dying: Understanding the Issues</w:t>
      </w:r>
      <w:r w:rsidRPr="001256EA">
        <w:rPr>
          <w:rFonts w:ascii="Times New Roman" w:hAnsi="Times New Roman" w:cs="Times New Roman"/>
          <w:sz w:val="20"/>
          <w:szCs w:val="20"/>
        </w:rPr>
        <w:t xml:space="preserve">, 51. </w:t>
      </w:r>
      <w:hyperlink r:id="rId71" w:history="1">
        <w:r w:rsidRPr="001256EA">
          <w:rPr>
            <w:rStyle w:val="Hyperlink"/>
            <w:rFonts w:ascii="Times New Roman" w:hAnsi="Times New Roman" w:cs="Times New Roman"/>
            <w:sz w:val="20"/>
            <w:szCs w:val="20"/>
          </w:rPr>
          <w:t>https://books.google.com/books?hl=en&amp;lr=&amp;id=AVcaEQAAQBAJ&amp;oi=fnd&amp;pg=PA51&amp;dq=++Coelho,+R.,+%26+Herx,+L.+(2024).+7+The+rapid+expansion+of+euthanasia+and+assisted+suicide:+the+view+from+Canada.+The+Reality+of+Assisted+Dying:+Understanding+the+Issues,+51.&amp;ots=iHW6FirocU&amp;sig=pNJtAV13FjSebvzEWtQIRR__xFE</w:t>
        </w:r>
      </w:hyperlink>
      <w:r w:rsidRPr="001256EA">
        <w:rPr>
          <w:rFonts w:ascii="Times New Roman" w:hAnsi="Times New Roman" w:cs="Times New Roman"/>
          <w:sz w:val="20"/>
          <w:szCs w:val="20"/>
        </w:rPr>
        <w:t xml:space="preserve"> </w:t>
      </w:r>
    </w:p>
    <w:p w14:paraId="4F708653" w14:textId="100A5D3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Coers, D. O., Scholten, S. H., De Boer, M. E., </w:t>
      </w:r>
      <w:proofErr w:type="spellStart"/>
      <w:r w:rsidRPr="00BB574A">
        <w:rPr>
          <w:rFonts w:ascii="Times New Roman" w:hAnsi="Times New Roman" w:cs="Times New Roman"/>
          <w:sz w:val="20"/>
          <w:szCs w:val="20"/>
          <w:lang w:val="de-DE"/>
        </w:rPr>
        <w:t>Sizoo</w:t>
      </w:r>
      <w:proofErr w:type="spellEnd"/>
      <w:r w:rsidRPr="00BB574A">
        <w:rPr>
          <w:rFonts w:ascii="Times New Roman" w:hAnsi="Times New Roman" w:cs="Times New Roman"/>
          <w:sz w:val="20"/>
          <w:szCs w:val="20"/>
          <w:lang w:val="de-DE"/>
        </w:rPr>
        <w:t xml:space="preserve">, E. M., </w:t>
      </w:r>
      <w:proofErr w:type="spellStart"/>
      <w:r w:rsidRPr="00BB574A">
        <w:rPr>
          <w:rFonts w:ascii="Times New Roman" w:hAnsi="Times New Roman" w:cs="Times New Roman"/>
          <w:sz w:val="20"/>
          <w:szCs w:val="20"/>
          <w:lang w:val="de-DE"/>
        </w:rPr>
        <w:t>Buijsen</w:t>
      </w:r>
      <w:proofErr w:type="spellEnd"/>
      <w:r w:rsidRPr="00BB574A">
        <w:rPr>
          <w:rFonts w:ascii="Times New Roman" w:hAnsi="Times New Roman" w:cs="Times New Roman"/>
          <w:sz w:val="20"/>
          <w:szCs w:val="20"/>
          <w:lang w:val="de-DE"/>
        </w:rPr>
        <w:t xml:space="preserve">, M. A. J. M., Frederiks, B. J. M., Leget, C. J. W., &amp; </w:t>
      </w:r>
      <w:proofErr w:type="spellStart"/>
      <w:r w:rsidRPr="00BB574A">
        <w:rPr>
          <w:rFonts w:ascii="Times New Roman" w:hAnsi="Times New Roman" w:cs="Times New Roman"/>
          <w:sz w:val="20"/>
          <w:szCs w:val="20"/>
          <w:lang w:val="de-DE"/>
        </w:rPr>
        <w:t>Hertogh</w:t>
      </w:r>
      <w:proofErr w:type="spellEnd"/>
      <w:r w:rsidRPr="00BB574A">
        <w:rPr>
          <w:rFonts w:ascii="Times New Roman" w:hAnsi="Times New Roman" w:cs="Times New Roman"/>
          <w:sz w:val="20"/>
          <w:szCs w:val="20"/>
          <w:lang w:val="de-DE"/>
        </w:rPr>
        <w:t xml:space="preserve">, C. M. P. M. (2024). </w:t>
      </w:r>
      <w:r w:rsidRPr="001256EA">
        <w:rPr>
          <w:rFonts w:ascii="Times New Roman" w:hAnsi="Times New Roman" w:cs="Times New Roman"/>
          <w:sz w:val="20"/>
          <w:szCs w:val="20"/>
        </w:rPr>
        <w:t xml:space="preserve">A qualitative focus group study on legal experts’ views regarding euthanasia requests based on an advance euthanasia directive. </w:t>
      </w:r>
      <w:r w:rsidRPr="001256EA">
        <w:rPr>
          <w:rFonts w:ascii="Times New Roman" w:hAnsi="Times New Roman" w:cs="Times New Roman"/>
          <w:i/>
          <w:iCs/>
          <w:sz w:val="20"/>
          <w:szCs w:val="20"/>
        </w:rPr>
        <w:t>BMC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25</w:t>
      </w:r>
      <w:r w:rsidRPr="001256EA">
        <w:rPr>
          <w:rFonts w:ascii="Times New Roman" w:hAnsi="Times New Roman" w:cs="Times New Roman"/>
          <w:sz w:val="20"/>
          <w:szCs w:val="20"/>
        </w:rPr>
        <w:t xml:space="preserve">(1), 119. </w:t>
      </w:r>
      <w:hyperlink r:id="rId72" w:history="1">
        <w:r w:rsidRPr="001256EA">
          <w:rPr>
            <w:rStyle w:val="Hyperlink"/>
            <w:rFonts w:ascii="Times New Roman" w:hAnsi="Times New Roman" w:cs="Times New Roman"/>
            <w:sz w:val="20"/>
            <w:szCs w:val="20"/>
          </w:rPr>
          <w:t>https://doi.org/10.1186/s12910-024-01111-2</w:t>
        </w:r>
      </w:hyperlink>
      <w:r w:rsidRPr="001256EA">
        <w:rPr>
          <w:rFonts w:ascii="Times New Roman" w:hAnsi="Times New Roman" w:cs="Times New Roman"/>
          <w:sz w:val="20"/>
          <w:szCs w:val="20"/>
        </w:rPr>
        <w:t xml:space="preserve"> </w:t>
      </w:r>
    </w:p>
    <w:p w14:paraId="2ADDEC9B" w14:textId="33B9FD7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lastRenderedPageBreak/>
        <w:t xml:space="preserve">Cohen, J., Marcoux, I., Bilsen, J., </w:t>
      </w:r>
      <w:proofErr w:type="spellStart"/>
      <w:r w:rsidRPr="001256EA">
        <w:rPr>
          <w:rFonts w:ascii="Times New Roman" w:hAnsi="Times New Roman" w:cs="Times New Roman"/>
          <w:sz w:val="20"/>
          <w:szCs w:val="20"/>
          <w:lang w:val="de-DE"/>
        </w:rPr>
        <w:t>Deboosere</w:t>
      </w:r>
      <w:proofErr w:type="spellEnd"/>
      <w:r w:rsidRPr="001256EA">
        <w:rPr>
          <w:rFonts w:ascii="Times New Roman" w:hAnsi="Times New Roman" w:cs="Times New Roman"/>
          <w:sz w:val="20"/>
          <w:szCs w:val="20"/>
          <w:lang w:val="de-DE"/>
        </w:rPr>
        <w:t xml:space="preserve">, P., Van der Wal, G., &amp; </w:t>
      </w:r>
      <w:proofErr w:type="spellStart"/>
      <w:r w:rsidRPr="001256EA">
        <w:rPr>
          <w:rFonts w:ascii="Times New Roman" w:hAnsi="Times New Roman" w:cs="Times New Roman"/>
          <w:sz w:val="20"/>
          <w:szCs w:val="20"/>
          <w:lang w:val="de-DE"/>
        </w:rPr>
        <w:t>Deliens</w:t>
      </w:r>
      <w:proofErr w:type="spellEnd"/>
      <w:r w:rsidRPr="001256EA">
        <w:rPr>
          <w:rFonts w:ascii="Times New Roman" w:hAnsi="Times New Roman" w:cs="Times New Roman"/>
          <w:sz w:val="20"/>
          <w:szCs w:val="20"/>
          <w:lang w:val="de-DE"/>
        </w:rPr>
        <w:t xml:space="preserve">, L. (2006). </w:t>
      </w:r>
      <w:r w:rsidRPr="001256EA">
        <w:rPr>
          <w:rFonts w:ascii="Times New Roman" w:hAnsi="Times New Roman" w:cs="Times New Roman"/>
          <w:sz w:val="20"/>
          <w:szCs w:val="20"/>
        </w:rPr>
        <w:t xml:space="preserve">Trends in acceptance of euthanasia among the </w:t>
      </w:r>
      <w:proofErr w:type="gramStart"/>
      <w:r w:rsidRPr="001256EA">
        <w:rPr>
          <w:rFonts w:ascii="Times New Roman" w:hAnsi="Times New Roman" w:cs="Times New Roman"/>
          <w:sz w:val="20"/>
          <w:szCs w:val="20"/>
        </w:rPr>
        <w:t>general public</w:t>
      </w:r>
      <w:proofErr w:type="gramEnd"/>
      <w:r w:rsidRPr="001256EA">
        <w:rPr>
          <w:rFonts w:ascii="Times New Roman" w:hAnsi="Times New Roman" w:cs="Times New Roman"/>
          <w:sz w:val="20"/>
          <w:szCs w:val="20"/>
        </w:rPr>
        <w:t xml:space="preserve"> in 12 European countries (1981–1999). </w:t>
      </w:r>
      <w:r w:rsidRPr="001256EA">
        <w:rPr>
          <w:rFonts w:ascii="Times New Roman" w:hAnsi="Times New Roman" w:cs="Times New Roman"/>
          <w:i/>
          <w:iCs/>
          <w:sz w:val="20"/>
          <w:szCs w:val="20"/>
        </w:rPr>
        <w:t>The European Journal of Public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16</w:t>
      </w:r>
      <w:r w:rsidRPr="001256EA">
        <w:rPr>
          <w:rFonts w:ascii="Times New Roman" w:hAnsi="Times New Roman" w:cs="Times New Roman"/>
          <w:sz w:val="20"/>
          <w:szCs w:val="20"/>
        </w:rPr>
        <w:t xml:space="preserve">(6), 663–669. </w:t>
      </w:r>
      <w:hyperlink r:id="rId73" w:history="1">
        <w:r w:rsidRPr="001256EA">
          <w:rPr>
            <w:rStyle w:val="Hyperlink"/>
            <w:rFonts w:ascii="Times New Roman" w:hAnsi="Times New Roman" w:cs="Times New Roman"/>
            <w:sz w:val="20"/>
            <w:szCs w:val="20"/>
          </w:rPr>
          <w:t>https://academic.oup.com/eurpub/article-abstract/16/6/663/587667</w:t>
        </w:r>
      </w:hyperlink>
      <w:r w:rsidRPr="001256EA">
        <w:rPr>
          <w:rFonts w:ascii="Times New Roman" w:hAnsi="Times New Roman" w:cs="Times New Roman"/>
          <w:sz w:val="20"/>
          <w:szCs w:val="20"/>
        </w:rPr>
        <w:t xml:space="preserve"> </w:t>
      </w:r>
    </w:p>
    <w:p w14:paraId="1ECAB09B" w14:textId="158FF6A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Cohen-Almagor, R. (2008). Euthanasia policy and practice in Belgium: Critical observations and suggestions for improvement. </w:t>
      </w:r>
      <w:r w:rsidRPr="001256EA">
        <w:rPr>
          <w:rFonts w:ascii="Times New Roman" w:hAnsi="Times New Roman" w:cs="Times New Roman"/>
          <w:i/>
          <w:iCs/>
          <w:sz w:val="20"/>
          <w:szCs w:val="20"/>
        </w:rPr>
        <w:t>Issues L. &amp; Med.</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24</w:t>
      </w:r>
      <w:r w:rsidRPr="001256EA">
        <w:rPr>
          <w:rFonts w:ascii="Times New Roman" w:hAnsi="Times New Roman" w:cs="Times New Roman"/>
          <w:sz w:val="20"/>
          <w:szCs w:val="20"/>
        </w:rPr>
        <w:t xml:space="preserve">, 187. </w:t>
      </w:r>
      <w:hyperlink r:id="rId74" w:history="1">
        <w:r w:rsidRPr="001256EA">
          <w:rPr>
            <w:rStyle w:val="Hyperlink"/>
            <w:rFonts w:ascii="Times New Roman" w:hAnsi="Times New Roman" w:cs="Times New Roman"/>
            <w:sz w:val="20"/>
            <w:szCs w:val="20"/>
          </w:rPr>
          <w:t>https://heinonline.org/hol-cgi-bin/get_pdf.cgi?handle=hein.journals/ilmed24&amp;section=20</w:t>
        </w:r>
      </w:hyperlink>
      <w:r w:rsidRPr="001256EA">
        <w:rPr>
          <w:rFonts w:ascii="Times New Roman" w:hAnsi="Times New Roman" w:cs="Times New Roman"/>
          <w:sz w:val="20"/>
          <w:szCs w:val="20"/>
        </w:rPr>
        <w:t xml:space="preserve"> </w:t>
      </w:r>
    </w:p>
    <w:p w14:paraId="60E5E9EC" w14:textId="20280B7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Cohen-Almagor, R. (2015). First do no harm: Euthanasia of patients with dementia in Belgium. </w:t>
      </w:r>
      <w:r w:rsidRPr="001256EA">
        <w:rPr>
          <w:rFonts w:ascii="Times New Roman" w:hAnsi="Times New Roman" w:cs="Times New Roman"/>
          <w:i/>
          <w:iCs/>
          <w:sz w:val="20"/>
          <w:szCs w:val="20"/>
        </w:rPr>
        <w:t>The Journal of Medicine and Philosophy: A Forum for Bioethics and Philosophy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(1), 74–89. </w:t>
      </w:r>
      <w:hyperlink r:id="rId75" w:history="1">
        <w:r w:rsidRPr="001256EA">
          <w:rPr>
            <w:rStyle w:val="Hyperlink"/>
            <w:rFonts w:ascii="Times New Roman" w:hAnsi="Times New Roman" w:cs="Times New Roman"/>
            <w:sz w:val="20"/>
            <w:szCs w:val="20"/>
          </w:rPr>
          <w:t>https://academic.oup.com/jmp/article-abstract/41/1/74/2563132</w:t>
        </w:r>
      </w:hyperlink>
      <w:r w:rsidRPr="001256EA">
        <w:rPr>
          <w:rFonts w:ascii="Times New Roman" w:hAnsi="Times New Roman" w:cs="Times New Roman"/>
          <w:sz w:val="20"/>
          <w:szCs w:val="20"/>
        </w:rPr>
        <w:t xml:space="preserve"> </w:t>
      </w:r>
    </w:p>
    <w:p w14:paraId="3B4BB47C" w14:textId="5EA8FDE8" w:rsidR="00750DC9" w:rsidRPr="001256EA" w:rsidRDefault="00750DC9" w:rsidP="000753F3">
      <w:pPr>
        <w:pStyle w:val="ListParagraph"/>
        <w:numPr>
          <w:ilvl w:val="0"/>
          <w:numId w:val="34"/>
        </w:numPr>
        <w:spacing w:line="276" w:lineRule="auto"/>
        <w:ind w:left="270"/>
        <w:jc w:val="both"/>
        <w:rPr>
          <w:rFonts w:ascii="Times New Roman" w:hAnsi="Times New Roman" w:cs="Times New Roman"/>
          <w:sz w:val="20"/>
          <w:szCs w:val="20"/>
          <w:lang w:val="pl-PL"/>
        </w:rPr>
      </w:pPr>
      <w:r w:rsidRPr="001256EA">
        <w:rPr>
          <w:rFonts w:ascii="Times New Roman" w:hAnsi="Times New Roman" w:cs="Times New Roman"/>
          <w:sz w:val="20"/>
          <w:szCs w:val="20"/>
        </w:rPr>
        <w:t xml:space="preserve">Čović, A. (2023). Euthanasia: The right to die between God’s will and the will of a man. </w:t>
      </w:r>
      <w:proofErr w:type="spellStart"/>
      <w:r w:rsidRPr="001256EA">
        <w:rPr>
          <w:rFonts w:ascii="Times New Roman" w:hAnsi="Times New Roman" w:cs="Times New Roman"/>
          <w:i/>
          <w:iCs/>
          <w:sz w:val="20"/>
          <w:szCs w:val="20"/>
          <w:lang w:val="pl-PL"/>
        </w:rPr>
        <w:t>Strani</w:t>
      </w:r>
      <w:proofErr w:type="spellEnd"/>
      <w:r w:rsidRPr="001256EA">
        <w:rPr>
          <w:rFonts w:ascii="Times New Roman" w:hAnsi="Times New Roman" w:cs="Times New Roman"/>
          <w:i/>
          <w:iCs/>
          <w:sz w:val="20"/>
          <w:szCs w:val="20"/>
          <w:lang w:val="pl-PL"/>
        </w:rPr>
        <w:t xml:space="preserve"> </w:t>
      </w:r>
      <w:proofErr w:type="spellStart"/>
      <w:r w:rsidRPr="001256EA">
        <w:rPr>
          <w:rFonts w:ascii="Times New Roman" w:hAnsi="Times New Roman" w:cs="Times New Roman"/>
          <w:i/>
          <w:iCs/>
          <w:sz w:val="20"/>
          <w:szCs w:val="20"/>
          <w:lang w:val="pl-PL"/>
        </w:rPr>
        <w:t>Pravni</w:t>
      </w:r>
      <w:proofErr w:type="spellEnd"/>
      <w:r w:rsidRPr="001256EA">
        <w:rPr>
          <w:rFonts w:ascii="Times New Roman" w:hAnsi="Times New Roman" w:cs="Times New Roman"/>
          <w:i/>
          <w:iCs/>
          <w:sz w:val="20"/>
          <w:szCs w:val="20"/>
          <w:lang w:val="pl-PL"/>
        </w:rPr>
        <w:t xml:space="preserve"> </w:t>
      </w:r>
      <w:proofErr w:type="spellStart"/>
      <w:r w:rsidRPr="001256EA">
        <w:rPr>
          <w:rFonts w:ascii="Times New Roman" w:hAnsi="Times New Roman" w:cs="Times New Roman"/>
          <w:i/>
          <w:iCs/>
          <w:sz w:val="20"/>
          <w:szCs w:val="20"/>
          <w:lang w:val="pl-PL"/>
        </w:rPr>
        <w:t>Život</w:t>
      </w:r>
      <w:proofErr w:type="spellEnd"/>
      <w:r w:rsidRPr="001256EA">
        <w:rPr>
          <w:rFonts w:ascii="Times New Roman" w:hAnsi="Times New Roman" w:cs="Times New Roman"/>
          <w:sz w:val="20"/>
          <w:szCs w:val="20"/>
          <w:lang w:val="pl-PL"/>
        </w:rPr>
        <w:t xml:space="preserve">, </w:t>
      </w:r>
      <w:r w:rsidRPr="001256EA">
        <w:rPr>
          <w:rFonts w:ascii="Times New Roman" w:hAnsi="Times New Roman" w:cs="Times New Roman"/>
          <w:i/>
          <w:iCs/>
          <w:sz w:val="20"/>
          <w:szCs w:val="20"/>
          <w:lang w:val="pl-PL"/>
        </w:rPr>
        <w:t>67</w:t>
      </w:r>
      <w:r w:rsidRPr="001256EA">
        <w:rPr>
          <w:rFonts w:ascii="Times New Roman" w:hAnsi="Times New Roman" w:cs="Times New Roman"/>
          <w:sz w:val="20"/>
          <w:szCs w:val="20"/>
          <w:lang w:val="pl-PL"/>
        </w:rPr>
        <w:t xml:space="preserve">(2), 229–250. </w:t>
      </w:r>
      <w:hyperlink r:id="rId76" w:history="1">
        <w:r w:rsidRPr="001256EA">
          <w:rPr>
            <w:rStyle w:val="Hyperlink"/>
            <w:rFonts w:ascii="Times New Roman" w:hAnsi="Times New Roman" w:cs="Times New Roman"/>
            <w:sz w:val="20"/>
            <w:szCs w:val="20"/>
            <w:lang w:val="pl-PL"/>
          </w:rPr>
          <w:t>https://www.ceeol.com/search/article-detail?id=1161716</w:t>
        </w:r>
      </w:hyperlink>
      <w:r w:rsidRPr="001256EA">
        <w:rPr>
          <w:rFonts w:ascii="Times New Roman" w:hAnsi="Times New Roman" w:cs="Times New Roman"/>
          <w:sz w:val="20"/>
          <w:szCs w:val="20"/>
          <w:lang w:val="pl-PL"/>
        </w:rPr>
        <w:t xml:space="preserve"> </w:t>
      </w:r>
    </w:p>
    <w:p w14:paraId="3879D88E" w14:textId="7099675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Daniels, N. (2001). Justice, Health, and Healthcare. </w:t>
      </w:r>
      <w:r w:rsidRPr="001256EA">
        <w:rPr>
          <w:rFonts w:ascii="Times New Roman" w:hAnsi="Times New Roman" w:cs="Times New Roman"/>
          <w:i/>
          <w:iCs/>
          <w:sz w:val="20"/>
          <w:szCs w:val="20"/>
        </w:rPr>
        <w:t>American Journal of Bioethics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w:t>
      </w:r>
      <w:r w:rsidRPr="001256EA">
        <w:rPr>
          <w:rFonts w:ascii="Times New Roman" w:hAnsi="Times New Roman" w:cs="Times New Roman"/>
          <w:sz w:val="20"/>
          <w:szCs w:val="20"/>
        </w:rPr>
        <w:t xml:space="preserve">(2), 2–16. </w:t>
      </w:r>
      <w:hyperlink r:id="rId77" w:history="1">
        <w:r w:rsidRPr="001256EA">
          <w:rPr>
            <w:rStyle w:val="Hyperlink"/>
            <w:rFonts w:ascii="Times New Roman" w:hAnsi="Times New Roman" w:cs="Times New Roman"/>
            <w:sz w:val="20"/>
            <w:szCs w:val="20"/>
          </w:rPr>
          <w:t>https://doi.org/10.1162/152651601300168834</w:t>
        </w:r>
      </w:hyperlink>
      <w:r w:rsidRPr="001256EA">
        <w:rPr>
          <w:rFonts w:ascii="Times New Roman" w:hAnsi="Times New Roman" w:cs="Times New Roman"/>
          <w:sz w:val="20"/>
          <w:szCs w:val="20"/>
        </w:rPr>
        <w:t xml:space="preserve"> </w:t>
      </w:r>
    </w:p>
    <w:p w14:paraId="357590A9" w14:textId="01B53E0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 Boer, M. E., </w:t>
      </w:r>
      <w:proofErr w:type="spellStart"/>
      <w:r w:rsidRPr="001256EA">
        <w:rPr>
          <w:rFonts w:ascii="Times New Roman" w:hAnsi="Times New Roman" w:cs="Times New Roman"/>
          <w:sz w:val="20"/>
          <w:szCs w:val="20"/>
        </w:rPr>
        <w:t>Dröes</w:t>
      </w:r>
      <w:proofErr w:type="spellEnd"/>
      <w:r w:rsidRPr="001256EA">
        <w:rPr>
          <w:rFonts w:ascii="Times New Roman" w:hAnsi="Times New Roman" w:cs="Times New Roman"/>
          <w:sz w:val="20"/>
          <w:szCs w:val="20"/>
        </w:rPr>
        <w:t xml:space="preserve">, R.-M., Jonker, C., </w:t>
      </w:r>
      <w:proofErr w:type="spellStart"/>
      <w:r w:rsidRPr="001256EA">
        <w:rPr>
          <w:rFonts w:ascii="Times New Roman" w:hAnsi="Times New Roman" w:cs="Times New Roman"/>
          <w:sz w:val="20"/>
          <w:szCs w:val="20"/>
        </w:rPr>
        <w:t>Eefsting</w:t>
      </w:r>
      <w:proofErr w:type="spellEnd"/>
      <w:r w:rsidRPr="001256EA">
        <w:rPr>
          <w:rFonts w:ascii="Times New Roman" w:hAnsi="Times New Roman" w:cs="Times New Roman"/>
          <w:sz w:val="20"/>
          <w:szCs w:val="20"/>
        </w:rPr>
        <w:t xml:space="preserve">, J. A., &amp; Hertogh, C. M. (2010). Advance directives for euthanasia in dementia: Do law-based opportunities lead to more euthanasia? </w:t>
      </w:r>
      <w:r w:rsidRPr="001256EA">
        <w:rPr>
          <w:rFonts w:ascii="Times New Roman" w:hAnsi="Times New Roman" w:cs="Times New Roman"/>
          <w:i/>
          <w:iCs/>
          <w:sz w:val="20"/>
          <w:szCs w:val="20"/>
        </w:rPr>
        <w:t>Health Policy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98</w:t>
      </w:r>
      <w:r w:rsidRPr="001256EA">
        <w:rPr>
          <w:rFonts w:ascii="Times New Roman" w:hAnsi="Times New Roman" w:cs="Times New Roman"/>
          <w:sz w:val="20"/>
          <w:szCs w:val="20"/>
        </w:rPr>
        <w:t xml:space="preserve">(2–3), 256–262. </w:t>
      </w:r>
      <w:hyperlink r:id="rId78" w:history="1">
        <w:r w:rsidRPr="001256EA">
          <w:rPr>
            <w:rStyle w:val="Hyperlink"/>
            <w:rFonts w:ascii="Times New Roman" w:hAnsi="Times New Roman" w:cs="Times New Roman"/>
            <w:sz w:val="20"/>
            <w:szCs w:val="20"/>
          </w:rPr>
          <w:t>https://www.sciencedirect.com/science/article/pii/S0168851010001934</w:t>
        </w:r>
      </w:hyperlink>
      <w:r w:rsidRPr="001256EA">
        <w:rPr>
          <w:rFonts w:ascii="Times New Roman" w:hAnsi="Times New Roman" w:cs="Times New Roman"/>
          <w:sz w:val="20"/>
          <w:szCs w:val="20"/>
        </w:rPr>
        <w:t xml:space="preserve"> </w:t>
      </w:r>
    </w:p>
    <w:p w14:paraId="7A3B6B66" w14:textId="4FCD2C6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 Hert, M., Loos, S., Sterckx, S., Thys, E., &amp; Van Assche, K. (2022). Improving control over euthanasia of persons with psychiatric illness: Lessons from the first Belgian criminal court case concerning euthanasia. </w:t>
      </w:r>
      <w:r w:rsidRPr="001256EA">
        <w:rPr>
          <w:rFonts w:ascii="Times New Roman" w:hAnsi="Times New Roman" w:cs="Times New Roman"/>
          <w:i/>
          <w:iCs/>
          <w:sz w:val="20"/>
          <w:szCs w:val="20"/>
        </w:rPr>
        <w:t>Frontiers in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 933748. </w:t>
      </w:r>
      <w:hyperlink r:id="rId79" w:history="1">
        <w:r w:rsidRPr="001256EA">
          <w:rPr>
            <w:rStyle w:val="Hyperlink"/>
            <w:rFonts w:ascii="Times New Roman" w:hAnsi="Times New Roman" w:cs="Times New Roman"/>
            <w:sz w:val="20"/>
            <w:szCs w:val="20"/>
          </w:rPr>
          <w:t>https://www.frontiersin.org/articles/10.3389/fpsyt.2022.933748/full</w:t>
        </w:r>
      </w:hyperlink>
      <w:r w:rsidRPr="001256EA">
        <w:rPr>
          <w:rFonts w:ascii="Times New Roman" w:hAnsi="Times New Roman" w:cs="Times New Roman"/>
          <w:sz w:val="20"/>
          <w:szCs w:val="20"/>
        </w:rPr>
        <w:t xml:space="preserve"> </w:t>
      </w:r>
    </w:p>
    <w:p w14:paraId="5494173F" w14:textId="6CDEA31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 Hert, M., Thys, E., </w:t>
      </w:r>
      <w:proofErr w:type="spellStart"/>
      <w:r w:rsidRPr="001256EA">
        <w:rPr>
          <w:rFonts w:ascii="Times New Roman" w:hAnsi="Times New Roman" w:cs="Times New Roman"/>
          <w:sz w:val="20"/>
          <w:szCs w:val="20"/>
        </w:rPr>
        <w:t>Catthoor</w:t>
      </w:r>
      <w:proofErr w:type="spellEnd"/>
      <w:r w:rsidRPr="001256EA">
        <w:rPr>
          <w:rFonts w:ascii="Times New Roman" w:hAnsi="Times New Roman" w:cs="Times New Roman"/>
          <w:sz w:val="20"/>
          <w:szCs w:val="20"/>
        </w:rPr>
        <w:t xml:space="preserve">, K., Van den Broeck, K., Matthys, F., Vansteelandt, K., &amp; </w:t>
      </w:r>
      <w:proofErr w:type="spellStart"/>
      <w:r w:rsidRPr="001256EA">
        <w:rPr>
          <w:rFonts w:ascii="Times New Roman" w:hAnsi="Times New Roman" w:cs="Times New Roman"/>
          <w:sz w:val="20"/>
          <w:szCs w:val="20"/>
        </w:rPr>
        <w:t>Detraux</w:t>
      </w:r>
      <w:proofErr w:type="spellEnd"/>
      <w:r w:rsidRPr="001256EA">
        <w:rPr>
          <w:rFonts w:ascii="Times New Roman" w:hAnsi="Times New Roman" w:cs="Times New Roman"/>
          <w:sz w:val="20"/>
          <w:szCs w:val="20"/>
        </w:rPr>
        <w:t xml:space="preserve">, J. (2023). Media coverage of Belgium’s first criminal case concerning euthanasia for psychiatric patients: A content analysis of Flemish newspapers and magazines. </w:t>
      </w:r>
      <w:r w:rsidRPr="001256EA">
        <w:rPr>
          <w:rFonts w:ascii="Times New Roman" w:hAnsi="Times New Roman" w:cs="Times New Roman"/>
          <w:i/>
          <w:iCs/>
          <w:sz w:val="20"/>
          <w:szCs w:val="20"/>
        </w:rPr>
        <w:t>Frontiers in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 1050086. </w:t>
      </w:r>
      <w:hyperlink r:id="rId80" w:history="1">
        <w:r w:rsidRPr="001256EA">
          <w:rPr>
            <w:rStyle w:val="Hyperlink"/>
            <w:rFonts w:ascii="Times New Roman" w:hAnsi="Times New Roman" w:cs="Times New Roman"/>
            <w:sz w:val="20"/>
            <w:szCs w:val="20"/>
          </w:rPr>
          <w:t>https://www.frontiersin.org/articles/10.3389/fpsyt.2022.1050086/full</w:t>
        </w:r>
      </w:hyperlink>
      <w:r w:rsidRPr="001256EA">
        <w:rPr>
          <w:rFonts w:ascii="Times New Roman" w:hAnsi="Times New Roman" w:cs="Times New Roman"/>
          <w:sz w:val="20"/>
          <w:szCs w:val="20"/>
        </w:rPr>
        <w:t xml:space="preserve"> </w:t>
      </w:r>
    </w:p>
    <w:p w14:paraId="504CBB01" w14:textId="7EE46CE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 Oliveira, C. T. (2022). </w:t>
      </w:r>
      <w:r w:rsidRPr="001256EA">
        <w:rPr>
          <w:rFonts w:ascii="Times New Roman" w:hAnsi="Times New Roman" w:cs="Times New Roman"/>
          <w:i/>
          <w:iCs/>
          <w:sz w:val="20"/>
          <w:szCs w:val="20"/>
        </w:rPr>
        <w:t>Bioethics and human rights in international law: Genetic engineering, euthanasia and/or physician assisted suicide</w:t>
      </w:r>
      <w:r w:rsidRPr="001256EA">
        <w:rPr>
          <w:rFonts w:ascii="Times New Roman" w:hAnsi="Times New Roman" w:cs="Times New Roman"/>
          <w:sz w:val="20"/>
          <w:szCs w:val="20"/>
        </w:rPr>
        <w:t xml:space="preserve">. </w:t>
      </w:r>
      <w:hyperlink r:id="rId81" w:history="1">
        <w:r w:rsidRPr="001256EA">
          <w:rPr>
            <w:rStyle w:val="Hyperlink"/>
            <w:rFonts w:ascii="Times New Roman" w:hAnsi="Times New Roman" w:cs="Times New Roman"/>
            <w:sz w:val="20"/>
            <w:szCs w:val="20"/>
          </w:rPr>
          <w:t>https://open.uct.ac.za/handle/11427/37406</w:t>
        </w:r>
      </w:hyperlink>
      <w:r w:rsidRPr="001256EA">
        <w:rPr>
          <w:rFonts w:ascii="Times New Roman" w:hAnsi="Times New Roman" w:cs="Times New Roman"/>
          <w:sz w:val="20"/>
          <w:szCs w:val="20"/>
        </w:rPr>
        <w:t xml:space="preserve"> </w:t>
      </w:r>
    </w:p>
    <w:p w14:paraId="2AAEFD84" w14:textId="389775F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Deerwester, S., Dumais, S. T., Furnas, G. W., Landauer, T. K., &amp; Harshman, R. (1990). </w:t>
      </w:r>
      <w:r w:rsidRPr="001256EA">
        <w:rPr>
          <w:rFonts w:ascii="Times New Roman" w:hAnsi="Times New Roman" w:cs="Times New Roman"/>
          <w:sz w:val="20"/>
          <w:szCs w:val="20"/>
        </w:rPr>
        <w:t xml:space="preserve">Indexing by latent semantic analysis. </w:t>
      </w:r>
      <w:r w:rsidRPr="001256EA">
        <w:rPr>
          <w:rFonts w:ascii="Times New Roman" w:hAnsi="Times New Roman" w:cs="Times New Roman"/>
          <w:i/>
          <w:iCs/>
          <w:sz w:val="20"/>
          <w:szCs w:val="20"/>
        </w:rPr>
        <w:t>Journal of the American Society for Information Science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(6), 391–407. </w:t>
      </w:r>
      <w:hyperlink r:id="rId82" w:history="1">
        <w:r w:rsidRPr="001256EA">
          <w:rPr>
            <w:rStyle w:val="Hyperlink"/>
            <w:rFonts w:ascii="Times New Roman" w:hAnsi="Times New Roman" w:cs="Times New Roman"/>
            <w:sz w:val="20"/>
            <w:szCs w:val="20"/>
          </w:rPr>
          <w:t>https://doi.org/10.1002/(SICI)1097-4571(199009)41:6&lt;391::AID-ASI1&gt;3.0.CO;2-9</w:t>
        </w:r>
      </w:hyperlink>
      <w:r w:rsidRPr="001256EA">
        <w:rPr>
          <w:rFonts w:ascii="Times New Roman" w:hAnsi="Times New Roman" w:cs="Times New Roman"/>
          <w:sz w:val="20"/>
          <w:szCs w:val="20"/>
        </w:rPr>
        <w:t xml:space="preserve"> </w:t>
      </w:r>
    </w:p>
    <w:p w14:paraId="164076DD" w14:textId="65559DB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n-GB"/>
        </w:rPr>
        <w:t xml:space="preserve">Dei, M. O., Skliar, I. S., &amp; </w:t>
      </w:r>
      <w:proofErr w:type="spellStart"/>
      <w:r w:rsidRPr="001256EA">
        <w:rPr>
          <w:rFonts w:ascii="Times New Roman" w:hAnsi="Times New Roman" w:cs="Times New Roman"/>
          <w:sz w:val="20"/>
          <w:szCs w:val="20"/>
          <w:lang w:val="en-GB"/>
        </w:rPr>
        <w:t>Kortukova</w:t>
      </w:r>
      <w:proofErr w:type="spellEnd"/>
      <w:r w:rsidRPr="001256EA">
        <w:rPr>
          <w:rFonts w:ascii="Times New Roman" w:hAnsi="Times New Roman" w:cs="Times New Roman"/>
          <w:sz w:val="20"/>
          <w:szCs w:val="20"/>
          <w:lang w:val="en-GB"/>
        </w:rPr>
        <w:t xml:space="preserve">, T. (2022). </w:t>
      </w:r>
      <w:r w:rsidRPr="001256EA">
        <w:rPr>
          <w:rFonts w:ascii="Times New Roman" w:hAnsi="Times New Roman" w:cs="Times New Roman"/>
          <w:sz w:val="20"/>
          <w:szCs w:val="20"/>
        </w:rPr>
        <w:t xml:space="preserve">National and international legal issues of </w:t>
      </w:r>
      <w:proofErr w:type="gramStart"/>
      <w:r w:rsidRPr="001256EA">
        <w:rPr>
          <w:rFonts w:ascii="Times New Roman" w:hAnsi="Times New Roman" w:cs="Times New Roman"/>
          <w:sz w:val="20"/>
          <w:szCs w:val="20"/>
        </w:rPr>
        <w:t>the euthanasia</w:t>
      </w:r>
      <w:proofErr w:type="gram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Polish Annals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2022</w:t>
      </w:r>
      <w:r w:rsidRPr="001256EA">
        <w:rPr>
          <w:rFonts w:ascii="Times New Roman" w:hAnsi="Times New Roman" w:cs="Times New Roman"/>
          <w:sz w:val="20"/>
          <w:szCs w:val="20"/>
        </w:rPr>
        <w:t xml:space="preserve">(1), 1–6. </w:t>
      </w:r>
      <w:hyperlink r:id="rId83" w:history="1">
        <w:r w:rsidRPr="001256EA">
          <w:rPr>
            <w:rStyle w:val="Hyperlink"/>
            <w:rFonts w:ascii="Times New Roman" w:hAnsi="Times New Roman" w:cs="Times New Roman"/>
            <w:sz w:val="20"/>
            <w:szCs w:val="20"/>
          </w:rPr>
          <w:t>http://www.paom.pl/National-and-international-legal-issues-of-the-euthanasia,140538,0,2.html</w:t>
        </w:r>
      </w:hyperlink>
      <w:r w:rsidRPr="001256EA">
        <w:rPr>
          <w:rFonts w:ascii="Times New Roman" w:hAnsi="Times New Roman" w:cs="Times New Roman"/>
          <w:sz w:val="20"/>
          <w:szCs w:val="20"/>
        </w:rPr>
        <w:t xml:space="preserve"> </w:t>
      </w:r>
    </w:p>
    <w:p w14:paraId="421CC1D2" w14:textId="18242B7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Del Villar, K., Willmott, L., &amp; White, B. P. (2025). Voluntary assisted dying—Australia in an international context. </w:t>
      </w:r>
      <w:r w:rsidRPr="001256EA">
        <w:rPr>
          <w:rFonts w:ascii="Times New Roman" w:hAnsi="Times New Roman" w:cs="Times New Roman"/>
          <w:i/>
          <w:iCs/>
          <w:sz w:val="20"/>
          <w:szCs w:val="20"/>
        </w:rPr>
        <w:t>Medical Law Review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33</w:t>
      </w:r>
      <w:r w:rsidRPr="001256EA">
        <w:rPr>
          <w:rFonts w:ascii="Times New Roman" w:hAnsi="Times New Roman" w:cs="Times New Roman"/>
          <w:sz w:val="20"/>
          <w:szCs w:val="20"/>
        </w:rPr>
        <w:t xml:space="preserve">(3), fwaf025. </w:t>
      </w:r>
      <w:hyperlink r:id="rId84" w:history="1">
        <w:r w:rsidRPr="001256EA">
          <w:rPr>
            <w:rStyle w:val="Hyperlink"/>
            <w:rFonts w:ascii="Times New Roman" w:hAnsi="Times New Roman" w:cs="Times New Roman"/>
            <w:sz w:val="20"/>
            <w:szCs w:val="20"/>
          </w:rPr>
          <w:t>https://academic.oup.com/medlaw/article-abstract/33/3/fwaf025/8212034</w:t>
        </w:r>
      </w:hyperlink>
      <w:r w:rsidRPr="001256EA">
        <w:rPr>
          <w:rFonts w:ascii="Times New Roman" w:hAnsi="Times New Roman" w:cs="Times New Roman"/>
          <w:sz w:val="20"/>
          <w:szCs w:val="20"/>
        </w:rPr>
        <w:t xml:space="preserve"> </w:t>
      </w:r>
    </w:p>
    <w:p w14:paraId="64445E58" w14:textId="408B81D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Delbeke</w:t>
      </w:r>
      <w:proofErr w:type="spellEnd"/>
      <w:r w:rsidRPr="001256EA">
        <w:rPr>
          <w:rFonts w:ascii="Times New Roman" w:hAnsi="Times New Roman" w:cs="Times New Roman"/>
          <w:sz w:val="20"/>
          <w:szCs w:val="20"/>
        </w:rPr>
        <w:t xml:space="preserve">, E. (2013). The legal </w:t>
      </w:r>
      <w:proofErr w:type="spellStart"/>
      <w:r w:rsidRPr="001256EA">
        <w:rPr>
          <w:rFonts w:ascii="Times New Roman" w:hAnsi="Times New Roman" w:cs="Times New Roman"/>
          <w:sz w:val="20"/>
          <w:szCs w:val="20"/>
        </w:rPr>
        <w:t>permissiblity</w:t>
      </w:r>
      <w:proofErr w:type="spellEnd"/>
      <w:r w:rsidRPr="001256EA">
        <w:rPr>
          <w:rFonts w:ascii="Times New Roman" w:hAnsi="Times New Roman" w:cs="Times New Roman"/>
          <w:sz w:val="20"/>
          <w:szCs w:val="20"/>
        </w:rPr>
        <w:t xml:space="preserve"> of continuous deep sedation at the end of life: A comparison of laws and a proposal. </w:t>
      </w:r>
      <w:r w:rsidRPr="001256EA">
        <w:rPr>
          <w:rFonts w:ascii="Times New Roman" w:hAnsi="Times New Roman" w:cs="Times New Roman"/>
          <w:i/>
          <w:iCs/>
          <w:sz w:val="20"/>
          <w:szCs w:val="20"/>
        </w:rPr>
        <w:t>Sterckx, Raus and Mortier Eds</w:t>
      </w:r>
      <w:r w:rsidRPr="001256EA">
        <w:rPr>
          <w:rFonts w:ascii="Times New Roman" w:hAnsi="Times New Roman" w:cs="Times New Roman"/>
          <w:sz w:val="20"/>
          <w:szCs w:val="20"/>
        </w:rPr>
        <w:t xml:space="preserve">, 132–148. </w:t>
      </w:r>
      <w:hyperlink r:id="rId85" w:history="1">
        <w:r w:rsidRPr="001256EA">
          <w:rPr>
            <w:rStyle w:val="Hyperlink"/>
            <w:rFonts w:ascii="Times New Roman" w:hAnsi="Times New Roman" w:cs="Times New Roman"/>
            <w:sz w:val="20"/>
            <w:szCs w:val="20"/>
          </w:rPr>
          <w:t>https://books.google.com/books?hl=en&amp;lr=&amp;id=cWwoAAAAQBAJ&amp;oi=fnd&amp;pg=PA132&amp;dq=The+Legal+Permissibility+of+Continuous+Deep+Sedation+at+the+End+of+Life:+A+Comparative+Law+Study.&amp;ots=MPW1048atL&amp;sig=9YWRBfWiZ1e6MRXuQY0kgI7-srU</w:t>
        </w:r>
      </w:hyperlink>
      <w:r w:rsidRPr="001256EA">
        <w:rPr>
          <w:rFonts w:ascii="Times New Roman" w:hAnsi="Times New Roman" w:cs="Times New Roman"/>
          <w:sz w:val="20"/>
          <w:szCs w:val="20"/>
        </w:rPr>
        <w:t xml:space="preserve"> </w:t>
      </w:r>
    </w:p>
    <w:p w14:paraId="2DE433A1" w14:textId="6B944D9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fr-FR"/>
        </w:rPr>
        <w:t>Demedts</w:t>
      </w:r>
      <w:proofErr w:type="spellEnd"/>
      <w:r w:rsidRPr="001256EA">
        <w:rPr>
          <w:rFonts w:ascii="Times New Roman" w:hAnsi="Times New Roman" w:cs="Times New Roman"/>
          <w:sz w:val="20"/>
          <w:szCs w:val="20"/>
          <w:lang w:val="fr-FR"/>
        </w:rPr>
        <w:t xml:space="preserve">, D., </w:t>
      </w:r>
      <w:proofErr w:type="spellStart"/>
      <w:r w:rsidRPr="001256EA">
        <w:rPr>
          <w:rFonts w:ascii="Times New Roman" w:hAnsi="Times New Roman" w:cs="Times New Roman"/>
          <w:sz w:val="20"/>
          <w:szCs w:val="20"/>
          <w:lang w:val="fr-FR"/>
        </w:rPr>
        <w:t>Magerman</w:t>
      </w:r>
      <w:proofErr w:type="spellEnd"/>
      <w:r w:rsidRPr="001256EA">
        <w:rPr>
          <w:rFonts w:ascii="Times New Roman" w:hAnsi="Times New Roman" w:cs="Times New Roman"/>
          <w:sz w:val="20"/>
          <w:szCs w:val="20"/>
          <w:lang w:val="fr-FR"/>
        </w:rPr>
        <w:t xml:space="preserve">, J., Goossens, E., </w:t>
      </w:r>
      <w:proofErr w:type="spellStart"/>
      <w:r w:rsidRPr="001256EA">
        <w:rPr>
          <w:rFonts w:ascii="Times New Roman" w:hAnsi="Times New Roman" w:cs="Times New Roman"/>
          <w:sz w:val="20"/>
          <w:szCs w:val="20"/>
          <w:lang w:val="fr-FR"/>
        </w:rPr>
        <w:t>Tricas</w:t>
      </w:r>
      <w:proofErr w:type="spellEnd"/>
      <w:r w:rsidRPr="001256EA">
        <w:rPr>
          <w:rFonts w:ascii="Times New Roman" w:hAnsi="Times New Roman" w:cs="Times New Roman"/>
          <w:sz w:val="20"/>
          <w:szCs w:val="20"/>
          <w:lang w:val="fr-FR"/>
        </w:rPr>
        <w:t xml:space="preserve">-Sauras, S., Bilsen, J., De Smet, S., &amp; </w:t>
      </w:r>
      <w:proofErr w:type="spellStart"/>
      <w:r w:rsidRPr="001256EA">
        <w:rPr>
          <w:rFonts w:ascii="Times New Roman" w:hAnsi="Times New Roman" w:cs="Times New Roman"/>
          <w:sz w:val="20"/>
          <w:szCs w:val="20"/>
          <w:lang w:val="fr-FR"/>
        </w:rPr>
        <w:t>Fobelets</w:t>
      </w:r>
      <w:proofErr w:type="spellEnd"/>
      <w:r w:rsidRPr="001256EA">
        <w:rPr>
          <w:rFonts w:ascii="Times New Roman" w:hAnsi="Times New Roman" w:cs="Times New Roman"/>
          <w:sz w:val="20"/>
          <w:szCs w:val="20"/>
          <w:lang w:val="fr-FR"/>
        </w:rPr>
        <w:t xml:space="preserve">, M. (2024). </w:t>
      </w:r>
      <w:r w:rsidRPr="001256EA">
        <w:rPr>
          <w:rFonts w:ascii="Times New Roman" w:hAnsi="Times New Roman" w:cs="Times New Roman"/>
          <w:sz w:val="20"/>
          <w:szCs w:val="20"/>
        </w:rPr>
        <w:t xml:space="preserve">Using simulation to teach nursing students how to deal with </w:t>
      </w:r>
      <w:proofErr w:type="gramStart"/>
      <w:r w:rsidRPr="001256EA">
        <w:rPr>
          <w:rFonts w:ascii="Times New Roman" w:hAnsi="Times New Roman" w:cs="Times New Roman"/>
          <w:sz w:val="20"/>
          <w:szCs w:val="20"/>
        </w:rPr>
        <w:t>a euthanasia request</w:t>
      </w:r>
      <w:proofErr w:type="gramEnd"/>
      <w:r w:rsidRPr="001256EA">
        <w:rPr>
          <w:rFonts w:ascii="Times New Roman" w:hAnsi="Times New Roman" w:cs="Times New Roman"/>
          <w:sz w:val="20"/>
          <w:szCs w:val="20"/>
        </w:rPr>
        <w:t xml:space="preserve">. </w:t>
      </w:r>
      <w:proofErr w:type="spellStart"/>
      <w:r w:rsidRPr="001256EA">
        <w:rPr>
          <w:rFonts w:ascii="Times New Roman" w:hAnsi="Times New Roman" w:cs="Times New Roman"/>
          <w:i/>
          <w:iCs/>
          <w:sz w:val="20"/>
          <w:szCs w:val="20"/>
        </w:rPr>
        <w:t>Plos</w:t>
      </w:r>
      <w:proofErr w:type="spellEnd"/>
      <w:r w:rsidRPr="001256EA">
        <w:rPr>
          <w:rFonts w:ascii="Times New Roman" w:hAnsi="Times New Roman" w:cs="Times New Roman"/>
          <w:i/>
          <w:iCs/>
          <w:sz w:val="20"/>
          <w:szCs w:val="20"/>
        </w:rPr>
        <w:t xml:space="preserve"> One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19</w:t>
      </w:r>
      <w:r w:rsidRPr="001256EA">
        <w:rPr>
          <w:rFonts w:ascii="Times New Roman" w:hAnsi="Times New Roman" w:cs="Times New Roman"/>
          <w:sz w:val="20"/>
          <w:szCs w:val="20"/>
        </w:rPr>
        <w:t xml:space="preserve">(3), e0299049. </w:t>
      </w:r>
      <w:hyperlink r:id="rId86" w:history="1">
        <w:r w:rsidRPr="001256EA">
          <w:rPr>
            <w:rStyle w:val="Hyperlink"/>
            <w:rFonts w:ascii="Times New Roman" w:hAnsi="Times New Roman" w:cs="Times New Roman"/>
            <w:sz w:val="20"/>
            <w:szCs w:val="20"/>
          </w:rPr>
          <w:t>https://journals.plos.org/plosone/article?id=10.1371/journal.pone.0299049</w:t>
        </w:r>
      </w:hyperlink>
      <w:r w:rsidRPr="001256EA">
        <w:rPr>
          <w:rFonts w:ascii="Times New Roman" w:hAnsi="Times New Roman" w:cs="Times New Roman"/>
          <w:sz w:val="20"/>
          <w:szCs w:val="20"/>
        </w:rPr>
        <w:t xml:space="preserve"> </w:t>
      </w:r>
    </w:p>
    <w:p w14:paraId="269D8347" w14:textId="5C2E1CF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den Exter, A. (2025). Euthanasia Review Report: What Is Happening in the Netherlands? </w:t>
      </w:r>
      <w:r w:rsidRPr="001256EA">
        <w:rPr>
          <w:rFonts w:ascii="Times New Roman" w:hAnsi="Times New Roman" w:cs="Times New Roman"/>
          <w:i/>
          <w:iCs/>
          <w:sz w:val="20"/>
          <w:szCs w:val="20"/>
        </w:rPr>
        <w:t>Jotwell: J. Things We Like</w:t>
      </w:r>
      <w:r w:rsidRPr="001256EA">
        <w:rPr>
          <w:rFonts w:ascii="Times New Roman" w:hAnsi="Times New Roman" w:cs="Times New Roman"/>
          <w:sz w:val="20"/>
          <w:szCs w:val="20"/>
        </w:rPr>
        <w:t xml:space="preserve">, 1. </w:t>
      </w:r>
      <w:hyperlink r:id="rId87" w:history="1">
        <w:r w:rsidRPr="001256EA">
          <w:rPr>
            <w:rStyle w:val="Hyperlink"/>
            <w:rFonts w:ascii="Times New Roman" w:hAnsi="Times New Roman" w:cs="Times New Roman"/>
            <w:sz w:val="20"/>
            <w:szCs w:val="20"/>
          </w:rPr>
          <w:t>https://heinonline.org/hol-cgi-bin/get_pdf.cgi?handle=hein.journals/jotwell2025&amp;section=32</w:t>
        </w:r>
      </w:hyperlink>
      <w:r w:rsidRPr="001256EA">
        <w:rPr>
          <w:rFonts w:ascii="Times New Roman" w:hAnsi="Times New Roman" w:cs="Times New Roman"/>
          <w:sz w:val="20"/>
          <w:szCs w:val="20"/>
        </w:rPr>
        <w:t xml:space="preserve"> </w:t>
      </w:r>
    </w:p>
    <w:p w14:paraId="03C201D4" w14:textId="36D1B1C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den </w:t>
      </w:r>
      <w:proofErr w:type="spellStart"/>
      <w:r w:rsidRPr="001256EA">
        <w:rPr>
          <w:rFonts w:ascii="Times New Roman" w:hAnsi="Times New Roman" w:cs="Times New Roman"/>
          <w:sz w:val="20"/>
          <w:szCs w:val="20"/>
          <w:lang w:val="de-DE"/>
        </w:rPr>
        <w:t>Hartogh</w:t>
      </w:r>
      <w:proofErr w:type="spellEnd"/>
      <w:r w:rsidRPr="001256EA">
        <w:rPr>
          <w:rFonts w:ascii="Times New Roman" w:hAnsi="Times New Roman" w:cs="Times New Roman"/>
          <w:sz w:val="20"/>
          <w:szCs w:val="20"/>
          <w:lang w:val="de-DE"/>
        </w:rPr>
        <w:t xml:space="preserve">, G. (2020). </w:t>
      </w:r>
      <w:proofErr w:type="spellStart"/>
      <w:r w:rsidRPr="001256EA">
        <w:rPr>
          <w:rFonts w:ascii="Times New Roman" w:hAnsi="Times New Roman" w:cs="Times New Roman"/>
          <w:sz w:val="20"/>
          <w:szCs w:val="20"/>
          <w:lang w:val="de-DE"/>
        </w:rPr>
        <w:t>Decriminalising</w:t>
      </w:r>
      <w:proofErr w:type="spellEnd"/>
      <w:r w:rsidRPr="001256EA">
        <w:rPr>
          <w:rFonts w:ascii="Times New Roman" w:hAnsi="Times New Roman" w:cs="Times New Roman"/>
          <w:sz w:val="20"/>
          <w:szCs w:val="20"/>
          <w:lang w:val="de-DE"/>
        </w:rPr>
        <w:t xml:space="preserve"> </w:t>
      </w:r>
      <w:proofErr w:type="spellStart"/>
      <w:r w:rsidRPr="001256EA">
        <w:rPr>
          <w:rFonts w:ascii="Times New Roman" w:hAnsi="Times New Roman" w:cs="Times New Roman"/>
          <w:sz w:val="20"/>
          <w:szCs w:val="20"/>
          <w:lang w:val="de-DE"/>
        </w:rPr>
        <w:t>assisted</w:t>
      </w:r>
      <w:proofErr w:type="spellEnd"/>
      <w:r w:rsidRPr="001256EA">
        <w:rPr>
          <w:rFonts w:ascii="Times New Roman" w:hAnsi="Times New Roman" w:cs="Times New Roman"/>
          <w:sz w:val="20"/>
          <w:szCs w:val="20"/>
          <w:lang w:val="de-DE"/>
        </w:rPr>
        <w:t xml:space="preserve"> </w:t>
      </w:r>
      <w:proofErr w:type="spellStart"/>
      <w:r w:rsidRPr="001256EA">
        <w:rPr>
          <w:rFonts w:ascii="Times New Roman" w:hAnsi="Times New Roman" w:cs="Times New Roman"/>
          <w:sz w:val="20"/>
          <w:szCs w:val="20"/>
          <w:lang w:val="de-DE"/>
        </w:rPr>
        <w:t>suicide</w:t>
      </w:r>
      <w:proofErr w:type="spellEnd"/>
      <w:r w:rsidRPr="001256EA">
        <w:rPr>
          <w:rFonts w:ascii="Times New Roman" w:hAnsi="Times New Roman" w:cs="Times New Roman"/>
          <w:sz w:val="20"/>
          <w:szCs w:val="20"/>
          <w:lang w:val="de-DE"/>
        </w:rPr>
        <w:t xml:space="preserve"> </w:t>
      </w:r>
      <w:proofErr w:type="spellStart"/>
      <w:r w:rsidRPr="001256EA">
        <w:rPr>
          <w:rFonts w:ascii="Times New Roman" w:hAnsi="Times New Roman" w:cs="Times New Roman"/>
          <w:sz w:val="20"/>
          <w:szCs w:val="20"/>
          <w:lang w:val="de-DE"/>
        </w:rPr>
        <w:t>services</w:t>
      </w:r>
      <w:proofErr w:type="spellEnd"/>
      <w:r w:rsidRPr="001256EA">
        <w:rPr>
          <w:rFonts w:ascii="Times New Roman" w:hAnsi="Times New Roman" w:cs="Times New Roman"/>
          <w:sz w:val="20"/>
          <w:szCs w:val="20"/>
          <w:lang w:val="de-DE"/>
        </w:rPr>
        <w:t xml:space="preserve">: Bundesverfassungsgericht 26 </w:t>
      </w:r>
      <w:proofErr w:type="spellStart"/>
      <w:r w:rsidRPr="001256EA">
        <w:rPr>
          <w:rFonts w:ascii="Times New Roman" w:hAnsi="Times New Roman" w:cs="Times New Roman"/>
          <w:sz w:val="20"/>
          <w:szCs w:val="20"/>
          <w:lang w:val="de-DE"/>
        </w:rPr>
        <w:t>February</w:t>
      </w:r>
      <w:proofErr w:type="spellEnd"/>
      <w:r w:rsidRPr="001256EA">
        <w:rPr>
          <w:rFonts w:ascii="Times New Roman" w:hAnsi="Times New Roman" w:cs="Times New Roman"/>
          <w:sz w:val="20"/>
          <w:szCs w:val="20"/>
          <w:lang w:val="de-DE"/>
        </w:rPr>
        <w:t xml:space="preserve"> 2020, 2BvR 2347/15. </w:t>
      </w:r>
      <w:r w:rsidRPr="001256EA">
        <w:rPr>
          <w:rFonts w:ascii="Times New Roman" w:hAnsi="Times New Roman" w:cs="Times New Roman"/>
          <w:i/>
          <w:iCs/>
          <w:sz w:val="20"/>
          <w:szCs w:val="20"/>
        </w:rPr>
        <w:t>European Constitutional Law Review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16</w:t>
      </w:r>
      <w:r w:rsidRPr="001256EA">
        <w:rPr>
          <w:rFonts w:ascii="Times New Roman" w:hAnsi="Times New Roman" w:cs="Times New Roman"/>
          <w:sz w:val="20"/>
          <w:szCs w:val="20"/>
        </w:rPr>
        <w:t xml:space="preserve">(4), 713–732.  </w:t>
      </w:r>
      <w:hyperlink r:id="rId88" w:history="1">
        <w:r w:rsidRPr="001256EA">
          <w:rPr>
            <w:rStyle w:val="Hyperlink"/>
            <w:rFonts w:ascii="Times New Roman" w:hAnsi="Times New Roman" w:cs="Times New Roman"/>
            <w:sz w:val="20"/>
            <w:szCs w:val="20"/>
          </w:rPr>
          <w:t>https://www.cambridge.org/core/journals/european-constitutional-law-review/article/decriminalising-assisted-suicide-services-bundesverfassungsgericht-26-february-2020-2bvr-234715/AAA6F2B377D82F29340ED0F697BBFA1F</w:t>
        </w:r>
      </w:hyperlink>
      <w:r w:rsidRPr="001256EA">
        <w:rPr>
          <w:rFonts w:ascii="Times New Roman" w:hAnsi="Times New Roman" w:cs="Times New Roman"/>
          <w:sz w:val="20"/>
          <w:szCs w:val="20"/>
        </w:rPr>
        <w:t xml:space="preserve"> </w:t>
      </w:r>
    </w:p>
    <w:p w14:paraId="44CCDCFC" w14:textId="3C72985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Dierickx, S.,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Cohen, J., &amp; </w:t>
      </w: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(2017). Euthanasia for people with psychiatric disorders or dementia in Belgium: Analysis of officially reported cases. </w:t>
      </w:r>
      <w:r w:rsidRPr="001256EA">
        <w:rPr>
          <w:rFonts w:ascii="Times New Roman" w:hAnsi="Times New Roman" w:cs="Times New Roman"/>
          <w:i/>
          <w:iCs/>
          <w:sz w:val="20"/>
          <w:szCs w:val="20"/>
        </w:rPr>
        <w:t>BMC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17</w:t>
      </w:r>
      <w:r w:rsidRPr="001256EA">
        <w:rPr>
          <w:rFonts w:ascii="Times New Roman" w:hAnsi="Times New Roman" w:cs="Times New Roman"/>
          <w:sz w:val="20"/>
          <w:szCs w:val="20"/>
        </w:rPr>
        <w:t xml:space="preserve">, 1–9. </w:t>
      </w:r>
      <w:hyperlink r:id="rId89" w:history="1">
        <w:r w:rsidRPr="001256EA">
          <w:rPr>
            <w:rStyle w:val="Hyperlink"/>
            <w:rFonts w:ascii="Times New Roman" w:hAnsi="Times New Roman" w:cs="Times New Roman"/>
            <w:sz w:val="20"/>
            <w:szCs w:val="20"/>
          </w:rPr>
          <w:t>https://link.springer.com/article/10.1186/s12888-017-1369-0</w:t>
        </w:r>
      </w:hyperlink>
      <w:r w:rsidRPr="001256EA">
        <w:rPr>
          <w:rFonts w:ascii="Times New Roman" w:hAnsi="Times New Roman" w:cs="Times New Roman"/>
          <w:sz w:val="20"/>
          <w:szCs w:val="20"/>
        </w:rPr>
        <w:t xml:space="preserve"> </w:t>
      </w:r>
    </w:p>
    <w:p w14:paraId="02468784" w14:textId="2647032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lastRenderedPageBreak/>
        <w:t xml:space="preserve">Dominic Degnin, F. (1997). Levinas and the Hippocratic Oath: A discussion of physician-assisted suicide. </w:t>
      </w:r>
      <w:r w:rsidRPr="001256EA">
        <w:rPr>
          <w:rFonts w:ascii="Times New Roman" w:hAnsi="Times New Roman" w:cs="Times New Roman"/>
          <w:i/>
          <w:iCs/>
          <w:sz w:val="20"/>
          <w:szCs w:val="20"/>
        </w:rPr>
        <w:t>The Journal of Medicine and Philosophy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22</w:t>
      </w:r>
      <w:r w:rsidRPr="001256EA">
        <w:rPr>
          <w:rFonts w:ascii="Times New Roman" w:hAnsi="Times New Roman" w:cs="Times New Roman"/>
          <w:sz w:val="20"/>
          <w:szCs w:val="20"/>
        </w:rPr>
        <w:t xml:space="preserve">(2), 99–123. </w:t>
      </w:r>
      <w:hyperlink r:id="rId90" w:history="1">
        <w:r w:rsidRPr="001256EA">
          <w:rPr>
            <w:rStyle w:val="Hyperlink"/>
            <w:rFonts w:ascii="Times New Roman" w:hAnsi="Times New Roman" w:cs="Times New Roman"/>
            <w:sz w:val="20"/>
            <w:szCs w:val="20"/>
          </w:rPr>
          <w:t>https://academic.oup.com/jmp/article-abstract/22/2/99/935684</w:t>
        </w:r>
      </w:hyperlink>
      <w:r w:rsidRPr="001256EA">
        <w:rPr>
          <w:rFonts w:ascii="Times New Roman" w:hAnsi="Times New Roman" w:cs="Times New Roman"/>
          <w:sz w:val="20"/>
          <w:szCs w:val="20"/>
        </w:rPr>
        <w:t xml:space="preserve"> </w:t>
      </w:r>
    </w:p>
    <w:p w14:paraId="66C98FDE" w14:textId="45F0302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fr-FR"/>
        </w:rPr>
        <w:t xml:space="preserve">Doublet, Y.-M. (2024). </w:t>
      </w:r>
      <w:r w:rsidRPr="001256EA">
        <w:rPr>
          <w:rFonts w:ascii="Times New Roman" w:hAnsi="Times New Roman" w:cs="Times New Roman"/>
          <w:i/>
          <w:iCs/>
          <w:sz w:val="20"/>
          <w:szCs w:val="20"/>
          <w:lang w:val="fr-FR"/>
        </w:rPr>
        <w:t xml:space="preserve">Suicide assisté, </w:t>
      </w:r>
      <w:proofErr w:type="gramStart"/>
      <w:r w:rsidRPr="001256EA">
        <w:rPr>
          <w:rFonts w:ascii="Times New Roman" w:hAnsi="Times New Roman" w:cs="Times New Roman"/>
          <w:i/>
          <w:iCs/>
          <w:sz w:val="20"/>
          <w:szCs w:val="20"/>
          <w:lang w:val="fr-FR"/>
        </w:rPr>
        <w:t>euthanasie:</w:t>
      </w:r>
      <w:proofErr w:type="gramEnd"/>
      <w:r w:rsidRPr="001256EA">
        <w:rPr>
          <w:rFonts w:ascii="Times New Roman" w:hAnsi="Times New Roman" w:cs="Times New Roman"/>
          <w:i/>
          <w:iCs/>
          <w:sz w:val="20"/>
          <w:szCs w:val="20"/>
          <w:lang w:val="fr-FR"/>
        </w:rPr>
        <w:t xml:space="preserve"> Le choix de la rupture et l’illusion d’un progrès</w:t>
      </w:r>
      <w:r w:rsidRPr="001256EA">
        <w:rPr>
          <w:rFonts w:ascii="Times New Roman" w:hAnsi="Times New Roman" w:cs="Times New Roman"/>
          <w:sz w:val="20"/>
          <w:szCs w:val="20"/>
          <w:lang w:val="fr-FR"/>
        </w:rPr>
        <w:t xml:space="preserve">. </w:t>
      </w:r>
      <w:hyperlink r:id="rId91" w:history="1">
        <w:r w:rsidRPr="001256EA">
          <w:rPr>
            <w:rStyle w:val="Hyperlink"/>
            <w:rFonts w:ascii="Times New Roman" w:hAnsi="Times New Roman" w:cs="Times New Roman"/>
            <w:sz w:val="20"/>
            <w:szCs w:val="20"/>
          </w:rPr>
          <w:t>https://www.fondapol.org/etude/suicide-assiste-euthanasie-le-choix-de-la-rupture-et-lillusion-dun-progres/</w:t>
        </w:r>
      </w:hyperlink>
      <w:r w:rsidRPr="001256EA">
        <w:rPr>
          <w:rFonts w:ascii="Times New Roman" w:hAnsi="Times New Roman" w:cs="Times New Roman"/>
          <w:sz w:val="20"/>
          <w:szCs w:val="20"/>
        </w:rPr>
        <w:t xml:space="preserve"> </w:t>
      </w:r>
    </w:p>
    <w:p w14:paraId="5DA12B57" w14:textId="5C2898E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Dowbiggin</w:t>
      </w:r>
      <w:proofErr w:type="spellEnd"/>
      <w:r w:rsidRPr="001256EA">
        <w:rPr>
          <w:rFonts w:ascii="Times New Roman" w:hAnsi="Times New Roman" w:cs="Times New Roman"/>
          <w:sz w:val="20"/>
          <w:szCs w:val="20"/>
        </w:rPr>
        <w:t xml:space="preserve">, I. (2003). </w:t>
      </w:r>
      <w:r w:rsidRPr="001256EA">
        <w:rPr>
          <w:rFonts w:ascii="Times New Roman" w:hAnsi="Times New Roman" w:cs="Times New Roman"/>
          <w:i/>
          <w:iCs/>
          <w:sz w:val="20"/>
          <w:szCs w:val="20"/>
        </w:rPr>
        <w:t>A merciful end: The euthanasia movement in modern America</w:t>
      </w:r>
      <w:r w:rsidRPr="001256EA">
        <w:rPr>
          <w:rFonts w:ascii="Times New Roman" w:hAnsi="Times New Roman" w:cs="Times New Roman"/>
          <w:sz w:val="20"/>
          <w:szCs w:val="20"/>
        </w:rPr>
        <w:t xml:space="preserve">. Oxford University Press. </w:t>
      </w:r>
      <w:hyperlink r:id="rId92" w:history="1">
        <w:r w:rsidRPr="001256EA">
          <w:rPr>
            <w:rStyle w:val="Hyperlink"/>
            <w:rFonts w:ascii="Times New Roman" w:hAnsi="Times New Roman" w:cs="Times New Roman"/>
            <w:sz w:val="20"/>
            <w:szCs w:val="20"/>
          </w:rPr>
          <w:t>https://books.google.com/books?hl=en&amp;lr=&amp;id=o7YRDAAAQBAJ&amp;oi=fnd&amp;pg=PR7&amp;dq=Dowbiggin,+I.+(2003).+A+merciful+end:+The+euthanasia+movement+in+modern+America.+Oxford+University+Press.&amp;ots=2bFPUAbwRS&amp;sig=rq_VWxRfhyHaAALX5GLiO6vD-q8</w:t>
        </w:r>
      </w:hyperlink>
      <w:r w:rsidRPr="001256EA">
        <w:rPr>
          <w:rFonts w:ascii="Times New Roman" w:hAnsi="Times New Roman" w:cs="Times New Roman"/>
          <w:sz w:val="20"/>
          <w:szCs w:val="20"/>
        </w:rPr>
        <w:t xml:space="preserve"> </w:t>
      </w:r>
    </w:p>
    <w:p w14:paraId="2910E5D0" w14:textId="607701A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Edelstein, L. (1956). The professional ethics of the Greek physician. </w:t>
      </w:r>
      <w:r w:rsidRPr="001256EA">
        <w:rPr>
          <w:rFonts w:ascii="Times New Roman" w:hAnsi="Times New Roman" w:cs="Times New Roman"/>
          <w:i/>
          <w:iCs/>
          <w:sz w:val="20"/>
          <w:szCs w:val="20"/>
        </w:rPr>
        <w:t>Bulletin of the History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30</w:t>
      </w:r>
      <w:r w:rsidRPr="001256EA">
        <w:rPr>
          <w:rFonts w:ascii="Times New Roman" w:hAnsi="Times New Roman" w:cs="Times New Roman"/>
          <w:sz w:val="20"/>
          <w:szCs w:val="20"/>
        </w:rPr>
        <w:t xml:space="preserve">(5), 391–419. </w:t>
      </w:r>
      <w:hyperlink r:id="rId93" w:history="1">
        <w:r w:rsidRPr="001256EA">
          <w:rPr>
            <w:rStyle w:val="Hyperlink"/>
            <w:rFonts w:ascii="Times New Roman" w:hAnsi="Times New Roman" w:cs="Times New Roman"/>
            <w:sz w:val="20"/>
            <w:szCs w:val="20"/>
          </w:rPr>
          <w:t>https://www.jstor.org/stable/44449156</w:t>
        </w:r>
      </w:hyperlink>
      <w:r w:rsidRPr="001256EA">
        <w:rPr>
          <w:rFonts w:ascii="Times New Roman" w:hAnsi="Times New Roman" w:cs="Times New Roman"/>
          <w:sz w:val="20"/>
          <w:szCs w:val="20"/>
        </w:rPr>
        <w:t xml:space="preserve"> </w:t>
      </w:r>
    </w:p>
    <w:p w14:paraId="084D2A7E" w14:textId="6B48B09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Egger, R., &amp; Yu, J. (2022). A topic modeling comparison between </w:t>
      </w:r>
      <w:proofErr w:type="spellStart"/>
      <w:r w:rsidRPr="001256EA">
        <w:rPr>
          <w:rFonts w:ascii="Times New Roman" w:hAnsi="Times New Roman" w:cs="Times New Roman"/>
          <w:sz w:val="20"/>
          <w:szCs w:val="20"/>
        </w:rPr>
        <w:t>lda</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nmf</w:t>
      </w:r>
      <w:proofErr w:type="spellEnd"/>
      <w:r w:rsidRPr="001256EA">
        <w:rPr>
          <w:rFonts w:ascii="Times New Roman" w:hAnsi="Times New Roman" w:cs="Times New Roman"/>
          <w:sz w:val="20"/>
          <w:szCs w:val="20"/>
        </w:rPr>
        <w:t xml:space="preserve">, top2vec, and </w:t>
      </w:r>
      <w:proofErr w:type="spellStart"/>
      <w:r w:rsidRPr="001256EA">
        <w:rPr>
          <w:rFonts w:ascii="Times New Roman" w:hAnsi="Times New Roman" w:cs="Times New Roman"/>
          <w:sz w:val="20"/>
          <w:szCs w:val="20"/>
        </w:rPr>
        <w:t>bertopic</w:t>
      </w:r>
      <w:proofErr w:type="spellEnd"/>
      <w:r w:rsidRPr="001256EA">
        <w:rPr>
          <w:rFonts w:ascii="Times New Roman" w:hAnsi="Times New Roman" w:cs="Times New Roman"/>
          <w:sz w:val="20"/>
          <w:szCs w:val="20"/>
        </w:rPr>
        <w:t xml:space="preserve"> to demystify twitter posts. </w:t>
      </w:r>
      <w:r w:rsidRPr="001256EA">
        <w:rPr>
          <w:rFonts w:ascii="Times New Roman" w:hAnsi="Times New Roman" w:cs="Times New Roman"/>
          <w:i/>
          <w:iCs/>
          <w:sz w:val="20"/>
          <w:szCs w:val="20"/>
        </w:rPr>
        <w:t>Frontiers in Sociology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7</w:t>
      </w:r>
      <w:r w:rsidRPr="001256EA">
        <w:rPr>
          <w:rFonts w:ascii="Times New Roman" w:hAnsi="Times New Roman" w:cs="Times New Roman"/>
          <w:sz w:val="20"/>
          <w:szCs w:val="20"/>
        </w:rPr>
        <w:t xml:space="preserve">, 886498. </w:t>
      </w:r>
      <w:hyperlink r:id="rId94" w:history="1">
        <w:r w:rsidRPr="001256EA">
          <w:rPr>
            <w:rStyle w:val="Hyperlink"/>
            <w:rFonts w:ascii="Times New Roman" w:hAnsi="Times New Roman" w:cs="Times New Roman"/>
            <w:sz w:val="20"/>
            <w:szCs w:val="20"/>
          </w:rPr>
          <w:t>https://doi.org/10.3389/fsoc.2022.886498</w:t>
        </w:r>
      </w:hyperlink>
      <w:r w:rsidRPr="001256EA">
        <w:rPr>
          <w:rFonts w:ascii="Times New Roman" w:hAnsi="Times New Roman" w:cs="Times New Roman"/>
          <w:sz w:val="20"/>
          <w:szCs w:val="20"/>
        </w:rPr>
        <w:t xml:space="preserve"> </w:t>
      </w:r>
    </w:p>
    <w:p w14:paraId="1363D3A8" w14:textId="4B41792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Emanuel, E. J. (1994a). Euthanasia: Historical, ethical, and </w:t>
      </w:r>
      <w:proofErr w:type="gramStart"/>
      <w:r w:rsidRPr="001256EA">
        <w:rPr>
          <w:rFonts w:ascii="Times New Roman" w:hAnsi="Times New Roman" w:cs="Times New Roman"/>
          <w:sz w:val="20"/>
          <w:szCs w:val="20"/>
        </w:rPr>
        <w:t>empiric</w:t>
      </w:r>
      <w:proofErr w:type="gramEnd"/>
      <w:r w:rsidRPr="001256EA">
        <w:rPr>
          <w:rFonts w:ascii="Times New Roman" w:hAnsi="Times New Roman" w:cs="Times New Roman"/>
          <w:sz w:val="20"/>
          <w:szCs w:val="20"/>
        </w:rPr>
        <w:t xml:space="preserve"> perspectives. </w:t>
      </w:r>
      <w:r w:rsidRPr="001256EA">
        <w:rPr>
          <w:rFonts w:ascii="Times New Roman" w:hAnsi="Times New Roman" w:cs="Times New Roman"/>
          <w:i/>
          <w:iCs/>
          <w:sz w:val="20"/>
          <w:szCs w:val="20"/>
        </w:rPr>
        <w:t>Archives of Internal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154</w:t>
      </w:r>
      <w:r w:rsidRPr="001256EA">
        <w:rPr>
          <w:rFonts w:ascii="Times New Roman" w:hAnsi="Times New Roman" w:cs="Times New Roman"/>
          <w:sz w:val="20"/>
          <w:szCs w:val="20"/>
        </w:rPr>
        <w:t xml:space="preserve">(17), 1890–1901. </w:t>
      </w:r>
      <w:hyperlink r:id="rId95" w:history="1">
        <w:r w:rsidRPr="001256EA">
          <w:rPr>
            <w:rStyle w:val="Hyperlink"/>
            <w:rFonts w:ascii="Times New Roman" w:hAnsi="Times New Roman" w:cs="Times New Roman"/>
            <w:sz w:val="20"/>
            <w:szCs w:val="20"/>
          </w:rPr>
          <w:t>https://jamanetwork.com/journals/jamainternalmedicine/article-abstract/619263</w:t>
        </w:r>
      </w:hyperlink>
      <w:r w:rsidRPr="001256EA">
        <w:rPr>
          <w:rFonts w:ascii="Times New Roman" w:hAnsi="Times New Roman" w:cs="Times New Roman"/>
          <w:sz w:val="20"/>
          <w:szCs w:val="20"/>
        </w:rPr>
        <w:t xml:space="preserve"> </w:t>
      </w:r>
    </w:p>
    <w:p w14:paraId="77BB8A20" w14:textId="14854DE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Emanuel, E. J. (1994b). The History of Euthanasia Debates in the United States and Britain. </w:t>
      </w:r>
      <w:r w:rsidRPr="001256EA">
        <w:rPr>
          <w:rFonts w:ascii="Times New Roman" w:hAnsi="Times New Roman" w:cs="Times New Roman"/>
          <w:i/>
          <w:iCs/>
          <w:sz w:val="20"/>
          <w:szCs w:val="20"/>
        </w:rPr>
        <w:t>Annals of Internal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121</w:t>
      </w:r>
      <w:r w:rsidRPr="001256EA">
        <w:rPr>
          <w:rFonts w:ascii="Times New Roman" w:hAnsi="Times New Roman" w:cs="Times New Roman"/>
          <w:sz w:val="20"/>
          <w:szCs w:val="20"/>
        </w:rPr>
        <w:t xml:space="preserve">(10), 793–802. </w:t>
      </w:r>
      <w:hyperlink r:id="rId96" w:history="1">
        <w:r w:rsidRPr="001256EA">
          <w:rPr>
            <w:rStyle w:val="Hyperlink"/>
            <w:rFonts w:ascii="Times New Roman" w:hAnsi="Times New Roman" w:cs="Times New Roman"/>
            <w:sz w:val="20"/>
            <w:szCs w:val="20"/>
          </w:rPr>
          <w:t>https://doi.org/10.7326/0003-4819-121-10-199411150-00010</w:t>
        </w:r>
      </w:hyperlink>
      <w:r w:rsidRPr="001256EA">
        <w:rPr>
          <w:rFonts w:ascii="Times New Roman" w:hAnsi="Times New Roman" w:cs="Times New Roman"/>
          <w:sz w:val="20"/>
          <w:szCs w:val="20"/>
        </w:rPr>
        <w:t xml:space="preserve"> </w:t>
      </w:r>
    </w:p>
    <w:p w14:paraId="70AEF35F" w14:textId="258C740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Emanuel, L. L. (1998). Facing requests for physician-assisted suicide: Toward a practical and principled clinical skill set. </w:t>
      </w:r>
      <w:r w:rsidRPr="001256EA">
        <w:rPr>
          <w:rFonts w:ascii="Times New Roman" w:hAnsi="Times New Roman" w:cs="Times New Roman"/>
          <w:i/>
          <w:iCs/>
          <w:sz w:val="20"/>
          <w:szCs w:val="20"/>
        </w:rPr>
        <w:t>Jama</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280</w:t>
      </w:r>
      <w:r w:rsidRPr="001256EA">
        <w:rPr>
          <w:rFonts w:ascii="Times New Roman" w:hAnsi="Times New Roman" w:cs="Times New Roman"/>
          <w:sz w:val="20"/>
          <w:szCs w:val="20"/>
        </w:rPr>
        <w:t xml:space="preserve">(7), 643–647. </w:t>
      </w:r>
      <w:hyperlink r:id="rId97" w:history="1">
        <w:r w:rsidRPr="001256EA">
          <w:rPr>
            <w:rStyle w:val="Hyperlink"/>
            <w:rFonts w:ascii="Times New Roman" w:hAnsi="Times New Roman" w:cs="Times New Roman"/>
            <w:sz w:val="20"/>
            <w:szCs w:val="20"/>
          </w:rPr>
          <w:t>https://jamanetwork.com/journals/jama/article-abstract/187873</w:t>
        </w:r>
      </w:hyperlink>
      <w:r w:rsidRPr="001256EA">
        <w:rPr>
          <w:rFonts w:ascii="Times New Roman" w:hAnsi="Times New Roman" w:cs="Times New Roman"/>
          <w:sz w:val="20"/>
          <w:szCs w:val="20"/>
        </w:rPr>
        <w:t xml:space="preserve"> </w:t>
      </w:r>
    </w:p>
    <w:p w14:paraId="1AFCC938" w14:textId="267B0C7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902F03">
        <w:rPr>
          <w:rFonts w:ascii="Times New Roman" w:hAnsi="Times New Roman" w:cs="Times New Roman"/>
          <w:sz w:val="20"/>
          <w:szCs w:val="20"/>
          <w:lang w:val="sv-SE"/>
        </w:rPr>
        <w:t>Falagas</w:t>
      </w:r>
      <w:proofErr w:type="spellEnd"/>
      <w:r w:rsidRPr="00902F03">
        <w:rPr>
          <w:rFonts w:ascii="Times New Roman" w:hAnsi="Times New Roman" w:cs="Times New Roman"/>
          <w:sz w:val="20"/>
          <w:szCs w:val="20"/>
          <w:lang w:val="sv-SE"/>
        </w:rPr>
        <w:t xml:space="preserve">, M. E., </w:t>
      </w:r>
      <w:proofErr w:type="spellStart"/>
      <w:r w:rsidRPr="00902F03">
        <w:rPr>
          <w:rFonts w:ascii="Times New Roman" w:hAnsi="Times New Roman" w:cs="Times New Roman"/>
          <w:sz w:val="20"/>
          <w:szCs w:val="20"/>
          <w:lang w:val="sv-SE"/>
        </w:rPr>
        <w:t>Pitsouni</w:t>
      </w:r>
      <w:proofErr w:type="spellEnd"/>
      <w:r w:rsidRPr="00902F03">
        <w:rPr>
          <w:rFonts w:ascii="Times New Roman" w:hAnsi="Times New Roman" w:cs="Times New Roman"/>
          <w:sz w:val="20"/>
          <w:szCs w:val="20"/>
          <w:lang w:val="sv-SE"/>
        </w:rPr>
        <w:t xml:space="preserve">, E. I., </w:t>
      </w:r>
      <w:proofErr w:type="spellStart"/>
      <w:r w:rsidRPr="00902F03">
        <w:rPr>
          <w:rFonts w:ascii="Times New Roman" w:hAnsi="Times New Roman" w:cs="Times New Roman"/>
          <w:sz w:val="20"/>
          <w:szCs w:val="20"/>
          <w:lang w:val="sv-SE"/>
        </w:rPr>
        <w:t>Malietzis</w:t>
      </w:r>
      <w:proofErr w:type="spellEnd"/>
      <w:r w:rsidRPr="00902F03">
        <w:rPr>
          <w:rFonts w:ascii="Times New Roman" w:hAnsi="Times New Roman" w:cs="Times New Roman"/>
          <w:sz w:val="20"/>
          <w:szCs w:val="20"/>
          <w:lang w:val="sv-SE"/>
        </w:rPr>
        <w:t xml:space="preserve">, G. A., &amp; Pappas, G. (2008). </w:t>
      </w:r>
      <w:r w:rsidRPr="001256EA">
        <w:rPr>
          <w:rFonts w:ascii="Times New Roman" w:hAnsi="Times New Roman" w:cs="Times New Roman"/>
          <w:sz w:val="20"/>
          <w:szCs w:val="20"/>
        </w:rPr>
        <w:t xml:space="preserve">Comparison of PubMed, Scopus, Web of Science, and Google Scholar: Strengths and weaknesses. </w:t>
      </w:r>
      <w:r w:rsidRPr="001256EA">
        <w:rPr>
          <w:rFonts w:ascii="Times New Roman" w:hAnsi="Times New Roman" w:cs="Times New Roman"/>
          <w:i/>
          <w:iCs/>
          <w:sz w:val="20"/>
          <w:szCs w:val="20"/>
        </w:rPr>
        <w:t>The FASEB Journal</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22</w:t>
      </w:r>
      <w:r w:rsidRPr="001256EA">
        <w:rPr>
          <w:rFonts w:ascii="Times New Roman" w:hAnsi="Times New Roman" w:cs="Times New Roman"/>
          <w:sz w:val="20"/>
          <w:szCs w:val="20"/>
        </w:rPr>
        <w:t xml:space="preserve">(2), 338–342.  </w:t>
      </w:r>
      <w:hyperlink r:id="rId98" w:history="1">
        <w:r w:rsidRPr="001256EA">
          <w:rPr>
            <w:rStyle w:val="Hyperlink"/>
            <w:rFonts w:ascii="Times New Roman" w:hAnsi="Times New Roman" w:cs="Times New Roman"/>
            <w:sz w:val="20"/>
            <w:szCs w:val="20"/>
          </w:rPr>
          <w:t>https://doi.org/10.1096/fj.07-9492LSF</w:t>
        </w:r>
      </w:hyperlink>
      <w:r w:rsidRPr="001256EA">
        <w:rPr>
          <w:rFonts w:ascii="Times New Roman" w:hAnsi="Times New Roman" w:cs="Times New Roman"/>
          <w:sz w:val="20"/>
          <w:szCs w:val="20"/>
        </w:rPr>
        <w:t xml:space="preserve"> </w:t>
      </w:r>
    </w:p>
    <w:p w14:paraId="1F0A9BC7" w14:textId="12FBD30C" w:rsidR="00A44D30" w:rsidRPr="001256EA" w:rsidRDefault="00A44D30"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Fife, S. T., &amp; Gossner, J. D. (2024). Deductive qualitative analysis: Evaluating, expanding, and refining theory. International Journal of Qualitative Methods, 23, https://doi.org/10.1177/16094069241244856.</w:t>
      </w:r>
    </w:p>
    <w:p w14:paraId="55289C8C" w14:textId="6B77190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Finnis, J. (1995). A philosophical case against euthanasia. </w:t>
      </w:r>
      <w:r w:rsidRPr="001256EA">
        <w:rPr>
          <w:rFonts w:ascii="Times New Roman" w:hAnsi="Times New Roman" w:cs="Times New Roman"/>
          <w:i/>
          <w:iCs/>
          <w:sz w:val="20"/>
          <w:szCs w:val="20"/>
        </w:rPr>
        <w:t>Euthanasia Examined: Ethical, Clinical and Legal Perspectives</w:t>
      </w:r>
      <w:r w:rsidRPr="001256EA">
        <w:rPr>
          <w:rFonts w:ascii="Times New Roman" w:hAnsi="Times New Roman" w:cs="Times New Roman"/>
          <w:sz w:val="20"/>
          <w:szCs w:val="20"/>
        </w:rPr>
        <w:t xml:space="preserve">, 23–35. </w:t>
      </w:r>
      <w:hyperlink r:id="rId99" w:history="1">
        <w:r w:rsidRPr="001256EA">
          <w:rPr>
            <w:rStyle w:val="Hyperlink"/>
            <w:rFonts w:ascii="Times New Roman" w:hAnsi="Times New Roman" w:cs="Times New Roman"/>
            <w:sz w:val="20"/>
            <w:szCs w:val="20"/>
          </w:rPr>
          <w:t>https://books.google.com/books?hl=en&amp;lr=&amp;id=1KcVOUhGDkoC&amp;oi=fnd&amp;pg=PA23&amp;dq=The+philosophical+basis+for+euthanasia+is+in+the+discussions+about+what+human+life+is+and+the+ethics+regarding+the+end+of+life.+&amp;ots=XuFXXX6kss&amp;sig=01RsMgmM2c-hBYonaGraNhcsrFA</w:t>
        </w:r>
      </w:hyperlink>
      <w:r w:rsidRPr="001256EA">
        <w:rPr>
          <w:rFonts w:ascii="Times New Roman" w:hAnsi="Times New Roman" w:cs="Times New Roman"/>
          <w:sz w:val="20"/>
          <w:szCs w:val="20"/>
        </w:rPr>
        <w:t xml:space="preserve"> </w:t>
      </w:r>
    </w:p>
    <w:p w14:paraId="120A977B" w14:textId="799969E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Fisher, A. (1997). Theological aspects of euthanasia. </w:t>
      </w:r>
      <w:r w:rsidRPr="001256EA">
        <w:rPr>
          <w:rFonts w:ascii="Times New Roman" w:hAnsi="Times New Roman" w:cs="Times New Roman"/>
          <w:i/>
          <w:iCs/>
          <w:sz w:val="20"/>
          <w:szCs w:val="20"/>
        </w:rPr>
        <w:t>Euthanasia Examined: Ethical, Clinical and Legal Perspectives</w:t>
      </w:r>
      <w:r w:rsidRPr="001256EA">
        <w:rPr>
          <w:rFonts w:ascii="Times New Roman" w:hAnsi="Times New Roman" w:cs="Times New Roman"/>
          <w:sz w:val="20"/>
          <w:szCs w:val="20"/>
        </w:rPr>
        <w:t xml:space="preserve">, 315–332. </w:t>
      </w:r>
      <w:hyperlink r:id="rId100" w:history="1">
        <w:r w:rsidRPr="001256EA">
          <w:rPr>
            <w:rStyle w:val="Hyperlink"/>
            <w:rFonts w:ascii="Times New Roman" w:hAnsi="Times New Roman" w:cs="Times New Roman"/>
            <w:sz w:val="20"/>
            <w:szCs w:val="20"/>
          </w:rPr>
          <w:t>https://books.google.com/books?hl=en&amp;lr=&amp;id=1KcVOUhGDkoC&amp;oi=fnd&amp;pg=PA315&amp;dq=The+concept+of+euthanasia,+as+a+%22merciful+release%22&amp;ots=XuFUXX8npy&amp;sig=FQeP9OiM_nCABHAZVr89B0I9kkI</w:t>
        </w:r>
      </w:hyperlink>
      <w:r w:rsidRPr="001256EA">
        <w:rPr>
          <w:rFonts w:ascii="Times New Roman" w:hAnsi="Times New Roman" w:cs="Times New Roman"/>
          <w:sz w:val="20"/>
          <w:szCs w:val="20"/>
        </w:rPr>
        <w:t xml:space="preserve"> </w:t>
      </w:r>
    </w:p>
    <w:p w14:paraId="3B61FD62" w14:textId="219F60B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902F03">
        <w:rPr>
          <w:rFonts w:ascii="Times New Roman" w:hAnsi="Times New Roman" w:cs="Times New Roman"/>
          <w:sz w:val="20"/>
          <w:szCs w:val="20"/>
          <w:lang w:val="sv-SE"/>
        </w:rPr>
        <w:t>Fontalis</w:t>
      </w:r>
      <w:proofErr w:type="spellEnd"/>
      <w:r w:rsidRPr="00902F03">
        <w:rPr>
          <w:rFonts w:ascii="Times New Roman" w:hAnsi="Times New Roman" w:cs="Times New Roman"/>
          <w:sz w:val="20"/>
          <w:szCs w:val="20"/>
          <w:lang w:val="sv-SE"/>
        </w:rPr>
        <w:t xml:space="preserve">, A., </w:t>
      </w:r>
      <w:proofErr w:type="spellStart"/>
      <w:r w:rsidRPr="00902F03">
        <w:rPr>
          <w:rFonts w:ascii="Times New Roman" w:hAnsi="Times New Roman" w:cs="Times New Roman"/>
          <w:sz w:val="20"/>
          <w:szCs w:val="20"/>
          <w:lang w:val="sv-SE"/>
        </w:rPr>
        <w:t>Prousali</w:t>
      </w:r>
      <w:proofErr w:type="spellEnd"/>
      <w:r w:rsidRPr="00902F03">
        <w:rPr>
          <w:rFonts w:ascii="Times New Roman" w:hAnsi="Times New Roman" w:cs="Times New Roman"/>
          <w:sz w:val="20"/>
          <w:szCs w:val="20"/>
          <w:lang w:val="sv-SE"/>
        </w:rPr>
        <w:t xml:space="preserve">, E., &amp; </w:t>
      </w:r>
      <w:proofErr w:type="spellStart"/>
      <w:r w:rsidRPr="00902F03">
        <w:rPr>
          <w:rFonts w:ascii="Times New Roman" w:hAnsi="Times New Roman" w:cs="Times New Roman"/>
          <w:sz w:val="20"/>
          <w:szCs w:val="20"/>
          <w:lang w:val="sv-SE"/>
        </w:rPr>
        <w:t>Kulkarni</w:t>
      </w:r>
      <w:proofErr w:type="spellEnd"/>
      <w:r w:rsidRPr="00902F03">
        <w:rPr>
          <w:rFonts w:ascii="Times New Roman" w:hAnsi="Times New Roman" w:cs="Times New Roman"/>
          <w:sz w:val="20"/>
          <w:szCs w:val="20"/>
          <w:lang w:val="sv-SE"/>
        </w:rPr>
        <w:t xml:space="preserve">, K. (2018). </w:t>
      </w:r>
      <w:r w:rsidRPr="001256EA">
        <w:rPr>
          <w:rFonts w:ascii="Times New Roman" w:hAnsi="Times New Roman" w:cs="Times New Roman"/>
          <w:sz w:val="20"/>
          <w:szCs w:val="20"/>
        </w:rPr>
        <w:t xml:space="preserve">Euthanasia and assisted dying: What is the current position and what are the key arguments informing the debate? </w:t>
      </w:r>
      <w:r w:rsidRPr="001256EA">
        <w:rPr>
          <w:rFonts w:ascii="Times New Roman" w:hAnsi="Times New Roman" w:cs="Times New Roman"/>
          <w:i/>
          <w:iCs/>
          <w:sz w:val="20"/>
          <w:szCs w:val="20"/>
        </w:rPr>
        <w:t>Journal of the Royal Society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111</w:t>
      </w:r>
      <w:r w:rsidRPr="001256EA">
        <w:rPr>
          <w:rFonts w:ascii="Times New Roman" w:hAnsi="Times New Roman" w:cs="Times New Roman"/>
          <w:sz w:val="20"/>
          <w:szCs w:val="20"/>
        </w:rPr>
        <w:t xml:space="preserve">(11), 407–413. </w:t>
      </w:r>
      <w:hyperlink r:id="rId101" w:history="1">
        <w:r w:rsidRPr="001256EA">
          <w:rPr>
            <w:rStyle w:val="Hyperlink"/>
            <w:rFonts w:ascii="Times New Roman" w:hAnsi="Times New Roman" w:cs="Times New Roman"/>
            <w:sz w:val="20"/>
            <w:szCs w:val="20"/>
          </w:rPr>
          <w:t>https://doi.org/10.1177/0141076818803452</w:t>
        </w:r>
      </w:hyperlink>
      <w:r w:rsidRPr="001256EA">
        <w:rPr>
          <w:rFonts w:ascii="Times New Roman" w:hAnsi="Times New Roman" w:cs="Times New Roman"/>
          <w:sz w:val="20"/>
          <w:szCs w:val="20"/>
        </w:rPr>
        <w:t xml:space="preserve"> </w:t>
      </w:r>
    </w:p>
    <w:p w14:paraId="2DB20247" w14:textId="01B9D0F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Genicot</w:t>
      </w:r>
      <w:proofErr w:type="spellEnd"/>
      <w:r w:rsidRPr="001256EA">
        <w:rPr>
          <w:rFonts w:ascii="Times New Roman" w:hAnsi="Times New Roman" w:cs="Times New Roman"/>
          <w:sz w:val="20"/>
          <w:szCs w:val="20"/>
        </w:rPr>
        <w:t xml:space="preserve">, G. (2025). The conditional </w:t>
      </w:r>
      <w:proofErr w:type="spellStart"/>
      <w:r w:rsidRPr="001256EA">
        <w:rPr>
          <w:rFonts w:ascii="Times New Roman" w:hAnsi="Times New Roman" w:cs="Times New Roman"/>
          <w:sz w:val="20"/>
          <w:szCs w:val="20"/>
        </w:rPr>
        <w:t>decriminalisation</w:t>
      </w:r>
      <w:proofErr w:type="spellEnd"/>
      <w:r w:rsidRPr="001256EA">
        <w:rPr>
          <w:rFonts w:ascii="Times New Roman" w:hAnsi="Times New Roman" w:cs="Times New Roman"/>
          <w:sz w:val="20"/>
          <w:szCs w:val="20"/>
        </w:rPr>
        <w:t xml:space="preserve"> of euthanasia, a remarkable feature of Belgian law. </w:t>
      </w:r>
      <w:r w:rsidRPr="001256EA">
        <w:rPr>
          <w:rFonts w:ascii="Times New Roman" w:hAnsi="Times New Roman" w:cs="Times New Roman"/>
          <w:i/>
          <w:iCs/>
          <w:sz w:val="20"/>
          <w:szCs w:val="20"/>
        </w:rPr>
        <w:t>Ethics, Medicine and Public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33</w:t>
      </w:r>
      <w:r w:rsidRPr="001256EA">
        <w:rPr>
          <w:rFonts w:ascii="Times New Roman" w:hAnsi="Times New Roman" w:cs="Times New Roman"/>
          <w:sz w:val="20"/>
          <w:szCs w:val="20"/>
        </w:rPr>
        <w:t xml:space="preserve">, 101054. </w:t>
      </w:r>
      <w:hyperlink r:id="rId102" w:history="1">
        <w:r w:rsidRPr="001256EA">
          <w:rPr>
            <w:rStyle w:val="Hyperlink"/>
            <w:rFonts w:ascii="Times New Roman" w:hAnsi="Times New Roman" w:cs="Times New Roman"/>
            <w:sz w:val="20"/>
            <w:szCs w:val="20"/>
          </w:rPr>
          <w:t>https://www.sciencedirect.com/science/article/pii/S2352552525000131</w:t>
        </w:r>
      </w:hyperlink>
      <w:r w:rsidRPr="001256EA">
        <w:rPr>
          <w:rFonts w:ascii="Times New Roman" w:hAnsi="Times New Roman" w:cs="Times New Roman"/>
          <w:sz w:val="20"/>
          <w:szCs w:val="20"/>
        </w:rPr>
        <w:t xml:space="preserve"> </w:t>
      </w:r>
    </w:p>
    <w:p w14:paraId="57CE2CB3" w14:textId="266D7D8C" w:rsidR="00121210" w:rsidRPr="001256EA" w:rsidRDefault="00121210"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lt-LT"/>
        </w:rPr>
        <w:t>Gierczyk</w:t>
      </w:r>
      <w:proofErr w:type="spellEnd"/>
      <w:r w:rsidRPr="001256EA">
        <w:rPr>
          <w:rFonts w:ascii="Times New Roman" w:hAnsi="Times New Roman" w:cs="Times New Roman"/>
          <w:sz w:val="20"/>
          <w:szCs w:val="20"/>
          <w:lang w:val="lt-LT"/>
        </w:rPr>
        <w:t xml:space="preserve">, M., </w:t>
      </w:r>
      <w:proofErr w:type="spellStart"/>
      <w:r w:rsidRPr="001256EA">
        <w:rPr>
          <w:rFonts w:ascii="Times New Roman" w:hAnsi="Times New Roman" w:cs="Times New Roman"/>
          <w:sz w:val="20"/>
          <w:szCs w:val="20"/>
          <w:lang w:val="lt-LT"/>
        </w:rPr>
        <w:t>Gromkowska-Melosik</w:t>
      </w:r>
      <w:proofErr w:type="spellEnd"/>
      <w:r w:rsidRPr="001256EA">
        <w:rPr>
          <w:rFonts w:ascii="Times New Roman" w:hAnsi="Times New Roman" w:cs="Times New Roman"/>
          <w:sz w:val="20"/>
          <w:szCs w:val="20"/>
          <w:lang w:val="lt-LT"/>
        </w:rPr>
        <w:t xml:space="preserve">, A., </w:t>
      </w:r>
      <w:proofErr w:type="spellStart"/>
      <w:r w:rsidRPr="001256EA">
        <w:rPr>
          <w:rFonts w:ascii="Times New Roman" w:hAnsi="Times New Roman" w:cs="Times New Roman"/>
          <w:sz w:val="20"/>
          <w:szCs w:val="20"/>
          <w:lang w:val="lt-LT"/>
        </w:rPr>
        <w:t>Scott</w:t>
      </w:r>
      <w:proofErr w:type="spellEnd"/>
      <w:r w:rsidRPr="001256EA">
        <w:rPr>
          <w:rFonts w:ascii="Times New Roman" w:hAnsi="Times New Roman" w:cs="Times New Roman"/>
          <w:sz w:val="20"/>
          <w:szCs w:val="20"/>
          <w:lang w:val="lt-LT"/>
        </w:rPr>
        <w:t xml:space="preserve">, S., &amp; </w:t>
      </w:r>
      <w:proofErr w:type="spellStart"/>
      <w:r w:rsidRPr="001256EA">
        <w:rPr>
          <w:rFonts w:ascii="Times New Roman" w:hAnsi="Times New Roman" w:cs="Times New Roman"/>
          <w:sz w:val="20"/>
          <w:szCs w:val="20"/>
          <w:lang w:val="lt-LT"/>
        </w:rPr>
        <w:t>Parker</w:t>
      </w:r>
      <w:proofErr w:type="spellEnd"/>
      <w:r w:rsidRPr="001256EA">
        <w:rPr>
          <w:rFonts w:ascii="Times New Roman" w:hAnsi="Times New Roman" w:cs="Times New Roman"/>
          <w:sz w:val="20"/>
          <w:szCs w:val="20"/>
          <w:lang w:val="lt-LT"/>
        </w:rPr>
        <w:t xml:space="preserve">, C. (2024). </w:t>
      </w:r>
      <w:proofErr w:type="spellStart"/>
      <w:r w:rsidRPr="001256EA">
        <w:rPr>
          <w:rFonts w:ascii="Times New Roman" w:hAnsi="Times New Roman" w:cs="Times New Roman"/>
          <w:sz w:val="20"/>
          <w:szCs w:val="20"/>
          <w:lang w:val="lt-LT"/>
        </w:rPr>
        <w:t>The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snowball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sampling</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strategy</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in</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the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field</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of</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social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sciences</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Contexts</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and</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considerations</w:t>
      </w:r>
      <w:proofErr w:type="spellEnd"/>
      <w:r w:rsidRPr="001256EA">
        <w:rPr>
          <w:rFonts w:ascii="Times New Roman" w:hAnsi="Times New Roman" w:cs="Times New Roman"/>
          <w:sz w:val="20"/>
          <w:szCs w:val="20"/>
          <w:lang w:val="lt-LT"/>
        </w:rPr>
        <w:t>. </w:t>
      </w:r>
      <w:proofErr w:type="spellStart"/>
      <w:r w:rsidRPr="001256EA">
        <w:rPr>
          <w:rFonts w:ascii="Times New Roman" w:hAnsi="Times New Roman" w:cs="Times New Roman"/>
          <w:i/>
          <w:iCs/>
          <w:sz w:val="20"/>
          <w:szCs w:val="20"/>
          <w:lang w:val="lt-LT"/>
        </w:rPr>
        <w:t>Przegląd</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Badań</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Edukacyjnych</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Educational</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Studies</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Review</w:t>
      </w:r>
      <w:proofErr w:type="spellEnd"/>
      <w:r w:rsidRPr="001256EA">
        <w:rPr>
          <w:rFonts w:ascii="Times New Roman" w:hAnsi="Times New Roman" w:cs="Times New Roman"/>
          <w:i/>
          <w:iCs/>
          <w:sz w:val="20"/>
          <w:szCs w:val="20"/>
          <w:lang w:val="lt-LT"/>
        </w:rPr>
        <w:t>)</w:t>
      </w:r>
      <w:r w:rsidRPr="001256EA">
        <w:rPr>
          <w:rFonts w:ascii="Times New Roman" w:hAnsi="Times New Roman" w:cs="Times New Roman"/>
          <w:sz w:val="20"/>
          <w:szCs w:val="20"/>
          <w:lang w:val="lt-LT"/>
        </w:rPr>
        <w:t>, </w:t>
      </w:r>
      <w:r w:rsidRPr="001256EA">
        <w:rPr>
          <w:rFonts w:ascii="Times New Roman" w:hAnsi="Times New Roman" w:cs="Times New Roman"/>
          <w:i/>
          <w:iCs/>
          <w:sz w:val="20"/>
          <w:szCs w:val="20"/>
          <w:lang w:val="lt-LT"/>
        </w:rPr>
        <w:t>43</w:t>
      </w:r>
      <w:r w:rsidRPr="001256EA">
        <w:rPr>
          <w:rFonts w:ascii="Times New Roman" w:hAnsi="Times New Roman" w:cs="Times New Roman"/>
          <w:sz w:val="20"/>
          <w:szCs w:val="20"/>
          <w:lang w:val="lt-LT"/>
        </w:rPr>
        <w:t xml:space="preserve">(2), 87-104. </w:t>
      </w:r>
      <w:r w:rsidRPr="001256EA">
        <w:rPr>
          <w:rFonts w:ascii="Times New Roman" w:hAnsi="Times New Roman" w:cs="Times New Roman"/>
          <w:sz w:val="20"/>
          <w:szCs w:val="20"/>
        </w:rPr>
        <w:t> doi:</w:t>
      </w:r>
      <w:hyperlink r:id="rId103" w:tgtFrame="_blank" w:history="1">
        <w:r w:rsidRPr="001256EA">
          <w:rPr>
            <w:rStyle w:val="Hyperlink"/>
            <w:rFonts w:ascii="Times New Roman" w:hAnsi="Times New Roman" w:cs="Times New Roman"/>
            <w:sz w:val="20"/>
            <w:szCs w:val="20"/>
          </w:rPr>
          <w:t>10.12775/PBE.2023.029</w:t>
        </w:r>
      </w:hyperlink>
    </w:p>
    <w:p w14:paraId="57B9D106" w14:textId="4262843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sv-SE"/>
        </w:rPr>
        <w:t>Gomez-</w:t>
      </w:r>
      <w:proofErr w:type="spellStart"/>
      <w:r w:rsidRPr="001256EA">
        <w:rPr>
          <w:rFonts w:ascii="Times New Roman" w:hAnsi="Times New Roman" w:cs="Times New Roman"/>
          <w:sz w:val="20"/>
          <w:szCs w:val="20"/>
          <w:lang w:val="sv-SE"/>
        </w:rPr>
        <w:t>Virseda</w:t>
      </w:r>
      <w:proofErr w:type="spellEnd"/>
      <w:r w:rsidRPr="001256EA">
        <w:rPr>
          <w:rFonts w:ascii="Times New Roman" w:hAnsi="Times New Roman" w:cs="Times New Roman"/>
          <w:sz w:val="20"/>
          <w:szCs w:val="20"/>
          <w:lang w:val="sv-SE"/>
        </w:rPr>
        <w:t xml:space="preserve">, C., &amp; Gastmans, C. (2025). </w:t>
      </w:r>
      <w:r w:rsidRPr="001256EA">
        <w:rPr>
          <w:rFonts w:ascii="Times New Roman" w:hAnsi="Times New Roman" w:cs="Times New Roman"/>
          <w:sz w:val="20"/>
          <w:szCs w:val="20"/>
        </w:rPr>
        <w:t xml:space="preserve">Conscientious objection in euthanasia and assisted suicide: A systematic review. </w:t>
      </w:r>
      <w:proofErr w:type="spellStart"/>
      <w:r w:rsidRPr="001256EA">
        <w:rPr>
          <w:rFonts w:ascii="Times New Roman" w:hAnsi="Times New Roman" w:cs="Times New Roman"/>
          <w:i/>
          <w:iCs/>
          <w:sz w:val="20"/>
          <w:szCs w:val="20"/>
        </w:rPr>
        <w:t>PLoS</w:t>
      </w:r>
      <w:proofErr w:type="spellEnd"/>
      <w:r w:rsidRPr="001256EA">
        <w:rPr>
          <w:rFonts w:ascii="Times New Roman" w:hAnsi="Times New Roman" w:cs="Times New Roman"/>
          <w:i/>
          <w:iCs/>
          <w:sz w:val="20"/>
          <w:szCs w:val="20"/>
        </w:rPr>
        <w:t xml:space="preserve"> One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20</w:t>
      </w:r>
      <w:r w:rsidRPr="001256EA">
        <w:rPr>
          <w:rFonts w:ascii="Times New Roman" w:hAnsi="Times New Roman" w:cs="Times New Roman"/>
          <w:sz w:val="20"/>
          <w:szCs w:val="20"/>
        </w:rPr>
        <w:t xml:space="preserve">(6), e0326142. </w:t>
      </w:r>
      <w:hyperlink r:id="rId104" w:history="1">
        <w:r w:rsidRPr="001256EA">
          <w:rPr>
            <w:rStyle w:val="Hyperlink"/>
            <w:rFonts w:ascii="Times New Roman" w:hAnsi="Times New Roman" w:cs="Times New Roman"/>
            <w:sz w:val="20"/>
            <w:szCs w:val="20"/>
          </w:rPr>
          <w:t>https://journals.plos.org/plosone/article?id=10.1371/journal.pone.0326142</w:t>
        </w:r>
      </w:hyperlink>
      <w:r w:rsidRPr="001256EA">
        <w:rPr>
          <w:rFonts w:ascii="Times New Roman" w:hAnsi="Times New Roman" w:cs="Times New Roman"/>
          <w:sz w:val="20"/>
          <w:szCs w:val="20"/>
        </w:rPr>
        <w:t xml:space="preserve"> </w:t>
      </w:r>
    </w:p>
    <w:p w14:paraId="69FD5427" w14:textId="42844E22" w:rsidR="00342C72" w:rsidRDefault="00342C72"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1256EA">
        <w:rPr>
          <w:rFonts w:ascii="Times New Roman" w:hAnsi="Times New Roman" w:cs="Times New Roman"/>
          <w:sz w:val="20"/>
          <w:szCs w:val="20"/>
          <w:lang w:val="de-DE"/>
        </w:rPr>
        <w:t xml:space="preserve">Gramm, J. (2017). Palliativversorgung. </w:t>
      </w:r>
      <w:r w:rsidRPr="001256EA">
        <w:rPr>
          <w:rFonts w:ascii="Times New Roman" w:hAnsi="Times New Roman" w:cs="Times New Roman"/>
          <w:i/>
          <w:iCs/>
          <w:sz w:val="20"/>
          <w:szCs w:val="20"/>
          <w:lang w:val="de-DE"/>
        </w:rPr>
        <w:t>Nervenheilkunde</w:t>
      </w:r>
      <w:r w:rsidRPr="001256EA">
        <w:rPr>
          <w:rFonts w:ascii="Times New Roman" w:hAnsi="Times New Roman" w:cs="Times New Roman"/>
          <w:sz w:val="20"/>
          <w:szCs w:val="20"/>
          <w:lang w:val="de-DE"/>
        </w:rPr>
        <w:t xml:space="preserve">, </w:t>
      </w:r>
      <w:r w:rsidRPr="001256EA">
        <w:rPr>
          <w:rFonts w:ascii="Times New Roman" w:hAnsi="Times New Roman" w:cs="Times New Roman"/>
          <w:i/>
          <w:iCs/>
          <w:sz w:val="20"/>
          <w:szCs w:val="20"/>
          <w:lang w:val="de-DE"/>
        </w:rPr>
        <w:t>36</w:t>
      </w:r>
      <w:r w:rsidRPr="001256EA">
        <w:rPr>
          <w:rFonts w:ascii="Times New Roman" w:hAnsi="Times New Roman" w:cs="Times New Roman"/>
          <w:sz w:val="20"/>
          <w:szCs w:val="20"/>
          <w:lang w:val="de-DE"/>
        </w:rPr>
        <w:t xml:space="preserve">(12), 993–996. </w:t>
      </w:r>
      <w:hyperlink r:id="rId105" w:history="1">
        <w:r w:rsidRPr="001256EA">
          <w:rPr>
            <w:rStyle w:val="Hyperlink"/>
            <w:rFonts w:ascii="Times New Roman" w:hAnsi="Times New Roman" w:cs="Times New Roman"/>
            <w:sz w:val="20"/>
            <w:szCs w:val="20"/>
            <w:lang w:val="de-DE"/>
          </w:rPr>
          <w:t>https://doi.org/10.1055/s-0038-1636952</w:t>
        </w:r>
      </w:hyperlink>
      <w:r w:rsidRPr="001256EA">
        <w:rPr>
          <w:rFonts w:ascii="Times New Roman" w:hAnsi="Times New Roman" w:cs="Times New Roman"/>
          <w:sz w:val="20"/>
          <w:szCs w:val="20"/>
          <w:lang w:val="de-DE"/>
        </w:rPr>
        <w:t xml:space="preserve"> </w:t>
      </w:r>
    </w:p>
    <w:p w14:paraId="342260E6" w14:textId="0034C469" w:rsidR="00227B3D" w:rsidRPr="00D0195E" w:rsidRDefault="00227B3D"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D0195E">
        <w:rPr>
          <w:rFonts w:ascii="Times New Roman" w:hAnsi="Times New Roman" w:cs="Times New Roman"/>
          <w:sz w:val="20"/>
          <w:szCs w:val="20"/>
        </w:rPr>
        <w:t xml:space="preserve">Groenewoud, A. S., </w:t>
      </w:r>
      <w:proofErr w:type="spellStart"/>
      <w:r w:rsidRPr="00D0195E">
        <w:rPr>
          <w:rFonts w:ascii="Times New Roman" w:hAnsi="Times New Roman" w:cs="Times New Roman"/>
          <w:sz w:val="20"/>
          <w:szCs w:val="20"/>
        </w:rPr>
        <w:t>Westert</w:t>
      </w:r>
      <w:proofErr w:type="spellEnd"/>
      <w:r w:rsidRPr="00D0195E">
        <w:rPr>
          <w:rFonts w:ascii="Times New Roman" w:hAnsi="Times New Roman" w:cs="Times New Roman"/>
          <w:sz w:val="20"/>
          <w:szCs w:val="20"/>
        </w:rPr>
        <w:t xml:space="preserve">, G. P., &amp; Boer, T. A. (2023). Understanding regional variation in euthanasia using </w:t>
      </w:r>
      <w:proofErr w:type="spellStart"/>
      <w:r w:rsidRPr="00D0195E">
        <w:rPr>
          <w:rFonts w:ascii="Times New Roman" w:hAnsi="Times New Roman" w:cs="Times New Roman"/>
          <w:sz w:val="20"/>
          <w:szCs w:val="20"/>
        </w:rPr>
        <w:t>geomedical</w:t>
      </w:r>
      <w:proofErr w:type="spellEnd"/>
      <w:r w:rsidRPr="00D0195E">
        <w:rPr>
          <w:rFonts w:ascii="Times New Roman" w:hAnsi="Times New Roman" w:cs="Times New Roman"/>
          <w:sz w:val="20"/>
          <w:szCs w:val="20"/>
        </w:rPr>
        <w:t xml:space="preserve"> frameworks: a critical ethical reflection. </w:t>
      </w:r>
      <w:r w:rsidRPr="00D0195E">
        <w:rPr>
          <w:rFonts w:ascii="Times New Roman" w:hAnsi="Times New Roman" w:cs="Times New Roman"/>
          <w:i/>
          <w:iCs/>
          <w:sz w:val="20"/>
          <w:szCs w:val="20"/>
        </w:rPr>
        <w:t>Research in health services &amp; regions</w:t>
      </w:r>
      <w:r w:rsidRPr="00D0195E">
        <w:rPr>
          <w:rFonts w:ascii="Times New Roman" w:hAnsi="Times New Roman" w:cs="Times New Roman"/>
          <w:sz w:val="20"/>
          <w:szCs w:val="20"/>
        </w:rPr>
        <w:t>, </w:t>
      </w:r>
      <w:r w:rsidRPr="00D0195E">
        <w:rPr>
          <w:rFonts w:ascii="Times New Roman" w:hAnsi="Times New Roman" w:cs="Times New Roman"/>
          <w:i/>
          <w:iCs/>
          <w:sz w:val="20"/>
          <w:szCs w:val="20"/>
        </w:rPr>
        <w:t>2</w:t>
      </w:r>
      <w:r w:rsidRPr="00D0195E">
        <w:rPr>
          <w:rFonts w:ascii="Times New Roman" w:hAnsi="Times New Roman" w:cs="Times New Roman"/>
          <w:sz w:val="20"/>
          <w:szCs w:val="20"/>
        </w:rPr>
        <w:t>(1), 19. https://doi.org/10.1007/s43999-023-00034-6</w:t>
      </w:r>
    </w:p>
    <w:p w14:paraId="369242E5" w14:textId="1D84E00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lastRenderedPageBreak/>
        <w:t xml:space="preserve">Grootendorst, M. (2022). </w:t>
      </w:r>
      <w:proofErr w:type="spellStart"/>
      <w:r w:rsidRPr="001256EA">
        <w:rPr>
          <w:rFonts w:ascii="Times New Roman" w:hAnsi="Times New Roman" w:cs="Times New Roman"/>
          <w:sz w:val="20"/>
          <w:szCs w:val="20"/>
        </w:rPr>
        <w:t>BERTopic</w:t>
      </w:r>
      <w:proofErr w:type="spellEnd"/>
      <w:r w:rsidRPr="001256EA">
        <w:rPr>
          <w:rFonts w:ascii="Times New Roman" w:hAnsi="Times New Roman" w:cs="Times New Roman"/>
          <w:sz w:val="20"/>
          <w:szCs w:val="20"/>
        </w:rPr>
        <w:t xml:space="preserve">: Neural topic modeling with a class-based TF-IDF procedure. </w:t>
      </w:r>
      <w:proofErr w:type="spellStart"/>
      <w:r w:rsidRPr="001256EA">
        <w:rPr>
          <w:rFonts w:ascii="Times New Roman" w:hAnsi="Times New Roman" w:cs="Times New Roman"/>
          <w:i/>
          <w:iCs/>
          <w:sz w:val="20"/>
          <w:szCs w:val="20"/>
        </w:rPr>
        <w:t>arXiv</w:t>
      </w:r>
      <w:proofErr w:type="spellEnd"/>
      <w:r w:rsidRPr="001256EA">
        <w:rPr>
          <w:rFonts w:ascii="Times New Roman" w:hAnsi="Times New Roman" w:cs="Times New Roman"/>
          <w:i/>
          <w:iCs/>
          <w:sz w:val="20"/>
          <w:szCs w:val="20"/>
        </w:rPr>
        <w:t xml:space="preserve"> Preprint arXiv:2203.05794</w:t>
      </w:r>
      <w:r w:rsidRPr="001256EA">
        <w:rPr>
          <w:rFonts w:ascii="Times New Roman" w:hAnsi="Times New Roman" w:cs="Times New Roman"/>
          <w:sz w:val="20"/>
          <w:szCs w:val="20"/>
        </w:rPr>
        <w:t xml:space="preserve">. </w:t>
      </w:r>
      <w:hyperlink r:id="rId106" w:history="1">
        <w:r w:rsidRPr="001256EA">
          <w:rPr>
            <w:rStyle w:val="Hyperlink"/>
            <w:rFonts w:ascii="Times New Roman" w:hAnsi="Times New Roman" w:cs="Times New Roman"/>
            <w:sz w:val="20"/>
            <w:szCs w:val="20"/>
          </w:rPr>
          <w:t>https://doi.org/10.48550/arXiv.2203.05794</w:t>
        </w:r>
      </w:hyperlink>
      <w:r w:rsidRPr="001256EA">
        <w:rPr>
          <w:rFonts w:ascii="Times New Roman" w:hAnsi="Times New Roman" w:cs="Times New Roman"/>
          <w:sz w:val="20"/>
          <w:szCs w:val="20"/>
        </w:rPr>
        <w:t xml:space="preserve"> </w:t>
      </w:r>
    </w:p>
    <w:p w14:paraId="241D2628" w14:textId="5F90235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Grove, G. L., Lovell, M. R., Hughes, I., </w:t>
      </w:r>
      <w:proofErr w:type="spellStart"/>
      <w:r w:rsidRPr="001256EA">
        <w:rPr>
          <w:rFonts w:ascii="Times New Roman" w:hAnsi="Times New Roman" w:cs="Times New Roman"/>
          <w:sz w:val="20"/>
          <w:szCs w:val="20"/>
        </w:rPr>
        <w:t>Maehler</w:t>
      </w:r>
      <w:proofErr w:type="spellEnd"/>
      <w:r w:rsidRPr="001256EA">
        <w:rPr>
          <w:rFonts w:ascii="Times New Roman" w:hAnsi="Times New Roman" w:cs="Times New Roman"/>
          <w:sz w:val="20"/>
          <w:szCs w:val="20"/>
        </w:rPr>
        <w:t xml:space="preserve">, E., &amp; Best, M. (2025). Voluntary-assisted dying, euthanasia and physician-assisted suicide: Global perspectives—systematic review. </w:t>
      </w:r>
      <w:r w:rsidRPr="001256EA">
        <w:rPr>
          <w:rFonts w:ascii="Times New Roman" w:hAnsi="Times New Roman" w:cs="Times New Roman"/>
          <w:i/>
          <w:iCs/>
          <w:sz w:val="20"/>
          <w:szCs w:val="20"/>
        </w:rPr>
        <w:t>BMJ Supportive &amp; Palliative Care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15</w:t>
      </w:r>
      <w:r w:rsidRPr="001256EA">
        <w:rPr>
          <w:rFonts w:ascii="Times New Roman" w:hAnsi="Times New Roman" w:cs="Times New Roman"/>
          <w:sz w:val="20"/>
          <w:szCs w:val="20"/>
        </w:rPr>
        <w:t xml:space="preserve">(4), 423–435. </w:t>
      </w:r>
      <w:hyperlink r:id="rId107" w:history="1">
        <w:r w:rsidRPr="001256EA">
          <w:rPr>
            <w:rStyle w:val="Hyperlink"/>
            <w:rFonts w:ascii="Times New Roman" w:hAnsi="Times New Roman" w:cs="Times New Roman"/>
            <w:sz w:val="20"/>
            <w:szCs w:val="20"/>
          </w:rPr>
          <w:t>https://spcare.bmj.com/content/15/4/423.abstract</w:t>
        </w:r>
      </w:hyperlink>
      <w:r w:rsidRPr="001256EA">
        <w:rPr>
          <w:rFonts w:ascii="Times New Roman" w:hAnsi="Times New Roman" w:cs="Times New Roman"/>
          <w:sz w:val="20"/>
          <w:szCs w:val="20"/>
        </w:rPr>
        <w:t xml:space="preserve"> </w:t>
      </w:r>
    </w:p>
    <w:p w14:paraId="0D4D93A4" w14:textId="0206C64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Gruman, G. J. (1979). Ethics of Death and Dying: Historical Perspective. </w:t>
      </w:r>
      <w:r w:rsidRPr="001256EA">
        <w:rPr>
          <w:rFonts w:ascii="Times New Roman" w:hAnsi="Times New Roman" w:cs="Times New Roman"/>
          <w:i/>
          <w:iCs/>
          <w:sz w:val="20"/>
          <w:szCs w:val="20"/>
        </w:rPr>
        <w:t>OMEGA - Journal of Death and Dying</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w:t>
      </w:r>
      <w:r w:rsidRPr="001256EA">
        <w:rPr>
          <w:rFonts w:ascii="Times New Roman" w:hAnsi="Times New Roman" w:cs="Times New Roman"/>
          <w:sz w:val="20"/>
          <w:szCs w:val="20"/>
        </w:rPr>
        <w:t xml:space="preserve">(3), 203–237. </w:t>
      </w:r>
      <w:hyperlink r:id="rId108" w:history="1">
        <w:r w:rsidRPr="001256EA">
          <w:rPr>
            <w:rStyle w:val="Hyperlink"/>
            <w:rFonts w:ascii="Times New Roman" w:hAnsi="Times New Roman" w:cs="Times New Roman"/>
            <w:sz w:val="20"/>
            <w:szCs w:val="20"/>
          </w:rPr>
          <w:t>https://doi.org/10.2190/1HPQ-G1GQ-TWVB-BWW5</w:t>
        </w:r>
      </w:hyperlink>
      <w:r w:rsidRPr="001256EA">
        <w:rPr>
          <w:rFonts w:ascii="Times New Roman" w:hAnsi="Times New Roman" w:cs="Times New Roman"/>
          <w:sz w:val="20"/>
          <w:szCs w:val="20"/>
        </w:rPr>
        <w:t xml:space="preserve"> </w:t>
      </w:r>
    </w:p>
    <w:p w14:paraId="7425BC83" w14:textId="07D2AA6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Gupta, M., &amp; Downie, J. (2025). Interpreting and operationalizing the incurability requirement in Canada’s assisted dying legislation. </w:t>
      </w:r>
      <w:r w:rsidRPr="001256EA">
        <w:rPr>
          <w:rFonts w:ascii="Times New Roman" w:hAnsi="Times New Roman" w:cs="Times New Roman"/>
          <w:i/>
          <w:iCs/>
          <w:sz w:val="20"/>
          <w:szCs w:val="20"/>
        </w:rPr>
        <w:t>Frontiers in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16</w:t>
      </w:r>
      <w:r w:rsidRPr="001256EA">
        <w:rPr>
          <w:rFonts w:ascii="Times New Roman" w:hAnsi="Times New Roman" w:cs="Times New Roman"/>
          <w:sz w:val="20"/>
          <w:szCs w:val="20"/>
        </w:rPr>
        <w:t xml:space="preserve">, 1549289. </w:t>
      </w:r>
      <w:hyperlink r:id="rId109" w:history="1">
        <w:r w:rsidRPr="001256EA">
          <w:rPr>
            <w:rStyle w:val="Hyperlink"/>
            <w:rFonts w:ascii="Times New Roman" w:hAnsi="Times New Roman" w:cs="Times New Roman"/>
            <w:sz w:val="20"/>
            <w:szCs w:val="20"/>
          </w:rPr>
          <w:t>https://www.frontiersin.org/journals/psychiatry/articles/10.3389/fpsyt.2025.1549289/full</w:t>
        </w:r>
      </w:hyperlink>
      <w:r w:rsidRPr="001256EA">
        <w:rPr>
          <w:rFonts w:ascii="Times New Roman" w:hAnsi="Times New Roman" w:cs="Times New Roman"/>
          <w:sz w:val="20"/>
          <w:szCs w:val="20"/>
        </w:rPr>
        <w:t xml:space="preserve"> </w:t>
      </w:r>
    </w:p>
    <w:p w14:paraId="66BDE7CC" w14:textId="55E3305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Guz, A. N., &amp; </w:t>
      </w:r>
      <w:proofErr w:type="spellStart"/>
      <w:r w:rsidRPr="001256EA">
        <w:rPr>
          <w:rFonts w:ascii="Times New Roman" w:hAnsi="Times New Roman" w:cs="Times New Roman"/>
          <w:sz w:val="20"/>
          <w:szCs w:val="20"/>
        </w:rPr>
        <w:t>Rushchitsky</w:t>
      </w:r>
      <w:proofErr w:type="spellEnd"/>
      <w:r w:rsidRPr="001256EA">
        <w:rPr>
          <w:rFonts w:ascii="Times New Roman" w:hAnsi="Times New Roman" w:cs="Times New Roman"/>
          <w:sz w:val="20"/>
          <w:szCs w:val="20"/>
        </w:rPr>
        <w:t xml:space="preserve">, J. J. (2009). Scopus: A system for the evaluation of scientific journals. </w:t>
      </w:r>
      <w:r w:rsidRPr="001256EA">
        <w:rPr>
          <w:rFonts w:ascii="Times New Roman" w:hAnsi="Times New Roman" w:cs="Times New Roman"/>
          <w:i/>
          <w:iCs/>
          <w:sz w:val="20"/>
          <w:szCs w:val="20"/>
        </w:rPr>
        <w:t>International Applied Mechanics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45</w:t>
      </w:r>
      <w:r w:rsidRPr="001256EA">
        <w:rPr>
          <w:rFonts w:ascii="Times New Roman" w:hAnsi="Times New Roman" w:cs="Times New Roman"/>
          <w:sz w:val="20"/>
          <w:szCs w:val="20"/>
        </w:rPr>
        <w:t xml:space="preserve">(4), 351–362. </w:t>
      </w:r>
      <w:hyperlink r:id="rId110" w:history="1">
        <w:r w:rsidRPr="001256EA">
          <w:rPr>
            <w:rStyle w:val="Hyperlink"/>
            <w:rFonts w:ascii="Times New Roman" w:hAnsi="Times New Roman" w:cs="Times New Roman"/>
            <w:sz w:val="20"/>
            <w:szCs w:val="20"/>
          </w:rPr>
          <w:t>https://doi.org/10.1007/s10778-009-0189-4</w:t>
        </w:r>
      </w:hyperlink>
      <w:r w:rsidRPr="001256EA">
        <w:rPr>
          <w:rFonts w:ascii="Times New Roman" w:hAnsi="Times New Roman" w:cs="Times New Roman"/>
          <w:sz w:val="20"/>
          <w:szCs w:val="20"/>
        </w:rPr>
        <w:t xml:space="preserve"> </w:t>
      </w:r>
    </w:p>
    <w:p w14:paraId="663B2B6D" w14:textId="3B544AD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sv-SE"/>
        </w:rPr>
        <w:t>Hegde</w:t>
      </w:r>
      <w:proofErr w:type="spellEnd"/>
      <w:r w:rsidRPr="001256EA">
        <w:rPr>
          <w:rFonts w:ascii="Times New Roman" w:hAnsi="Times New Roman" w:cs="Times New Roman"/>
          <w:sz w:val="20"/>
          <w:szCs w:val="20"/>
          <w:lang w:val="sv-SE"/>
        </w:rPr>
        <w:t xml:space="preserve">, A., </w:t>
      </w:r>
      <w:proofErr w:type="spellStart"/>
      <w:r w:rsidRPr="001256EA">
        <w:rPr>
          <w:rFonts w:ascii="Times New Roman" w:hAnsi="Times New Roman" w:cs="Times New Roman"/>
          <w:sz w:val="20"/>
          <w:szCs w:val="20"/>
          <w:lang w:val="sv-SE"/>
        </w:rPr>
        <w:t>Bhatti</w:t>
      </w:r>
      <w:proofErr w:type="spellEnd"/>
      <w:r w:rsidRPr="001256EA">
        <w:rPr>
          <w:rFonts w:ascii="Times New Roman" w:hAnsi="Times New Roman" w:cs="Times New Roman"/>
          <w:sz w:val="20"/>
          <w:szCs w:val="20"/>
          <w:lang w:val="sv-SE"/>
        </w:rPr>
        <w:t xml:space="preserve">, B. K., </w:t>
      </w:r>
      <w:proofErr w:type="spellStart"/>
      <w:r w:rsidRPr="001256EA">
        <w:rPr>
          <w:rFonts w:ascii="Times New Roman" w:hAnsi="Times New Roman" w:cs="Times New Roman"/>
          <w:sz w:val="20"/>
          <w:szCs w:val="20"/>
          <w:lang w:val="sv-SE"/>
        </w:rPr>
        <w:t>Dalvi</w:t>
      </w:r>
      <w:proofErr w:type="spellEnd"/>
      <w:r w:rsidRPr="001256EA">
        <w:rPr>
          <w:rFonts w:ascii="Times New Roman" w:hAnsi="Times New Roman" w:cs="Times New Roman"/>
          <w:sz w:val="20"/>
          <w:szCs w:val="20"/>
          <w:lang w:val="sv-SE"/>
        </w:rPr>
        <w:t xml:space="preserve">, V., &amp; </w:t>
      </w:r>
      <w:proofErr w:type="spellStart"/>
      <w:r w:rsidRPr="001256EA">
        <w:rPr>
          <w:rFonts w:ascii="Times New Roman" w:hAnsi="Times New Roman" w:cs="Times New Roman"/>
          <w:sz w:val="20"/>
          <w:szCs w:val="20"/>
          <w:lang w:val="sv-SE"/>
        </w:rPr>
        <w:t>Chandora</w:t>
      </w:r>
      <w:proofErr w:type="spellEnd"/>
      <w:r w:rsidRPr="001256EA">
        <w:rPr>
          <w:rFonts w:ascii="Times New Roman" w:hAnsi="Times New Roman" w:cs="Times New Roman"/>
          <w:sz w:val="20"/>
          <w:szCs w:val="20"/>
          <w:lang w:val="sv-SE"/>
        </w:rPr>
        <w:t xml:space="preserve">, P. (2024). </w:t>
      </w:r>
      <w:r w:rsidRPr="001256EA">
        <w:rPr>
          <w:rFonts w:ascii="Times New Roman" w:hAnsi="Times New Roman" w:cs="Times New Roman"/>
          <w:sz w:val="20"/>
          <w:szCs w:val="20"/>
        </w:rPr>
        <w:t xml:space="preserve">Balancing Personal Autonomy and the Right to Life in Euthanasia. </w:t>
      </w:r>
      <w:r w:rsidRPr="001256EA">
        <w:rPr>
          <w:rFonts w:ascii="Times New Roman" w:hAnsi="Times New Roman" w:cs="Times New Roman"/>
          <w:i/>
          <w:iCs/>
          <w:sz w:val="20"/>
          <w:szCs w:val="20"/>
        </w:rPr>
        <w:t xml:space="preserve">International </w:t>
      </w:r>
      <w:proofErr w:type="gramStart"/>
      <w:r w:rsidRPr="001256EA">
        <w:rPr>
          <w:rFonts w:ascii="Times New Roman" w:hAnsi="Times New Roman" w:cs="Times New Roman"/>
          <w:i/>
          <w:iCs/>
          <w:sz w:val="20"/>
          <w:szCs w:val="20"/>
        </w:rPr>
        <w:t>Jour-Nal</w:t>
      </w:r>
      <w:proofErr w:type="gramEnd"/>
      <w:r w:rsidRPr="001256EA">
        <w:rPr>
          <w:rFonts w:ascii="Times New Roman" w:hAnsi="Times New Roman" w:cs="Times New Roman"/>
          <w:i/>
          <w:iCs/>
          <w:sz w:val="20"/>
          <w:szCs w:val="20"/>
        </w:rPr>
        <w:t xml:space="preserve"> of Legal Science and Innovation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6</w:t>
      </w:r>
      <w:r w:rsidRPr="001256EA">
        <w:rPr>
          <w:rFonts w:ascii="Times New Roman" w:hAnsi="Times New Roman" w:cs="Times New Roman"/>
          <w:sz w:val="20"/>
          <w:szCs w:val="20"/>
        </w:rPr>
        <w:t xml:space="preserve">(4), 61–80. </w:t>
      </w:r>
      <w:hyperlink r:id="rId111" w:history="1">
        <w:r w:rsidRPr="001256EA">
          <w:rPr>
            <w:rStyle w:val="Hyperlink"/>
            <w:rFonts w:ascii="Times New Roman" w:hAnsi="Times New Roman" w:cs="Times New Roman"/>
            <w:sz w:val="20"/>
            <w:szCs w:val="20"/>
          </w:rPr>
          <w:t>https://ijlsi.com/wp-content/uploads/Balancing-Personal-Autonomy-and-the-Right-to-Life-in-Euthanasia.pdf</w:t>
        </w:r>
      </w:hyperlink>
      <w:r w:rsidRPr="001256EA">
        <w:rPr>
          <w:rFonts w:ascii="Times New Roman" w:hAnsi="Times New Roman" w:cs="Times New Roman"/>
          <w:sz w:val="20"/>
          <w:szCs w:val="20"/>
        </w:rPr>
        <w:t xml:space="preserve"> </w:t>
      </w:r>
    </w:p>
    <w:p w14:paraId="06FDD1E3" w14:textId="033A158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Hendin, H. (1994). Seduced by death: Doctors, patients, and the Dutch cure. </w:t>
      </w:r>
      <w:r w:rsidRPr="001256EA">
        <w:rPr>
          <w:rFonts w:ascii="Times New Roman" w:hAnsi="Times New Roman" w:cs="Times New Roman"/>
          <w:i/>
          <w:iCs/>
          <w:sz w:val="20"/>
          <w:szCs w:val="20"/>
        </w:rPr>
        <w:t>Issues L. &amp; Med.</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w:t>
      </w:r>
      <w:r w:rsidRPr="001256EA">
        <w:rPr>
          <w:rFonts w:ascii="Times New Roman" w:hAnsi="Times New Roman" w:cs="Times New Roman"/>
          <w:sz w:val="20"/>
          <w:szCs w:val="20"/>
        </w:rPr>
        <w:t xml:space="preserve">, 123. </w:t>
      </w:r>
      <w:hyperlink r:id="rId112" w:history="1">
        <w:r w:rsidRPr="001256EA">
          <w:rPr>
            <w:rStyle w:val="Hyperlink"/>
            <w:rFonts w:ascii="Times New Roman" w:hAnsi="Times New Roman" w:cs="Times New Roman"/>
            <w:sz w:val="20"/>
            <w:szCs w:val="20"/>
          </w:rPr>
          <w:t>https://heinonline.org/hol-cgi-bin/get_pdf.cgi?handle=hein.journals/ilmed10&amp;section=23</w:t>
        </w:r>
      </w:hyperlink>
      <w:r w:rsidRPr="001256EA">
        <w:rPr>
          <w:rFonts w:ascii="Times New Roman" w:hAnsi="Times New Roman" w:cs="Times New Roman"/>
          <w:sz w:val="20"/>
          <w:szCs w:val="20"/>
        </w:rPr>
        <w:t xml:space="preserve"> </w:t>
      </w:r>
    </w:p>
    <w:p w14:paraId="3ABB59C8" w14:textId="3053FC7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Hesselink, B. A. M.,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D., Janssen, A., </w:t>
      </w:r>
      <w:proofErr w:type="spellStart"/>
      <w:r w:rsidRPr="001256EA">
        <w:rPr>
          <w:rFonts w:ascii="Times New Roman" w:hAnsi="Times New Roman" w:cs="Times New Roman"/>
          <w:sz w:val="20"/>
          <w:szCs w:val="20"/>
        </w:rPr>
        <w:t>Buiting</w:t>
      </w:r>
      <w:proofErr w:type="spellEnd"/>
      <w:r w:rsidRPr="001256EA">
        <w:rPr>
          <w:rFonts w:ascii="Times New Roman" w:hAnsi="Times New Roman" w:cs="Times New Roman"/>
          <w:sz w:val="20"/>
          <w:szCs w:val="20"/>
        </w:rPr>
        <w:t xml:space="preserve">, H. M., </w:t>
      </w:r>
      <w:proofErr w:type="spellStart"/>
      <w:r w:rsidRPr="001256EA">
        <w:rPr>
          <w:rFonts w:ascii="Times New Roman" w:hAnsi="Times New Roman" w:cs="Times New Roman"/>
          <w:sz w:val="20"/>
          <w:szCs w:val="20"/>
        </w:rPr>
        <w:t>Kollau</w:t>
      </w:r>
      <w:proofErr w:type="spellEnd"/>
      <w:r w:rsidRPr="001256EA">
        <w:rPr>
          <w:rFonts w:ascii="Times New Roman" w:hAnsi="Times New Roman" w:cs="Times New Roman"/>
          <w:sz w:val="20"/>
          <w:szCs w:val="20"/>
        </w:rPr>
        <w:t xml:space="preserve">, M., Rietjens, J. A. C., &amp; Pasman, H. R. W. (2012). Do guidelines on euthanasia and physician-assisted suicide in Dutch hospitals and nursing homes reflect the law? A content analysis.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38</w:t>
      </w:r>
      <w:r w:rsidRPr="001256EA">
        <w:rPr>
          <w:rFonts w:ascii="Times New Roman" w:hAnsi="Times New Roman" w:cs="Times New Roman"/>
          <w:sz w:val="20"/>
          <w:szCs w:val="20"/>
        </w:rPr>
        <w:t xml:space="preserve">(1), 35–42. </w:t>
      </w:r>
      <w:hyperlink r:id="rId113" w:history="1">
        <w:r w:rsidRPr="001256EA">
          <w:rPr>
            <w:rStyle w:val="Hyperlink"/>
            <w:rFonts w:ascii="Times New Roman" w:hAnsi="Times New Roman" w:cs="Times New Roman"/>
            <w:sz w:val="20"/>
            <w:szCs w:val="20"/>
          </w:rPr>
          <w:t>https://jme.bmj.com/content/38/1/35.short</w:t>
        </w:r>
      </w:hyperlink>
      <w:r w:rsidRPr="001256EA">
        <w:rPr>
          <w:rFonts w:ascii="Times New Roman" w:hAnsi="Times New Roman" w:cs="Times New Roman"/>
          <w:sz w:val="20"/>
          <w:szCs w:val="20"/>
        </w:rPr>
        <w:t xml:space="preserve"> </w:t>
      </w:r>
    </w:p>
    <w:p w14:paraId="7C6E5863" w14:textId="2592EBE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Hornett, S. I. (1991). </w:t>
      </w:r>
      <w:r w:rsidRPr="001256EA">
        <w:rPr>
          <w:rFonts w:ascii="Times New Roman" w:hAnsi="Times New Roman" w:cs="Times New Roman"/>
          <w:i/>
          <w:iCs/>
          <w:sz w:val="20"/>
          <w:szCs w:val="20"/>
        </w:rPr>
        <w:t>The sanctity of life and substituted judgement: The case of Baby J</w:t>
      </w:r>
      <w:r w:rsidRPr="001256EA">
        <w:rPr>
          <w:rFonts w:ascii="Times New Roman" w:hAnsi="Times New Roman" w:cs="Times New Roman"/>
          <w:sz w:val="20"/>
          <w:szCs w:val="20"/>
        </w:rPr>
        <w:t xml:space="preserve">. </w:t>
      </w:r>
      <w:hyperlink r:id="rId114" w:history="1">
        <w:r w:rsidRPr="001256EA">
          <w:rPr>
            <w:rStyle w:val="Hyperlink"/>
            <w:rFonts w:ascii="Times New Roman" w:hAnsi="Times New Roman" w:cs="Times New Roman"/>
            <w:sz w:val="20"/>
            <w:szCs w:val="20"/>
          </w:rPr>
          <w:t>https://philpapers.org/rec/HORTSO-12</w:t>
        </w:r>
      </w:hyperlink>
      <w:r w:rsidRPr="001256EA">
        <w:rPr>
          <w:rFonts w:ascii="Times New Roman" w:hAnsi="Times New Roman" w:cs="Times New Roman"/>
          <w:sz w:val="20"/>
          <w:szCs w:val="20"/>
        </w:rPr>
        <w:t xml:space="preserve"> </w:t>
      </w:r>
    </w:p>
    <w:p w14:paraId="3041B84A" w14:textId="6312BB8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sv-SE"/>
        </w:rPr>
        <w:t xml:space="preserve">Hurst, S. A., &amp; </w:t>
      </w:r>
      <w:proofErr w:type="spellStart"/>
      <w:r w:rsidRPr="001256EA">
        <w:rPr>
          <w:rFonts w:ascii="Times New Roman" w:hAnsi="Times New Roman" w:cs="Times New Roman"/>
          <w:sz w:val="20"/>
          <w:szCs w:val="20"/>
          <w:lang w:val="sv-SE"/>
        </w:rPr>
        <w:t>Mauron</w:t>
      </w:r>
      <w:proofErr w:type="spellEnd"/>
      <w:r w:rsidRPr="001256EA">
        <w:rPr>
          <w:rFonts w:ascii="Times New Roman" w:hAnsi="Times New Roman" w:cs="Times New Roman"/>
          <w:sz w:val="20"/>
          <w:szCs w:val="20"/>
          <w:lang w:val="sv-SE"/>
        </w:rPr>
        <w:t xml:space="preserve">, A. (2017). </w:t>
      </w:r>
      <w:r w:rsidRPr="001256EA">
        <w:rPr>
          <w:rFonts w:ascii="Times New Roman" w:hAnsi="Times New Roman" w:cs="Times New Roman"/>
          <w:sz w:val="20"/>
          <w:szCs w:val="20"/>
        </w:rPr>
        <w:t xml:space="preserve">Assisted Suicide in Switzerland: Clarifying Liberties and Claims. </w:t>
      </w:r>
      <w:r w:rsidRPr="001256EA">
        <w:rPr>
          <w:rFonts w:ascii="Times New Roman" w:hAnsi="Times New Roman" w:cs="Times New Roman"/>
          <w:i/>
          <w:iCs/>
          <w:sz w:val="20"/>
          <w:szCs w:val="20"/>
        </w:rPr>
        <w:t>Bioethics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31</w:t>
      </w:r>
      <w:r w:rsidRPr="001256EA">
        <w:rPr>
          <w:rFonts w:ascii="Times New Roman" w:hAnsi="Times New Roman" w:cs="Times New Roman"/>
          <w:sz w:val="20"/>
          <w:szCs w:val="20"/>
        </w:rPr>
        <w:t xml:space="preserve">(3), 199–208. </w:t>
      </w:r>
      <w:hyperlink r:id="rId115" w:history="1">
        <w:r w:rsidRPr="001256EA">
          <w:rPr>
            <w:rStyle w:val="Hyperlink"/>
            <w:rFonts w:ascii="Times New Roman" w:hAnsi="Times New Roman" w:cs="Times New Roman"/>
            <w:sz w:val="20"/>
            <w:szCs w:val="20"/>
          </w:rPr>
          <w:t>https://doi.org/10.1111/bioe.12304</w:t>
        </w:r>
      </w:hyperlink>
      <w:r w:rsidRPr="001256EA">
        <w:rPr>
          <w:rFonts w:ascii="Times New Roman" w:hAnsi="Times New Roman" w:cs="Times New Roman"/>
          <w:sz w:val="20"/>
          <w:szCs w:val="20"/>
        </w:rPr>
        <w:t xml:space="preserve"> </w:t>
      </w:r>
    </w:p>
    <w:p w14:paraId="12C20F38" w14:textId="2B571E77" w:rsidR="003D0C40" w:rsidRPr="001256EA" w:rsidRDefault="003D0C40"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Husa, J. (2024). Comparative Law and </w:t>
      </w:r>
      <w:proofErr w:type="gramStart"/>
      <w:r w:rsidRPr="001256EA">
        <w:rPr>
          <w:rFonts w:ascii="Times New Roman" w:hAnsi="Times New Roman" w:cs="Times New Roman"/>
          <w:sz w:val="20"/>
          <w:szCs w:val="20"/>
        </w:rPr>
        <w:t>Interdisciplinarity,“</w:t>
      </w:r>
      <w:proofErr w:type="gramEnd"/>
      <w:r w:rsidRPr="001256EA">
        <w:rPr>
          <w:rFonts w:ascii="Times New Roman" w:hAnsi="Times New Roman" w:cs="Times New Roman"/>
          <w:sz w:val="20"/>
          <w:szCs w:val="20"/>
        </w:rPr>
        <w:t xml:space="preserve">. Law </w:t>
      </w:r>
      <w:proofErr w:type="gramStart"/>
      <w:r w:rsidRPr="001256EA">
        <w:rPr>
          <w:rFonts w:ascii="Times New Roman" w:hAnsi="Times New Roman" w:cs="Times New Roman"/>
          <w:sz w:val="20"/>
          <w:szCs w:val="20"/>
        </w:rPr>
        <w:t>&amp;”(</w:t>
      </w:r>
      <w:proofErr w:type="gramEnd"/>
      <w:r w:rsidRPr="001256EA">
        <w:rPr>
          <w:rFonts w:ascii="Times New Roman" w:hAnsi="Times New Roman" w:cs="Times New Roman"/>
          <w:sz w:val="20"/>
          <w:szCs w:val="20"/>
        </w:rPr>
        <w:t>An Encyclopedia of Interdisciplinary Studies, Hong Kong University 2024). Retrieved 20.12.2025, From: https://cils.law.hku.hk/wp-content/uploads/2024/09/HKU-CILS-Entry-by-Husa-1.pdf</w:t>
      </w:r>
    </w:p>
    <w:p w14:paraId="6447BF21" w14:textId="271F28AE" w:rsidR="00342C72"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Hyliaka, O., Mernyk, A., Yaroshenko, O., Gnatenko, K., &amp; </w:t>
      </w:r>
      <w:proofErr w:type="spellStart"/>
      <w:r w:rsidRPr="001256EA">
        <w:rPr>
          <w:rFonts w:ascii="Times New Roman" w:hAnsi="Times New Roman" w:cs="Times New Roman"/>
          <w:sz w:val="20"/>
          <w:szCs w:val="20"/>
        </w:rPr>
        <w:t>Sliusar</w:t>
      </w:r>
      <w:proofErr w:type="spellEnd"/>
      <w:r w:rsidRPr="001256EA">
        <w:rPr>
          <w:rFonts w:ascii="Times New Roman" w:hAnsi="Times New Roman" w:cs="Times New Roman"/>
          <w:sz w:val="20"/>
          <w:szCs w:val="20"/>
        </w:rPr>
        <w:t xml:space="preserve">, A. (2020). The right to </w:t>
      </w:r>
      <w:proofErr w:type="spellStart"/>
      <w:proofErr w:type="gramStart"/>
      <w:r w:rsidRPr="001256EA">
        <w:rPr>
          <w:rFonts w:ascii="Times New Roman" w:hAnsi="Times New Roman" w:cs="Times New Roman"/>
          <w:sz w:val="20"/>
          <w:szCs w:val="20"/>
        </w:rPr>
        <w:t>euthanasy</w:t>
      </w:r>
      <w:proofErr w:type="spellEnd"/>
      <w:r w:rsidRPr="001256EA">
        <w:rPr>
          <w:rFonts w:ascii="Times New Roman" w:hAnsi="Times New Roman" w:cs="Times New Roman"/>
          <w:sz w:val="20"/>
          <w:szCs w:val="20"/>
        </w:rPr>
        <w:t xml:space="preserve"> how</w:t>
      </w:r>
      <w:proofErr w:type="gramEnd"/>
      <w:r w:rsidRPr="001256EA">
        <w:rPr>
          <w:rFonts w:ascii="Times New Roman" w:hAnsi="Times New Roman" w:cs="Times New Roman"/>
          <w:sz w:val="20"/>
          <w:szCs w:val="20"/>
        </w:rPr>
        <w:t xml:space="preserve"> the </w:t>
      </w:r>
      <w:proofErr w:type="gramStart"/>
      <w:r w:rsidRPr="001256EA">
        <w:rPr>
          <w:rFonts w:ascii="Times New Roman" w:hAnsi="Times New Roman" w:cs="Times New Roman"/>
          <w:sz w:val="20"/>
          <w:szCs w:val="20"/>
        </w:rPr>
        <w:t>fourth generation</w:t>
      </w:r>
      <w:proofErr w:type="gramEnd"/>
      <w:r w:rsidRPr="001256EA">
        <w:rPr>
          <w:rFonts w:ascii="Times New Roman" w:hAnsi="Times New Roman" w:cs="Times New Roman"/>
          <w:sz w:val="20"/>
          <w:szCs w:val="20"/>
        </w:rPr>
        <w:t xml:space="preserve"> human right. </w:t>
      </w:r>
      <w:r w:rsidRPr="001256EA">
        <w:rPr>
          <w:rFonts w:ascii="Times New Roman" w:hAnsi="Times New Roman" w:cs="Times New Roman"/>
          <w:i/>
          <w:iCs/>
          <w:sz w:val="20"/>
          <w:szCs w:val="20"/>
        </w:rPr>
        <w:t>Georgian Medical News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308</w:t>
      </w:r>
      <w:r w:rsidRPr="001256EA">
        <w:rPr>
          <w:rFonts w:ascii="Times New Roman" w:hAnsi="Times New Roman" w:cs="Times New Roman"/>
          <w:sz w:val="20"/>
          <w:szCs w:val="20"/>
        </w:rPr>
        <w:t xml:space="preserve">, 175–180. </w:t>
      </w:r>
      <w:hyperlink r:id="rId116" w:history="1">
        <w:r w:rsidRPr="001256EA">
          <w:rPr>
            <w:rStyle w:val="Hyperlink"/>
            <w:rFonts w:ascii="Times New Roman" w:hAnsi="Times New Roman" w:cs="Times New Roman"/>
            <w:sz w:val="20"/>
            <w:szCs w:val="20"/>
          </w:rPr>
          <w:t>https://europepmc.org/article/med/33395663</w:t>
        </w:r>
      </w:hyperlink>
      <w:r w:rsidRPr="001256EA">
        <w:rPr>
          <w:rFonts w:ascii="Times New Roman" w:hAnsi="Times New Roman" w:cs="Times New Roman"/>
          <w:sz w:val="20"/>
          <w:szCs w:val="20"/>
        </w:rPr>
        <w:t xml:space="preserve"> </w:t>
      </w:r>
    </w:p>
    <w:p w14:paraId="69E1D8B7" w14:textId="749EEFE0" w:rsidR="00B1409C" w:rsidRPr="00D0195E" w:rsidRDefault="00B1409C"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D0195E">
        <w:rPr>
          <w:rFonts w:ascii="Times New Roman" w:hAnsi="Times New Roman" w:cs="Times New Roman"/>
          <w:sz w:val="20"/>
          <w:szCs w:val="20"/>
          <w:lang w:val="pl-PL"/>
        </w:rPr>
        <w:t>Izah</w:t>
      </w:r>
      <w:proofErr w:type="spellEnd"/>
      <w:r w:rsidRPr="00D0195E">
        <w:rPr>
          <w:rFonts w:ascii="Times New Roman" w:hAnsi="Times New Roman" w:cs="Times New Roman"/>
          <w:sz w:val="20"/>
          <w:szCs w:val="20"/>
          <w:lang w:val="pl-PL"/>
        </w:rPr>
        <w:t xml:space="preserve">, S. C., </w:t>
      </w:r>
      <w:proofErr w:type="spellStart"/>
      <w:r w:rsidRPr="00D0195E">
        <w:rPr>
          <w:rFonts w:ascii="Times New Roman" w:hAnsi="Times New Roman" w:cs="Times New Roman"/>
          <w:sz w:val="20"/>
          <w:szCs w:val="20"/>
          <w:lang w:val="pl-PL"/>
        </w:rPr>
        <w:t>Ogwu</w:t>
      </w:r>
      <w:proofErr w:type="spellEnd"/>
      <w:r w:rsidRPr="00D0195E">
        <w:rPr>
          <w:rFonts w:ascii="Times New Roman" w:hAnsi="Times New Roman" w:cs="Times New Roman"/>
          <w:sz w:val="20"/>
          <w:szCs w:val="20"/>
          <w:lang w:val="pl-PL"/>
        </w:rPr>
        <w:t xml:space="preserve">, M. C., </w:t>
      </w:r>
      <w:proofErr w:type="spellStart"/>
      <w:r w:rsidRPr="00D0195E">
        <w:rPr>
          <w:rFonts w:ascii="Times New Roman" w:hAnsi="Times New Roman" w:cs="Times New Roman"/>
          <w:sz w:val="20"/>
          <w:szCs w:val="20"/>
          <w:lang w:val="pl-PL"/>
        </w:rPr>
        <w:t>Alum</w:t>
      </w:r>
      <w:proofErr w:type="spellEnd"/>
      <w:r w:rsidRPr="00D0195E">
        <w:rPr>
          <w:rFonts w:ascii="Times New Roman" w:hAnsi="Times New Roman" w:cs="Times New Roman"/>
          <w:sz w:val="20"/>
          <w:szCs w:val="20"/>
          <w:lang w:val="pl-PL"/>
        </w:rPr>
        <w:t xml:space="preserve">, E. U., </w:t>
      </w:r>
      <w:proofErr w:type="spellStart"/>
      <w:r w:rsidRPr="00D0195E">
        <w:rPr>
          <w:rFonts w:ascii="Times New Roman" w:hAnsi="Times New Roman" w:cs="Times New Roman"/>
          <w:sz w:val="20"/>
          <w:szCs w:val="20"/>
          <w:lang w:val="pl-PL"/>
        </w:rPr>
        <w:t>Poyeri</w:t>
      </w:r>
      <w:proofErr w:type="spellEnd"/>
      <w:r w:rsidRPr="00D0195E">
        <w:rPr>
          <w:rFonts w:ascii="Times New Roman" w:hAnsi="Times New Roman" w:cs="Times New Roman"/>
          <w:sz w:val="20"/>
          <w:szCs w:val="20"/>
          <w:lang w:val="pl-PL"/>
        </w:rPr>
        <w:t xml:space="preserve">, W. R., &amp; Kari, A. (2026). </w:t>
      </w:r>
      <w:r w:rsidRPr="00D0195E">
        <w:rPr>
          <w:rFonts w:ascii="Times New Roman" w:hAnsi="Times New Roman" w:cs="Times New Roman"/>
          <w:sz w:val="20"/>
          <w:szCs w:val="20"/>
        </w:rPr>
        <w:t>Rethinking Data Presentation in Trace Metal Studies of Food and Environmental Matrices: Consequences for Statistical Inference, Reproducibility, and Risk Assessment. </w:t>
      </w:r>
      <w:r w:rsidRPr="00D0195E">
        <w:rPr>
          <w:rFonts w:ascii="Times New Roman" w:hAnsi="Times New Roman" w:cs="Times New Roman"/>
          <w:i/>
          <w:iCs/>
          <w:sz w:val="20"/>
          <w:szCs w:val="20"/>
        </w:rPr>
        <w:t>Journal of Trace Elements and Minerals</w:t>
      </w:r>
      <w:r w:rsidRPr="00D0195E">
        <w:rPr>
          <w:rFonts w:ascii="Times New Roman" w:hAnsi="Times New Roman" w:cs="Times New Roman"/>
          <w:sz w:val="20"/>
          <w:szCs w:val="20"/>
        </w:rPr>
        <w:t xml:space="preserve">, 100289. </w:t>
      </w:r>
      <w:hyperlink r:id="rId117" w:tgtFrame="_blank" w:tooltip="Persistent link using digital object identifier" w:history="1">
        <w:r w:rsidRPr="00D0195E">
          <w:rPr>
            <w:rStyle w:val="Hyperlink"/>
            <w:rFonts w:ascii="Times New Roman" w:hAnsi="Times New Roman" w:cs="Times New Roman"/>
            <w:sz w:val="20"/>
            <w:szCs w:val="20"/>
          </w:rPr>
          <w:t>https://doi.org/10.1016/j.jtemin.2026.100289</w:t>
        </w:r>
      </w:hyperlink>
    </w:p>
    <w:p w14:paraId="4645BCBE" w14:textId="39FC4EE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fr-FR"/>
        </w:rPr>
        <w:t xml:space="preserve">Jones, D. A., &amp; Paton, D. (2015). </w:t>
      </w:r>
      <w:r w:rsidRPr="001256EA">
        <w:rPr>
          <w:rFonts w:ascii="Times New Roman" w:hAnsi="Times New Roman" w:cs="Times New Roman"/>
          <w:sz w:val="20"/>
          <w:szCs w:val="20"/>
        </w:rPr>
        <w:t xml:space="preserve">How does legalization of physician assisted suicide affect rates of suicide? </w:t>
      </w:r>
      <w:r w:rsidRPr="001256EA">
        <w:rPr>
          <w:rFonts w:ascii="Times New Roman" w:hAnsi="Times New Roman" w:cs="Times New Roman"/>
          <w:i/>
          <w:iCs/>
          <w:sz w:val="20"/>
          <w:szCs w:val="20"/>
        </w:rPr>
        <w:t>Southern Medical Journal</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108</w:t>
      </w:r>
      <w:r w:rsidRPr="001256EA">
        <w:rPr>
          <w:rFonts w:ascii="Times New Roman" w:hAnsi="Times New Roman" w:cs="Times New Roman"/>
          <w:sz w:val="20"/>
          <w:szCs w:val="20"/>
        </w:rPr>
        <w:t xml:space="preserve">(10), 599–694. </w:t>
      </w:r>
      <w:hyperlink r:id="rId118" w:history="1">
        <w:r w:rsidRPr="001256EA">
          <w:rPr>
            <w:rStyle w:val="Hyperlink"/>
            <w:rFonts w:ascii="Times New Roman" w:hAnsi="Times New Roman" w:cs="Times New Roman"/>
            <w:sz w:val="20"/>
            <w:szCs w:val="20"/>
          </w:rPr>
          <w:t>http://research.stmarys.ac.uk/id/eprint/3664/</w:t>
        </w:r>
      </w:hyperlink>
      <w:r w:rsidRPr="001256EA">
        <w:rPr>
          <w:rFonts w:ascii="Times New Roman" w:hAnsi="Times New Roman" w:cs="Times New Roman"/>
          <w:sz w:val="20"/>
          <w:szCs w:val="20"/>
        </w:rPr>
        <w:t xml:space="preserve"> </w:t>
      </w:r>
    </w:p>
    <w:p w14:paraId="7C66A00F" w14:textId="4DF498D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es-ES"/>
        </w:rPr>
      </w:pPr>
      <w:r w:rsidRPr="001256EA">
        <w:rPr>
          <w:rFonts w:ascii="Times New Roman" w:hAnsi="Times New Roman" w:cs="Times New Roman"/>
          <w:sz w:val="20"/>
          <w:szCs w:val="20"/>
          <w:lang w:val="es-ES"/>
        </w:rPr>
        <w:t xml:space="preserve">Joseba García, M., &amp; Ignacia, P. (2023). </w:t>
      </w:r>
      <w:r w:rsidRPr="001256EA">
        <w:rPr>
          <w:rFonts w:ascii="Times New Roman" w:hAnsi="Times New Roman" w:cs="Times New Roman"/>
          <w:sz w:val="20"/>
          <w:szCs w:val="20"/>
        </w:rPr>
        <w:t xml:space="preserve">CEIC - The Spanish Anti-rights Field in the Face of the Euthanasia Law. </w:t>
      </w:r>
      <w:proofErr w:type="spellStart"/>
      <w:r w:rsidRPr="001256EA">
        <w:rPr>
          <w:rFonts w:ascii="Times New Roman" w:hAnsi="Times New Roman" w:cs="Times New Roman"/>
          <w:sz w:val="20"/>
          <w:szCs w:val="20"/>
          <w:lang w:val="es-ES"/>
        </w:rPr>
        <w:t>Mobilizational</w:t>
      </w:r>
      <w:proofErr w:type="spellEnd"/>
      <w:r w:rsidRPr="001256EA">
        <w:rPr>
          <w:rFonts w:ascii="Times New Roman" w:hAnsi="Times New Roman" w:cs="Times New Roman"/>
          <w:sz w:val="20"/>
          <w:szCs w:val="20"/>
          <w:lang w:val="es-ES"/>
        </w:rPr>
        <w:t xml:space="preserve"> </w:t>
      </w:r>
      <w:proofErr w:type="spellStart"/>
      <w:r w:rsidRPr="001256EA">
        <w:rPr>
          <w:rFonts w:ascii="Times New Roman" w:hAnsi="Times New Roman" w:cs="Times New Roman"/>
          <w:sz w:val="20"/>
          <w:szCs w:val="20"/>
          <w:lang w:val="es-ES"/>
        </w:rPr>
        <w:t>Repertoire</w:t>
      </w:r>
      <w:proofErr w:type="spellEnd"/>
      <w:r w:rsidRPr="001256EA">
        <w:rPr>
          <w:rFonts w:ascii="Times New Roman" w:hAnsi="Times New Roman" w:cs="Times New Roman"/>
          <w:sz w:val="20"/>
          <w:szCs w:val="20"/>
          <w:lang w:val="es-ES"/>
        </w:rPr>
        <w:t xml:space="preserve"> and </w:t>
      </w:r>
      <w:proofErr w:type="spellStart"/>
      <w:r w:rsidRPr="001256EA">
        <w:rPr>
          <w:rFonts w:ascii="Times New Roman" w:hAnsi="Times New Roman" w:cs="Times New Roman"/>
          <w:sz w:val="20"/>
          <w:szCs w:val="20"/>
          <w:lang w:val="es-ES"/>
        </w:rPr>
        <w:t>Identity</w:t>
      </w:r>
      <w:proofErr w:type="spellEnd"/>
      <w:r w:rsidRPr="001256EA">
        <w:rPr>
          <w:rFonts w:ascii="Times New Roman" w:hAnsi="Times New Roman" w:cs="Times New Roman"/>
          <w:sz w:val="20"/>
          <w:szCs w:val="20"/>
          <w:lang w:val="es-ES"/>
        </w:rPr>
        <w:t xml:space="preserve"> Work (2018-21) [El campo </w:t>
      </w:r>
      <w:proofErr w:type="spellStart"/>
      <w:r w:rsidRPr="001256EA">
        <w:rPr>
          <w:rFonts w:ascii="Times New Roman" w:hAnsi="Times New Roman" w:cs="Times New Roman"/>
          <w:sz w:val="20"/>
          <w:szCs w:val="20"/>
          <w:lang w:val="es-ES"/>
        </w:rPr>
        <w:t>antiderechos</w:t>
      </w:r>
      <w:proofErr w:type="spellEnd"/>
      <w:r w:rsidRPr="001256EA">
        <w:rPr>
          <w:rFonts w:ascii="Times New Roman" w:hAnsi="Times New Roman" w:cs="Times New Roman"/>
          <w:sz w:val="20"/>
          <w:szCs w:val="20"/>
          <w:lang w:val="es-ES"/>
        </w:rPr>
        <w:t xml:space="preserve"> español frente a la Ley de Eutanasia. Repertorio </w:t>
      </w:r>
      <w:proofErr w:type="spellStart"/>
      <w:r w:rsidRPr="001256EA">
        <w:rPr>
          <w:rFonts w:ascii="Times New Roman" w:hAnsi="Times New Roman" w:cs="Times New Roman"/>
          <w:sz w:val="20"/>
          <w:szCs w:val="20"/>
          <w:lang w:val="es-ES"/>
        </w:rPr>
        <w:t>movilizacional</w:t>
      </w:r>
      <w:proofErr w:type="spellEnd"/>
      <w:r w:rsidRPr="001256EA">
        <w:rPr>
          <w:rFonts w:ascii="Times New Roman" w:hAnsi="Times New Roman" w:cs="Times New Roman"/>
          <w:sz w:val="20"/>
          <w:szCs w:val="20"/>
          <w:lang w:val="es-ES"/>
        </w:rPr>
        <w:t xml:space="preserve"> y trabajo identitario (2018-21)]. </w:t>
      </w:r>
      <w:r w:rsidRPr="001256EA">
        <w:rPr>
          <w:rFonts w:ascii="Times New Roman" w:hAnsi="Times New Roman" w:cs="Times New Roman"/>
          <w:i/>
          <w:iCs/>
          <w:sz w:val="20"/>
          <w:szCs w:val="20"/>
          <w:lang w:val="es-ES"/>
        </w:rPr>
        <w:t>Revista Internacional de Sociología</w:t>
      </w:r>
      <w:r w:rsidRPr="001256EA">
        <w:rPr>
          <w:rFonts w:ascii="Times New Roman" w:hAnsi="Times New Roman" w:cs="Times New Roman"/>
          <w:sz w:val="20"/>
          <w:szCs w:val="20"/>
          <w:lang w:val="es-ES"/>
        </w:rPr>
        <w:t xml:space="preserve">. </w:t>
      </w:r>
      <w:hyperlink r:id="rId119" w:history="1">
        <w:r w:rsidR="0057336D" w:rsidRPr="001256EA">
          <w:rPr>
            <w:rStyle w:val="Hyperlink"/>
            <w:rFonts w:ascii="Times New Roman" w:hAnsi="Times New Roman" w:cs="Times New Roman"/>
            <w:sz w:val="20"/>
            <w:szCs w:val="20"/>
            <w:lang w:val="es-ES"/>
          </w:rPr>
          <w:t>https://doi.org/10.3989/ris.2022.81.4.1143</w:t>
        </w:r>
      </w:hyperlink>
      <w:r w:rsidR="0057336D" w:rsidRPr="001256EA">
        <w:rPr>
          <w:rFonts w:ascii="Times New Roman" w:hAnsi="Times New Roman" w:cs="Times New Roman"/>
          <w:sz w:val="20"/>
          <w:szCs w:val="20"/>
          <w:lang w:val="es-ES"/>
        </w:rPr>
        <w:t xml:space="preserve"> </w:t>
      </w:r>
    </w:p>
    <w:p w14:paraId="081753E4" w14:textId="4B48127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fr-FR"/>
        </w:rPr>
      </w:pPr>
      <w:r w:rsidRPr="001256EA">
        <w:rPr>
          <w:rFonts w:ascii="Times New Roman" w:hAnsi="Times New Roman" w:cs="Times New Roman"/>
          <w:sz w:val="20"/>
          <w:szCs w:val="20"/>
        </w:rPr>
        <w:t xml:space="preserve">Josifova, I. (2025). Ethical, Legal, and Practical Aspects of Euthanasia and Assisted Suicide. </w:t>
      </w:r>
      <w:r w:rsidRPr="001256EA">
        <w:rPr>
          <w:rFonts w:ascii="Times New Roman" w:hAnsi="Times New Roman" w:cs="Times New Roman"/>
          <w:i/>
          <w:iCs/>
          <w:sz w:val="20"/>
          <w:szCs w:val="20"/>
          <w:lang w:val="fr-FR"/>
        </w:rPr>
        <w:t>Iustinianus Primus L. Rev.</w:t>
      </w:r>
      <w:r w:rsidRPr="001256EA">
        <w:rPr>
          <w:rFonts w:ascii="Times New Roman" w:hAnsi="Times New Roman" w:cs="Times New Roman"/>
          <w:sz w:val="20"/>
          <w:szCs w:val="20"/>
          <w:lang w:val="fr-FR"/>
        </w:rPr>
        <w:t xml:space="preserve">, </w:t>
      </w:r>
      <w:r w:rsidRPr="001256EA">
        <w:rPr>
          <w:rFonts w:ascii="Times New Roman" w:hAnsi="Times New Roman" w:cs="Times New Roman"/>
          <w:i/>
          <w:iCs/>
          <w:sz w:val="20"/>
          <w:szCs w:val="20"/>
          <w:lang w:val="fr-FR"/>
        </w:rPr>
        <w:t>16</w:t>
      </w:r>
      <w:r w:rsidRPr="001256EA">
        <w:rPr>
          <w:rFonts w:ascii="Times New Roman" w:hAnsi="Times New Roman" w:cs="Times New Roman"/>
          <w:sz w:val="20"/>
          <w:szCs w:val="20"/>
          <w:lang w:val="fr-FR"/>
        </w:rPr>
        <w:t xml:space="preserve">, 179. </w:t>
      </w:r>
      <w:hyperlink r:id="rId120" w:history="1">
        <w:r w:rsidR="00405EE8" w:rsidRPr="001256EA">
          <w:rPr>
            <w:rStyle w:val="Hyperlink"/>
            <w:rFonts w:ascii="Times New Roman" w:hAnsi="Times New Roman" w:cs="Times New Roman"/>
            <w:sz w:val="20"/>
            <w:szCs w:val="20"/>
            <w:lang w:val="fr-FR"/>
          </w:rPr>
          <w:t>https://heinonline.org/hol-cgi-bin/get_pdf.cgi?handle=hein.journals/iusplr16&amp;section=14</w:t>
        </w:r>
      </w:hyperlink>
      <w:r w:rsidR="00405EE8" w:rsidRPr="001256EA">
        <w:rPr>
          <w:rFonts w:ascii="Times New Roman" w:hAnsi="Times New Roman" w:cs="Times New Roman"/>
          <w:sz w:val="20"/>
          <w:szCs w:val="20"/>
          <w:lang w:val="fr-FR"/>
        </w:rPr>
        <w:t xml:space="preserve"> </w:t>
      </w:r>
    </w:p>
    <w:p w14:paraId="01FA0FCC" w14:textId="27C04E8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Kadir, Y., </w:t>
      </w:r>
      <w:proofErr w:type="spellStart"/>
      <w:r w:rsidRPr="001256EA">
        <w:rPr>
          <w:rFonts w:ascii="Times New Roman" w:hAnsi="Times New Roman" w:cs="Times New Roman"/>
          <w:sz w:val="20"/>
          <w:szCs w:val="20"/>
        </w:rPr>
        <w:t>Nurmala</w:t>
      </w:r>
      <w:proofErr w:type="spellEnd"/>
      <w:r w:rsidRPr="001256EA">
        <w:rPr>
          <w:rFonts w:ascii="Times New Roman" w:hAnsi="Times New Roman" w:cs="Times New Roman"/>
          <w:sz w:val="20"/>
          <w:szCs w:val="20"/>
        </w:rPr>
        <w:t xml:space="preserve">, L. D., &amp; Ismail, N. (2021). The Relevance of Legal Protection to Human Rights Related to Euthanasia Law in Indonesia. </w:t>
      </w:r>
      <w:proofErr w:type="spellStart"/>
      <w:r w:rsidRPr="001256EA">
        <w:rPr>
          <w:rFonts w:ascii="Times New Roman" w:hAnsi="Times New Roman" w:cs="Times New Roman"/>
          <w:i/>
          <w:iCs/>
          <w:sz w:val="20"/>
          <w:szCs w:val="20"/>
        </w:rPr>
        <w:t>Jambura</w:t>
      </w:r>
      <w:proofErr w:type="spellEnd"/>
      <w:r w:rsidRPr="001256EA">
        <w:rPr>
          <w:rFonts w:ascii="Times New Roman" w:hAnsi="Times New Roman" w:cs="Times New Roman"/>
          <w:i/>
          <w:iCs/>
          <w:sz w:val="20"/>
          <w:szCs w:val="20"/>
        </w:rPr>
        <w:t xml:space="preserve"> Law Review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w:t>
      </w:r>
      <w:r w:rsidRPr="001256EA">
        <w:rPr>
          <w:rFonts w:ascii="Times New Roman" w:hAnsi="Times New Roman" w:cs="Times New Roman"/>
          <w:sz w:val="20"/>
          <w:szCs w:val="20"/>
        </w:rPr>
        <w:t xml:space="preserve">(2), 319–335. </w:t>
      </w:r>
      <w:hyperlink r:id="rId121" w:history="1">
        <w:r w:rsidR="00405EE8" w:rsidRPr="001256EA">
          <w:rPr>
            <w:rStyle w:val="Hyperlink"/>
            <w:rFonts w:ascii="Times New Roman" w:hAnsi="Times New Roman" w:cs="Times New Roman"/>
            <w:sz w:val="20"/>
            <w:szCs w:val="20"/>
          </w:rPr>
          <w:t>https://ejurnal.ung.ac.id/index.php/jalrev/article/download/7111/3478</w:t>
        </w:r>
      </w:hyperlink>
      <w:r w:rsidR="00405EE8" w:rsidRPr="001256EA">
        <w:rPr>
          <w:rFonts w:ascii="Times New Roman" w:hAnsi="Times New Roman" w:cs="Times New Roman"/>
          <w:sz w:val="20"/>
          <w:szCs w:val="20"/>
        </w:rPr>
        <w:t xml:space="preserve"> </w:t>
      </w:r>
    </w:p>
    <w:p w14:paraId="713CC0E6" w14:textId="3247218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Kalita, M. (2024). Euthanasia: A Comprehensive Analysis on Indian Perspective. </w:t>
      </w:r>
      <w:r w:rsidRPr="001256EA">
        <w:rPr>
          <w:rFonts w:ascii="Times New Roman" w:hAnsi="Times New Roman" w:cs="Times New Roman"/>
          <w:i/>
          <w:iCs/>
          <w:sz w:val="20"/>
          <w:szCs w:val="20"/>
        </w:rPr>
        <w:t>Law &amp; World</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32</w:t>
      </w:r>
      <w:r w:rsidRPr="001256EA">
        <w:rPr>
          <w:rFonts w:ascii="Times New Roman" w:hAnsi="Times New Roman" w:cs="Times New Roman"/>
          <w:sz w:val="20"/>
          <w:szCs w:val="20"/>
        </w:rPr>
        <w:t xml:space="preserve">, 20. </w:t>
      </w:r>
      <w:hyperlink r:id="rId122" w:history="1">
        <w:r w:rsidR="00405EE8" w:rsidRPr="001256EA">
          <w:rPr>
            <w:rStyle w:val="Hyperlink"/>
            <w:rFonts w:ascii="Times New Roman" w:hAnsi="Times New Roman" w:cs="Times New Roman"/>
            <w:sz w:val="20"/>
            <w:szCs w:val="20"/>
          </w:rPr>
          <w:t>https://heinonline.org/hol-cgi-bin/get_pdf.cgi?handle=hein.journals/lwwrld32&amp;section=5</w:t>
        </w:r>
      </w:hyperlink>
      <w:r w:rsidR="00405EE8" w:rsidRPr="001256EA">
        <w:rPr>
          <w:rFonts w:ascii="Times New Roman" w:hAnsi="Times New Roman" w:cs="Times New Roman"/>
          <w:sz w:val="20"/>
          <w:szCs w:val="20"/>
        </w:rPr>
        <w:t xml:space="preserve"> </w:t>
      </w:r>
    </w:p>
    <w:p w14:paraId="42C135D0" w14:textId="4A0FCE6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Kamisar</w:t>
      </w:r>
      <w:proofErr w:type="spellEnd"/>
      <w:r w:rsidRPr="001256EA">
        <w:rPr>
          <w:rFonts w:ascii="Times New Roman" w:hAnsi="Times New Roman" w:cs="Times New Roman"/>
          <w:sz w:val="20"/>
          <w:szCs w:val="20"/>
        </w:rPr>
        <w:t xml:space="preserve">, Y. (2012). Are the Distinctions Drawn in the Debate about End-of-Life Decision Making “Principled”? If Not, How Much Does </w:t>
      </w:r>
      <w:proofErr w:type="gramStart"/>
      <w:r w:rsidRPr="001256EA">
        <w:rPr>
          <w:rFonts w:ascii="Times New Roman" w:hAnsi="Times New Roman" w:cs="Times New Roman"/>
          <w:sz w:val="20"/>
          <w:szCs w:val="20"/>
        </w:rPr>
        <w:t>it</w:t>
      </w:r>
      <w:proofErr w:type="gramEnd"/>
      <w:r w:rsidRPr="001256EA">
        <w:rPr>
          <w:rFonts w:ascii="Times New Roman" w:hAnsi="Times New Roman" w:cs="Times New Roman"/>
          <w:sz w:val="20"/>
          <w:szCs w:val="20"/>
        </w:rPr>
        <w:t xml:space="preserve"> Matter? </w:t>
      </w:r>
      <w:r w:rsidRPr="001256EA">
        <w:rPr>
          <w:rFonts w:ascii="Times New Roman" w:hAnsi="Times New Roman" w:cs="Times New Roman"/>
          <w:i/>
          <w:iCs/>
          <w:sz w:val="20"/>
          <w:szCs w:val="20"/>
        </w:rPr>
        <w:t>Journal of Law, Medicine &amp;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40</w:t>
      </w:r>
      <w:r w:rsidRPr="001256EA">
        <w:rPr>
          <w:rFonts w:ascii="Times New Roman" w:hAnsi="Times New Roman" w:cs="Times New Roman"/>
          <w:sz w:val="20"/>
          <w:szCs w:val="20"/>
        </w:rPr>
        <w:t xml:space="preserve">(1), 66–84. </w:t>
      </w:r>
      <w:hyperlink r:id="rId123" w:history="1">
        <w:r w:rsidR="00405EE8" w:rsidRPr="001256EA">
          <w:rPr>
            <w:rStyle w:val="Hyperlink"/>
            <w:rFonts w:ascii="Times New Roman" w:hAnsi="Times New Roman" w:cs="Times New Roman"/>
            <w:sz w:val="20"/>
            <w:szCs w:val="20"/>
          </w:rPr>
          <w:t>https://doi.org/10.1111/j.1748-720X.2012.00647.x</w:t>
        </w:r>
      </w:hyperlink>
      <w:r w:rsidR="00405EE8" w:rsidRPr="001256EA">
        <w:rPr>
          <w:rFonts w:ascii="Times New Roman" w:hAnsi="Times New Roman" w:cs="Times New Roman"/>
          <w:sz w:val="20"/>
          <w:szCs w:val="20"/>
        </w:rPr>
        <w:t xml:space="preserve"> </w:t>
      </w:r>
    </w:p>
    <w:p w14:paraId="093A3984" w14:textId="47CFDF1E" w:rsidR="00342C72"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lastRenderedPageBreak/>
        <w:t xml:space="preserve">Kamri, A. (2024). Medical Action of Doctors with </w:t>
      </w:r>
      <w:proofErr w:type="spellStart"/>
      <w:r w:rsidRPr="001256EA">
        <w:rPr>
          <w:rFonts w:ascii="Times New Roman" w:hAnsi="Times New Roman" w:cs="Times New Roman"/>
          <w:sz w:val="20"/>
          <w:szCs w:val="20"/>
        </w:rPr>
        <w:t>Euthanasy</w:t>
      </w:r>
      <w:proofErr w:type="spellEnd"/>
      <w:r w:rsidRPr="001256EA">
        <w:rPr>
          <w:rFonts w:ascii="Times New Roman" w:hAnsi="Times New Roman" w:cs="Times New Roman"/>
          <w:sz w:val="20"/>
          <w:szCs w:val="20"/>
        </w:rPr>
        <w:t xml:space="preserve"> </w:t>
      </w:r>
      <w:proofErr w:type="gramStart"/>
      <w:r w:rsidRPr="001256EA">
        <w:rPr>
          <w:rFonts w:ascii="Times New Roman" w:hAnsi="Times New Roman" w:cs="Times New Roman"/>
          <w:sz w:val="20"/>
          <w:szCs w:val="20"/>
        </w:rPr>
        <w:t>From</w:t>
      </w:r>
      <w:proofErr w:type="gramEnd"/>
      <w:r w:rsidRPr="001256EA">
        <w:rPr>
          <w:rFonts w:ascii="Times New Roman" w:hAnsi="Times New Roman" w:cs="Times New Roman"/>
          <w:sz w:val="20"/>
          <w:szCs w:val="20"/>
        </w:rPr>
        <w:t xml:space="preserve"> the Perspective of Criminal Acts on Islamic Law: A Normative Review. </w:t>
      </w:r>
      <w:r w:rsidRPr="001256EA">
        <w:rPr>
          <w:rFonts w:ascii="Times New Roman" w:hAnsi="Times New Roman" w:cs="Times New Roman"/>
          <w:i/>
          <w:iCs/>
          <w:sz w:val="20"/>
          <w:szCs w:val="20"/>
        </w:rPr>
        <w:t>MEDICAL ACTION OF DOCTORS WITH EUTHANASY FROM THE PERSPECTIVE OF CRIMINAL ACTS ON ISLAMIC LAW: A NORMATIVE REVIEW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18</w:t>
      </w:r>
      <w:r w:rsidRPr="001256EA">
        <w:rPr>
          <w:rFonts w:ascii="Times New Roman" w:hAnsi="Times New Roman" w:cs="Times New Roman"/>
          <w:sz w:val="20"/>
          <w:szCs w:val="20"/>
        </w:rPr>
        <w:t xml:space="preserve">(6), 1. </w:t>
      </w:r>
      <w:hyperlink r:id="rId124" w:history="1">
        <w:r w:rsidR="00405EE8" w:rsidRPr="001256EA">
          <w:rPr>
            <w:rStyle w:val="Hyperlink"/>
            <w:rFonts w:ascii="Times New Roman" w:hAnsi="Times New Roman" w:cs="Times New Roman"/>
            <w:sz w:val="20"/>
            <w:szCs w:val="20"/>
          </w:rPr>
          <w:t>https://repository.umi.ac.id/6269/</w:t>
        </w:r>
      </w:hyperlink>
      <w:r w:rsidR="00405EE8" w:rsidRPr="001256EA">
        <w:rPr>
          <w:rFonts w:ascii="Times New Roman" w:hAnsi="Times New Roman" w:cs="Times New Roman"/>
          <w:sz w:val="20"/>
          <w:szCs w:val="20"/>
        </w:rPr>
        <w:t xml:space="preserve"> </w:t>
      </w:r>
    </w:p>
    <w:p w14:paraId="716E6FFA" w14:textId="08B6CC41" w:rsidR="00D0195E" w:rsidRPr="001256EA" w:rsidRDefault="00D0195E"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D0195E">
        <w:rPr>
          <w:rFonts w:ascii="Times New Roman" w:hAnsi="Times New Roman" w:cs="Times New Roman"/>
          <w:sz w:val="20"/>
          <w:szCs w:val="20"/>
          <w:lang w:val="pl-PL"/>
        </w:rPr>
        <w:t>Karakuş</w:t>
      </w:r>
      <w:proofErr w:type="spellEnd"/>
      <w:r w:rsidRPr="00D0195E">
        <w:rPr>
          <w:rFonts w:ascii="Times New Roman" w:hAnsi="Times New Roman" w:cs="Times New Roman"/>
          <w:sz w:val="20"/>
          <w:szCs w:val="20"/>
          <w:lang w:val="pl-PL"/>
        </w:rPr>
        <w:t xml:space="preserve">, N., </w:t>
      </w:r>
      <w:proofErr w:type="spellStart"/>
      <w:r w:rsidRPr="00D0195E">
        <w:rPr>
          <w:rFonts w:ascii="Times New Roman" w:hAnsi="Times New Roman" w:cs="Times New Roman"/>
          <w:sz w:val="20"/>
          <w:szCs w:val="20"/>
          <w:lang w:val="pl-PL"/>
        </w:rPr>
        <w:t>Gedik</w:t>
      </w:r>
      <w:proofErr w:type="spellEnd"/>
      <w:r w:rsidRPr="00D0195E">
        <w:rPr>
          <w:rFonts w:ascii="Times New Roman" w:hAnsi="Times New Roman" w:cs="Times New Roman"/>
          <w:sz w:val="20"/>
          <w:szCs w:val="20"/>
          <w:lang w:val="pl-PL"/>
        </w:rPr>
        <w:t xml:space="preserve">, K., &amp; </w:t>
      </w:r>
      <w:proofErr w:type="spellStart"/>
      <w:r w:rsidRPr="00D0195E">
        <w:rPr>
          <w:rFonts w:ascii="Times New Roman" w:hAnsi="Times New Roman" w:cs="Times New Roman"/>
          <w:sz w:val="20"/>
          <w:szCs w:val="20"/>
          <w:lang w:val="pl-PL"/>
        </w:rPr>
        <w:t>Kazazoğlu</w:t>
      </w:r>
      <w:proofErr w:type="spellEnd"/>
      <w:r w:rsidRPr="00D0195E">
        <w:rPr>
          <w:rFonts w:ascii="Times New Roman" w:hAnsi="Times New Roman" w:cs="Times New Roman"/>
          <w:sz w:val="20"/>
          <w:szCs w:val="20"/>
          <w:lang w:val="pl-PL"/>
        </w:rPr>
        <w:t xml:space="preserve">, S. (2025). </w:t>
      </w:r>
      <w:r w:rsidRPr="00D0195E">
        <w:rPr>
          <w:rFonts w:ascii="Times New Roman" w:hAnsi="Times New Roman" w:cs="Times New Roman"/>
          <w:sz w:val="20"/>
          <w:szCs w:val="20"/>
        </w:rPr>
        <w:t>Ethical decision-making in education: A comparative study of teachers and artificial intelligence in ethical dilemmas. Behavioral Sciences, 15(4), 469. https://doi.org/10.3390/bs15040469</w:t>
      </w:r>
    </w:p>
    <w:p w14:paraId="19BD4556" w14:textId="04C23AA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Kayacan</w:t>
      </w:r>
      <w:proofErr w:type="spellEnd"/>
      <w:r w:rsidRPr="001256EA">
        <w:rPr>
          <w:rFonts w:ascii="Times New Roman" w:hAnsi="Times New Roman" w:cs="Times New Roman"/>
          <w:sz w:val="20"/>
          <w:szCs w:val="20"/>
        </w:rPr>
        <w:t xml:space="preserve">, D. N. (2022). The Right to Die in Practice. In D. N. </w:t>
      </w:r>
      <w:proofErr w:type="spellStart"/>
      <w:r w:rsidRPr="001256EA">
        <w:rPr>
          <w:rFonts w:ascii="Times New Roman" w:hAnsi="Times New Roman" w:cs="Times New Roman"/>
          <w:sz w:val="20"/>
          <w:szCs w:val="20"/>
        </w:rPr>
        <w:t>Kayacan</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The Right to Die with Dignity</w:t>
      </w:r>
      <w:r w:rsidRPr="001256EA">
        <w:rPr>
          <w:rFonts w:ascii="Times New Roman" w:hAnsi="Times New Roman" w:cs="Times New Roman"/>
          <w:sz w:val="20"/>
          <w:szCs w:val="20"/>
        </w:rPr>
        <w:t xml:space="preserve"> (Vol. 6, pp. 11–164). Springer International Publishing. </w:t>
      </w:r>
      <w:hyperlink r:id="rId125" w:history="1">
        <w:r w:rsidR="00405EE8" w:rsidRPr="001256EA">
          <w:rPr>
            <w:rStyle w:val="Hyperlink"/>
            <w:rFonts w:ascii="Times New Roman" w:hAnsi="Times New Roman" w:cs="Times New Roman"/>
            <w:sz w:val="20"/>
            <w:szCs w:val="20"/>
          </w:rPr>
          <w:t>https://doi.org/10.1007/978-3-031-04516-5_3</w:t>
        </w:r>
      </w:hyperlink>
      <w:r w:rsidR="00405EE8" w:rsidRPr="001256EA">
        <w:rPr>
          <w:rFonts w:ascii="Times New Roman" w:hAnsi="Times New Roman" w:cs="Times New Roman"/>
          <w:sz w:val="20"/>
          <w:szCs w:val="20"/>
        </w:rPr>
        <w:t xml:space="preserve"> </w:t>
      </w:r>
    </w:p>
    <w:p w14:paraId="0D19B98E" w14:textId="2FCDEF7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Kemp, N. D. (2002). </w:t>
      </w:r>
      <w:r w:rsidRPr="001256EA">
        <w:rPr>
          <w:rFonts w:ascii="Times New Roman" w:hAnsi="Times New Roman" w:cs="Times New Roman"/>
          <w:i/>
          <w:iCs/>
          <w:sz w:val="20"/>
          <w:szCs w:val="20"/>
        </w:rPr>
        <w:t>Merciful release: The history of the British euthanasia movement</w:t>
      </w:r>
      <w:r w:rsidRPr="001256EA">
        <w:rPr>
          <w:rFonts w:ascii="Times New Roman" w:hAnsi="Times New Roman" w:cs="Times New Roman"/>
          <w:sz w:val="20"/>
          <w:szCs w:val="20"/>
        </w:rPr>
        <w:t xml:space="preserve">. Manchester University Press. </w:t>
      </w:r>
      <w:hyperlink r:id="rId126" w:history="1">
        <w:r w:rsidR="00405EE8" w:rsidRPr="001256EA">
          <w:rPr>
            <w:rStyle w:val="Hyperlink"/>
            <w:rFonts w:ascii="Times New Roman" w:hAnsi="Times New Roman" w:cs="Times New Roman"/>
            <w:sz w:val="20"/>
            <w:szCs w:val="20"/>
          </w:rPr>
          <w:t>https://books.google.com/books?hl=en&amp;lr=&amp;id=6cHD2swgbUcC&amp;oi=fnd&amp;pg=PR6&amp;dq=The+concept+of+euthanasia,+as+a+merciful+release&amp;ots=MWBINJyHYx&amp;sig=CDaQwG53XZJIqemzZ7MNtfu-Lyg</w:t>
        </w:r>
      </w:hyperlink>
      <w:r w:rsidR="00405EE8" w:rsidRPr="001256EA">
        <w:rPr>
          <w:rFonts w:ascii="Times New Roman" w:hAnsi="Times New Roman" w:cs="Times New Roman"/>
          <w:sz w:val="20"/>
          <w:szCs w:val="20"/>
        </w:rPr>
        <w:t xml:space="preserve"> </w:t>
      </w:r>
    </w:p>
    <w:p w14:paraId="2EF030BD" w14:textId="5E37442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Keown, J. (2018). </w:t>
      </w:r>
      <w:r w:rsidRPr="001256EA">
        <w:rPr>
          <w:rFonts w:ascii="Times New Roman" w:hAnsi="Times New Roman" w:cs="Times New Roman"/>
          <w:i/>
          <w:iCs/>
          <w:sz w:val="20"/>
          <w:szCs w:val="20"/>
        </w:rPr>
        <w:t xml:space="preserve">Euthanasia, ethics and public policy: An argument against </w:t>
      </w:r>
      <w:proofErr w:type="spellStart"/>
      <w:r w:rsidRPr="001256EA">
        <w:rPr>
          <w:rFonts w:ascii="Times New Roman" w:hAnsi="Times New Roman" w:cs="Times New Roman"/>
          <w:i/>
          <w:iCs/>
          <w:sz w:val="20"/>
          <w:szCs w:val="20"/>
        </w:rPr>
        <w:t>legalisation</w:t>
      </w:r>
      <w:proofErr w:type="spellEnd"/>
      <w:r w:rsidRPr="001256EA">
        <w:rPr>
          <w:rFonts w:ascii="Times New Roman" w:hAnsi="Times New Roman" w:cs="Times New Roman"/>
          <w:sz w:val="20"/>
          <w:szCs w:val="20"/>
        </w:rPr>
        <w:t xml:space="preserve">. Cambridge University Press. </w:t>
      </w:r>
      <w:hyperlink r:id="rId127" w:history="1">
        <w:r w:rsidR="00405EE8" w:rsidRPr="001256EA">
          <w:rPr>
            <w:rStyle w:val="Hyperlink"/>
            <w:rFonts w:ascii="Times New Roman" w:hAnsi="Times New Roman" w:cs="Times New Roman"/>
            <w:sz w:val="20"/>
            <w:szCs w:val="20"/>
          </w:rPr>
          <w:t>https://books.google.com/books?hl=en&amp;lr=&amp;id=2r9tDwAAQBAJ&amp;oi=fnd&amp;pg=PR9&amp;dq=Keown,+J.+(2018).+Euthanasia,+ethics+and+public+policy:+an+argument+against+legalisation.+Cambridge+University+Press.&amp;ots=_hMRY4rBoD&amp;sig=BjW1wJ-IjWOmt6D4eEl_HU-LkOw</w:t>
        </w:r>
      </w:hyperlink>
      <w:r w:rsidR="00405EE8" w:rsidRPr="001256EA">
        <w:rPr>
          <w:rFonts w:ascii="Times New Roman" w:hAnsi="Times New Roman" w:cs="Times New Roman"/>
          <w:sz w:val="20"/>
          <w:szCs w:val="20"/>
        </w:rPr>
        <w:t xml:space="preserve"> </w:t>
      </w:r>
    </w:p>
    <w:p w14:paraId="4F8A8652" w14:textId="59B6D11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Kimsma</w:t>
      </w:r>
      <w:proofErr w:type="spellEnd"/>
      <w:r w:rsidRPr="001256EA">
        <w:rPr>
          <w:rFonts w:ascii="Times New Roman" w:hAnsi="Times New Roman" w:cs="Times New Roman"/>
          <w:sz w:val="20"/>
          <w:szCs w:val="20"/>
        </w:rPr>
        <w:t xml:space="preserve">, G. K. (2010). Death by request in The Netherlands: Facts, the legal context and effects on physicians, patients and families. </w:t>
      </w:r>
      <w:r w:rsidRPr="001256EA">
        <w:rPr>
          <w:rFonts w:ascii="Times New Roman" w:hAnsi="Times New Roman" w:cs="Times New Roman"/>
          <w:i/>
          <w:iCs/>
          <w:sz w:val="20"/>
          <w:szCs w:val="20"/>
        </w:rPr>
        <w:t>Medicine, Health Care and Philosophy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(4), 355–361. </w:t>
      </w:r>
      <w:hyperlink r:id="rId128" w:history="1">
        <w:r w:rsidR="00405EE8" w:rsidRPr="001256EA">
          <w:rPr>
            <w:rStyle w:val="Hyperlink"/>
            <w:rFonts w:ascii="Times New Roman" w:hAnsi="Times New Roman" w:cs="Times New Roman"/>
            <w:sz w:val="20"/>
            <w:szCs w:val="20"/>
          </w:rPr>
          <w:t>https://doi.org/10.1007/s11019-010-9265-0</w:t>
        </w:r>
      </w:hyperlink>
      <w:r w:rsidR="00405EE8" w:rsidRPr="001256EA">
        <w:rPr>
          <w:rFonts w:ascii="Times New Roman" w:hAnsi="Times New Roman" w:cs="Times New Roman"/>
          <w:sz w:val="20"/>
          <w:szCs w:val="20"/>
        </w:rPr>
        <w:t xml:space="preserve"> </w:t>
      </w:r>
    </w:p>
    <w:p w14:paraId="104FD275" w14:textId="05EEDF2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Klampfer, F. (2019). Euthanasia Laws, Slippery Slopes, and (Un) Reasonable Precaution. </w:t>
      </w:r>
      <w:r w:rsidRPr="001256EA">
        <w:rPr>
          <w:rFonts w:ascii="Times New Roman" w:hAnsi="Times New Roman" w:cs="Times New Roman"/>
          <w:i/>
          <w:iCs/>
          <w:sz w:val="20"/>
          <w:szCs w:val="20"/>
        </w:rPr>
        <w:t xml:space="preserve">Prolegomena: </w:t>
      </w:r>
      <w:proofErr w:type="spellStart"/>
      <w:r w:rsidRPr="001256EA">
        <w:rPr>
          <w:rFonts w:ascii="Times New Roman" w:hAnsi="Times New Roman" w:cs="Times New Roman"/>
          <w:i/>
          <w:iCs/>
          <w:sz w:val="20"/>
          <w:szCs w:val="20"/>
        </w:rPr>
        <w:t>Časopis</w:t>
      </w:r>
      <w:proofErr w:type="spellEnd"/>
      <w:r w:rsidRPr="001256EA">
        <w:rPr>
          <w:rFonts w:ascii="Times New Roman" w:hAnsi="Times New Roman" w:cs="Times New Roman"/>
          <w:i/>
          <w:iCs/>
          <w:sz w:val="20"/>
          <w:szCs w:val="20"/>
        </w:rPr>
        <w:t xml:space="preserve"> Za </w:t>
      </w:r>
      <w:proofErr w:type="spellStart"/>
      <w:r w:rsidRPr="001256EA">
        <w:rPr>
          <w:rFonts w:ascii="Times New Roman" w:hAnsi="Times New Roman" w:cs="Times New Roman"/>
          <w:i/>
          <w:iCs/>
          <w:sz w:val="20"/>
          <w:szCs w:val="20"/>
        </w:rPr>
        <w:t>Filozofiju</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18</w:t>
      </w:r>
      <w:r w:rsidRPr="001256EA">
        <w:rPr>
          <w:rFonts w:ascii="Times New Roman" w:hAnsi="Times New Roman" w:cs="Times New Roman"/>
          <w:sz w:val="20"/>
          <w:szCs w:val="20"/>
        </w:rPr>
        <w:t xml:space="preserve">(2), 121–147. </w:t>
      </w:r>
      <w:hyperlink r:id="rId129" w:history="1">
        <w:r w:rsidR="00405EE8" w:rsidRPr="001256EA">
          <w:rPr>
            <w:rStyle w:val="Hyperlink"/>
            <w:rFonts w:ascii="Times New Roman" w:hAnsi="Times New Roman" w:cs="Times New Roman"/>
            <w:sz w:val="20"/>
            <w:szCs w:val="20"/>
          </w:rPr>
          <w:t>https://hrcak.srce.hr/237864</w:t>
        </w:r>
      </w:hyperlink>
      <w:r w:rsidR="00405EE8" w:rsidRPr="001256EA">
        <w:rPr>
          <w:rFonts w:ascii="Times New Roman" w:hAnsi="Times New Roman" w:cs="Times New Roman"/>
          <w:sz w:val="20"/>
          <w:szCs w:val="20"/>
        </w:rPr>
        <w:t xml:space="preserve"> </w:t>
      </w:r>
    </w:p>
    <w:p w14:paraId="0E06232E" w14:textId="1CCB149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Kovačević, D. (2023). Euthanasia in the practice of the European Court of Human Rights. </w:t>
      </w:r>
      <w:proofErr w:type="spellStart"/>
      <w:r w:rsidRPr="001256EA">
        <w:rPr>
          <w:rFonts w:ascii="Times New Roman" w:hAnsi="Times New Roman" w:cs="Times New Roman"/>
          <w:i/>
          <w:iCs/>
          <w:sz w:val="20"/>
          <w:szCs w:val="20"/>
        </w:rPr>
        <w:t>Анали</w:t>
      </w:r>
      <w:proofErr w:type="spellEnd"/>
      <w:r w:rsidRPr="001256EA">
        <w:rPr>
          <w:rFonts w:ascii="Times New Roman" w:hAnsi="Times New Roman" w:cs="Times New Roman"/>
          <w:i/>
          <w:iCs/>
          <w:sz w:val="20"/>
          <w:szCs w:val="20"/>
        </w:rPr>
        <w:t xml:space="preserve"> </w:t>
      </w:r>
      <w:proofErr w:type="spellStart"/>
      <w:r w:rsidRPr="001256EA">
        <w:rPr>
          <w:rFonts w:ascii="Times New Roman" w:hAnsi="Times New Roman" w:cs="Times New Roman"/>
          <w:i/>
          <w:iCs/>
          <w:sz w:val="20"/>
          <w:szCs w:val="20"/>
        </w:rPr>
        <w:t>Правног</w:t>
      </w:r>
      <w:proofErr w:type="spellEnd"/>
      <w:r w:rsidRPr="001256EA">
        <w:rPr>
          <w:rFonts w:ascii="Times New Roman" w:hAnsi="Times New Roman" w:cs="Times New Roman"/>
          <w:i/>
          <w:iCs/>
          <w:sz w:val="20"/>
          <w:szCs w:val="20"/>
        </w:rPr>
        <w:t xml:space="preserve"> </w:t>
      </w:r>
      <w:proofErr w:type="spellStart"/>
      <w:r w:rsidRPr="001256EA">
        <w:rPr>
          <w:rFonts w:ascii="Times New Roman" w:hAnsi="Times New Roman" w:cs="Times New Roman"/>
          <w:i/>
          <w:iCs/>
          <w:sz w:val="20"/>
          <w:szCs w:val="20"/>
        </w:rPr>
        <w:t>Факултета</w:t>
      </w:r>
      <w:proofErr w:type="spellEnd"/>
      <w:r w:rsidRPr="001256EA">
        <w:rPr>
          <w:rFonts w:ascii="Times New Roman" w:hAnsi="Times New Roman" w:cs="Times New Roman"/>
          <w:i/>
          <w:iCs/>
          <w:sz w:val="20"/>
          <w:szCs w:val="20"/>
        </w:rPr>
        <w:t xml:space="preserve"> у </w:t>
      </w:r>
      <w:proofErr w:type="spellStart"/>
      <w:r w:rsidRPr="001256EA">
        <w:rPr>
          <w:rFonts w:ascii="Times New Roman" w:hAnsi="Times New Roman" w:cs="Times New Roman"/>
          <w:i/>
          <w:iCs/>
          <w:sz w:val="20"/>
          <w:szCs w:val="20"/>
        </w:rPr>
        <w:t>Београду</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71</w:t>
      </w:r>
      <w:r w:rsidRPr="001256EA">
        <w:rPr>
          <w:rFonts w:ascii="Times New Roman" w:hAnsi="Times New Roman" w:cs="Times New Roman"/>
          <w:sz w:val="20"/>
          <w:szCs w:val="20"/>
        </w:rPr>
        <w:t xml:space="preserve">(2), 233–250. </w:t>
      </w:r>
      <w:hyperlink r:id="rId130" w:history="1">
        <w:r w:rsidR="00405EE8" w:rsidRPr="001256EA">
          <w:rPr>
            <w:rStyle w:val="Hyperlink"/>
            <w:rFonts w:ascii="Times New Roman" w:hAnsi="Times New Roman" w:cs="Times New Roman"/>
            <w:sz w:val="20"/>
            <w:szCs w:val="20"/>
          </w:rPr>
          <w:t>https://www.ceeol.com/search/article-detail?id=1131037</w:t>
        </w:r>
      </w:hyperlink>
      <w:r w:rsidR="00405EE8" w:rsidRPr="001256EA">
        <w:rPr>
          <w:rFonts w:ascii="Times New Roman" w:hAnsi="Times New Roman" w:cs="Times New Roman"/>
          <w:sz w:val="20"/>
          <w:szCs w:val="20"/>
        </w:rPr>
        <w:t xml:space="preserve"> </w:t>
      </w:r>
    </w:p>
    <w:p w14:paraId="1C80527C" w14:textId="0CCE83F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Kure, J. (2011). Good death within its historical context and as a contemporary challenge: A philosophical clarification of the concept of “euthanasia.” </w:t>
      </w:r>
      <w:r w:rsidRPr="001256EA">
        <w:rPr>
          <w:rFonts w:ascii="Times New Roman" w:hAnsi="Times New Roman" w:cs="Times New Roman"/>
          <w:i/>
          <w:iCs/>
          <w:sz w:val="20"/>
          <w:szCs w:val="20"/>
        </w:rPr>
        <w:t xml:space="preserve">Euthanasia: The “Good Death” Controversy in Humans and Animals. </w:t>
      </w:r>
      <w:proofErr w:type="spellStart"/>
      <w:r w:rsidRPr="001256EA">
        <w:rPr>
          <w:rFonts w:ascii="Times New Roman" w:hAnsi="Times New Roman" w:cs="Times New Roman"/>
          <w:i/>
          <w:iCs/>
          <w:sz w:val="20"/>
          <w:szCs w:val="20"/>
        </w:rPr>
        <w:t>BoD</w:t>
      </w:r>
      <w:proofErr w:type="spellEnd"/>
      <w:r w:rsidRPr="001256EA">
        <w:rPr>
          <w:rFonts w:ascii="Times New Roman" w:hAnsi="Times New Roman" w:cs="Times New Roman"/>
          <w:i/>
          <w:iCs/>
          <w:sz w:val="20"/>
          <w:szCs w:val="20"/>
        </w:rPr>
        <w:t>-Books on Demand</w:t>
      </w:r>
      <w:r w:rsidRPr="001256EA">
        <w:rPr>
          <w:rFonts w:ascii="Times New Roman" w:hAnsi="Times New Roman" w:cs="Times New Roman"/>
          <w:sz w:val="20"/>
          <w:szCs w:val="20"/>
        </w:rPr>
        <w:t xml:space="preserve">, 3–44. </w:t>
      </w:r>
      <w:hyperlink r:id="rId131" w:history="1">
        <w:r w:rsidR="00405EE8" w:rsidRPr="001256EA">
          <w:rPr>
            <w:rStyle w:val="Hyperlink"/>
            <w:rFonts w:ascii="Times New Roman" w:hAnsi="Times New Roman" w:cs="Times New Roman"/>
            <w:sz w:val="20"/>
            <w:szCs w:val="20"/>
          </w:rPr>
          <w:t>https://pdfs.semanticscholar.org/11e2/3c13aaf9165f6eedb520750e79fcef6f714d.pdf</w:t>
        </w:r>
      </w:hyperlink>
      <w:r w:rsidR="00405EE8" w:rsidRPr="001256EA">
        <w:rPr>
          <w:rFonts w:ascii="Times New Roman" w:hAnsi="Times New Roman" w:cs="Times New Roman"/>
          <w:sz w:val="20"/>
          <w:szCs w:val="20"/>
        </w:rPr>
        <w:t xml:space="preserve"> </w:t>
      </w:r>
    </w:p>
    <w:p w14:paraId="26966020" w14:textId="0100D55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Lee, D. D., &amp; Seung, H. S. (1999). </w:t>
      </w:r>
      <w:r w:rsidRPr="001256EA">
        <w:rPr>
          <w:rFonts w:ascii="Times New Roman" w:hAnsi="Times New Roman" w:cs="Times New Roman"/>
          <w:sz w:val="20"/>
          <w:szCs w:val="20"/>
        </w:rPr>
        <w:t xml:space="preserve">Learning the parts of objects by non-negative matrix factorization. </w:t>
      </w:r>
      <w:r w:rsidRPr="001256EA">
        <w:rPr>
          <w:rFonts w:ascii="Times New Roman" w:hAnsi="Times New Roman" w:cs="Times New Roman"/>
          <w:i/>
          <w:iCs/>
          <w:sz w:val="20"/>
          <w:szCs w:val="20"/>
        </w:rPr>
        <w:t>Nature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401</w:t>
      </w:r>
      <w:r w:rsidRPr="001256EA">
        <w:rPr>
          <w:rFonts w:ascii="Times New Roman" w:hAnsi="Times New Roman" w:cs="Times New Roman"/>
          <w:sz w:val="20"/>
          <w:szCs w:val="20"/>
        </w:rPr>
        <w:t>(6755), 788–791.</w:t>
      </w:r>
      <w:r w:rsidR="00405EE8" w:rsidRPr="001256EA">
        <w:rPr>
          <w:rFonts w:ascii="Times New Roman" w:hAnsi="Times New Roman" w:cs="Times New Roman"/>
          <w:sz w:val="20"/>
          <w:szCs w:val="20"/>
        </w:rPr>
        <w:t xml:space="preserve"> </w:t>
      </w:r>
      <w:hyperlink r:id="rId132" w:history="1">
        <w:r w:rsidR="00405EE8" w:rsidRPr="001256EA">
          <w:rPr>
            <w:rStyle w:val="Hyperlink"/>
            <w:rFonts w:ascii="Times New Roman" w:hAnsi="Times New Roman" w:cs="Times New Roman"/>
            <w:sz w:val="20"/>
            <w:szCs w:val="20"/>
          </w:rPr>
          <w:t>https://doi.org/10.1038/44565</w:t>
        </w:r>
      </w:hyperlink>
      <w:r w:rsidR="00405EE8" w:rsidRPr="001256EA">
        <w:rPr>
          <w:rFonts w:ascii="Times New Roman" w:hAnsi="Times New Roman" w:cs="Times New Roman"/>
          <w:sz w:val="20"/>
          <w:szCs w:val="20"/>
        </w:rPr>
        <w:t xml:space="preserve"> </w:t>
      </w:r>
    </w:p>
    <w:p w14:paraId="75B543B3" w14:textId="2EC45DA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Leigh, C. (1983). </w:t>
      </w:r>
      <w:r w:rsidRPr="001256EA">
        <w:rPr>
          <w:rFonts w:ascii="Times New Roman" w:hAnsi="Times New Roman" w:cs="Times New Roman"/>
          <w:i/>
          <w:iCs/>
          <w:sz w:val="20"/>
          <w:szCs w:val="20"/>
        </w:rPr>
        <w:t>Dying in an age of technology: An evaluation of terminal care technology and its alternatives</w:t>
      </w:r>
      <w:r w:rsidRPr="001256EA">
        <w:rPr>
          <w:rFonts w:ascii="Times New Roman" w:hAnsi="Times New Roman" w:cs="Times New Roman"/>
          <w:sz w:val="20"/>
          <w:szCs w:val="20"/>
        </w:rPr>
        <w:t xml:space="preserve"> [PhD Thesis, University of Wollongong]. </w:t>
      </w:r>
      <w:hyperlink r:id="rId133" w:history="1">
        <w:r w:rsidR="00405EE8" w:rsidRPr="001256EA">
          <w:rPr>
            <w:rStyle w:val="Hyperlink"/>
            <w:rFonts w:ascii="Times New Roman" w:hAnsi="Times New Roman" w:cs="Times New Roman"/>
            <w:sz w:val="20"/>
            <w:szCs w:val="20"/>
          </w:rPr>
          <w:t>https://ro.uow.edu.au/ndownloader/files/50351955/1</w:t>
        </w:r>
      </w:hyperlink>
      <w:r w:rsidR="00405EE8" w:rsidRPr="001256EA">
        <w:rPr>
          <w:rFonts w:ascii="Times New Roman" w:hAnsi="Times New Roman" w:cs="Times New Roman"/>
          <w:sz w:val="20"/>
          <w:szCs w:val="20"/>
        </w:rPr>
        <w:t xml:space="preserve"> </w:t>
      </w:r>
    </w:p>
    <w:p w14:paraId="45F31926" w14:textId="357190F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Lemmens, T. (2023). When Death Becomes Therapy: Canada’s Troubling Normalization of Health Care Provider Ending of Life. </w:t>
      </w:r>
      <w:r w:rsidRPr="001256EA">
        <w:rPr>
          <w:rFonts w:ascii="Times New Roman" w:hAnsi="Times New Roman" w:cs="Times New Roman"/>
          <w:i/>
          <w:iCs/>
          <w:sz w:val="20"/>
          <w:szCs w:val="20"/>
        </w:rPr>
        <w:t>The American Journal of Bioethics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23</w:t>
      </w:r>
      <w:r w:rsidRPr="001256EA">
        <w:rPr>
          <w:rFonts w:ascii="Times New Roman" w:hAnsi="Times New Roman" w:cs="Times New Roman"/>
          <w:sz w:val="20"/>
          <w:szCs w:val="20"/>
        </w:rPr>
        <w:t xml:space="preserve">(11), 79–84. </w:t>
      </w:r>
      <w:hyperlink r:id="rId134" w:history="1">
        <w:r w:rsidR="00405EE8" w:rsidRPr="001256EA">
          <w:rPr>
            <w:rStyle w:val="Hyperlink"/>
            <w:rFonts w:ascii="Times New Roman" w:hAnsi="Times New Roman" w:cs="Times New Roman"/>
            <w:sz w:val="20"/>
            <w:szCs w:val="20"/>
          </w:rPr>
          <w:t>https://doi.org/10.1080/15265161.2023.2265265</w:t>
        </w:r>
      </w:hyperlink>
      <w:r w:rsidR="00405EE8" w:rsidRPr="001256EA">
        <w:rPr>
          <w:rFonts w:ascii="Times New Roman" w:hAnsi="Times New Roman" w:cs="Times New Roman"/>
          <w:sz w:val="20"/>
          <w:szCs w:val="20"/>
        </w:rPr>
        <w:t xml:space="preserve"> </w:t>
      </w:r>
    </w:p>
    <w:p w14:paraId="3C67BC2B" w14:textId="297B41F6" w:rsidR="00342C72" w:rsidRPr="001256EA" w:rsidRDefault="00342C72" w:rsidP="006D2836">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pl-PL"/>
        </w:rPr>
        <w:t>Leppert</w:t>
      </w:r>
      <w:proofErr w:type="spellEnd"/>
      <w:r w:rsidRPr="001256EA">
        <w:rPr>
          <w:rFonts w:ascii="Times New Roman" w:hAnsi="Times New Roman" w:cs="Times New Roman"/>
          <w:sz w:val="20"/>
          <w:szCs w:val="20"/>
          <w:lang w:val="pl-PL"/>
        </w:rPr>
        <w:t xml:space="preserve">, W., Gottwald, L., </w:t>
      </w:r>
      <w:proofErr w:type="spellStart"/>
      <w:r w:rsidRPr="001256EA">
        <w:rPr>
          <w:rFonts w:ascii="Times New Roman" w:hAnsi="Times New Roman" w:cs="Times New Roman"/>
          <w:sz w:val="20"/>
          <w:szCs w:val="20"/>
          <w:lang w:val="pl-PL"/>
        </w:rPr>
        <w:t>Majkowicz</w:t>
      </w:r>
      <w:proofErr w:type="spellEnd"/>
      <w:r w:rsidRPr="001256EA">
        <w:rPr>
          <w:rFonts w:ascii="Times New Roman" w:hAnsi="Times New Roman" w:cs="Times New Roman"/>
          <w:sz w:val="20"/>
          <w:szCs w:val="20"/>
          <w:lang w:val="pl-PL"/>
        </w:rPr>
        <w:t xml:space="preserve">, M., </w:t>
      </w:r>
      <w:proofErr w:type="spellStart"/>
      <w:r w:rsidRPr="001256EA">
        <w:rPr>
          <w:rFonts w:ascii="Times New Roman" w:hAnsi="Times New Roman" w:cs="Times New Roman"/>
          <w:sz w:val="20"/>
          <w:szCs w:val="20"/>
          <w:lang w:val="pl-PL"/>
        </w:rPr>
        <w:t>Kazmierczak-Lukaszewicz</w:t>
      </w:r>
      <w:proofErr w:type="spellEnd"/>
      <w:r w:rsidRPr="001256EA">
        <w:rPr>
          <w:rFonts w:ascii="Times New Roman" w:hAnsi="Times New Roman" w:cs="Times New Roman"/>
          <w:sz w:val="20"/>
          <w:szCs w:val="20"/>
          <w:lang w:val="pl-PL"/>
        </w:rPr>
        <w:t xml:space="preserve">, S., </w:t>
      </w:r>
      <w:proofErr w:type="spellStart"/>
      <w:r w:rsidRPr="001256EA">
        <w:rPr>
          <w:rFonts w:ascii="Times New Roman" w:hAnsi="Times New Roman" w:cs="Times New Roman"/>
          <w:sz w:val="20"/>
          <w:szCs w:val="20"/>
          <w:lang w:val="pl-PL"/>
        </w:rPr>
        <w:t>Forycka</w:t>
      </w:r>
      <w:proofErr w:type="spellEnd"/>
      <w:r w:rsidRPr="001256EA">
        <w:rPr>
          <w:rFonts w:ascii="Times New Roman" w:hAnsi="Times New Roman" w:cs="Times New Roman"/>
          <w:sz w:val="20"/>
          <w:szCs w:val="20"/>
          <w:lang w:val="pl-PL"/>
        </w:rPr>
        <w:t xml:space="preserve">, M., </w:t>
      </w:r>
      <w:proofErr w:type="spellStart"/>
      <w:r w:rsidRPr="001256EA">
        <w:rPr>
          <w:rFonts w:ascii="Times New Roman" w:hAnsi="Times New Roman" w:cs="Times New Roman"/>
          <w:sz w:val="20"/>
          <w:szCs w:val="20"/>
          <w:lang w:val="pl-PL"/>
        </w:rPr>
        <w:t>Cialkowska-Rysz</w:t>
      </w:r>
      <w:proofErr w:type="spellEnd"/>
      <w:r w:rsidRPr="001256EA">
        <w:rPr>
          <w:rFonts w:ascii="Times New Roman" w:hAnsi="Times New Roman" w:cs="Times New Roman"/>
          <w:sz w:val="20"/>
          <w:szCs w:val="20"/>
          <w:lang w:val="pl-PL"/>
        </w:rPr>
        <w:t xml:space="preserve">, A., &amp; </w:t>
      </w:r>
      <w:proofErr w:type="spellStart"/>
      <w:r w:rsidRPr="001256EA">
        <w:rPr>
          <w:rFonts w:ascii="Times New Roman" w:hAnsi="Times New Roman" w:cs="Times New Roman"/>
          <w:sz w:val="20"/>
          <w:szCs w:val="20"/>
          <w:lang w:val="pl-PL"/>
        </w:rPr>
        <w:t>Kotlinska</w:t>
      </w:r>
      <w:proofErr w:type="spellEnd"/>
      <w:r w:rsidRPr="001256EA">
        <w:rPr>
          <w:rFonts w:ascii="Times New Roman" w:hAnsi="Times New Roman" w:cs="Times New Roman"/>
          <w:sz w:val="20"/>
          <w:szCs w:val="20"/>
          <w:lang w:val="pl-PL"/>
        </w:rPr>
        <w:t xml:space="preserve">-Lemieszek, A. (2013). </w:t>
      </w:r>
      <w:r w:rsidRPr="001256EA">
        <w:rPr>
          <w:rFonts w:ascii="Times New Roman" w:hAnsi="Times New Roman" w:cs="Times New Roman"/>
          <w:sz w:val="20"/>
          <w:szCs w:val="20"/>
        </w:rPr>
        <w:t xml:space="preserve">A Comparison of Attitudes Toward Euthanasia Among Medical Students at Two Polish Universities. </w:t>
      </w:r>
      <w:r w:rsidRPr="001256EA">
        <w:rPr>
          <w:rFonts w:ascii="Times New Roman" w:hAnsi="Times New Roman" w:cs="Times New Roman"/>
          <w:i/>
          <w:iCs/>
          <w:sz w:val="20"/>
          <w:szCs w:val="20"/>
        </w:rPr>
        <w:t>Journal of Cancer Education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28</w:t>
      </w:r>
      <w:r w:rsidRPr="001256EA">
        <w:rPr>
          <w:rFonts w:ascii="Times New Roman" w:hAnsi="Times New Roman" w:cs="Times New Roman"/>
          <w:sz w:val="20"/>
          <w:szCs w:val="20"/>
        </w:rPr>
        <w:t xml:space="preserve">(2), 384–391. </w:t>
      </w:r>
      <w:hyperlink r:id="rId135" w:history="1">
        <w:r w:rsidR="00405EE8" w:rsidRPr="001256EA">
          <w:rPr>
            <w:rStyle w:val="Hyperlink"/>
            <w:rFonts w:ascii="Times New Roman" w:hAnsi="Times New Roman" w:cs="Times New Roman"/>
            <w:sz w:val="20"/>
            <w:szCs w:val="20"/>
          </w:rPr>
          <w:t>https://doi.org/10.1007/s13187-012-0414-4</w:t>
        </w:r>
      </w:hyperlink>
    </w:p>
    <w:p w14:paraId="72AA8D6B" w14:textId="6B622B1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Li, H., &amp; Liu, W. (2020). Same </w:t>
      </w:r>
      <w:proofErr w:type="spellStart"/>
      <w:r w:rsidRPr="001256EA">
        <w:rPr>
          <w:rFonts w:ascii="Times New Roman" w:hAnsi="Times New Roman" w:cs="Times New Roman"/>
          <w:sz w:val="20"/>
          <w:szCs w:val="20"/>
        </w:rPr>
        <w:t>same</w:t>
      </w:r>
      <w:proofErr w:type="spellEnd"/>
      <w:r w:rsidRPr="001256EA">
        <w:rPr>
          <w:rFonts w:ascii="Times New Roman" w:hAnsi="Times New Roman" w:cs="Times New Roman"/>
          <w:sz w:val="20"/>
          <w:szCs w:val="20"/>
        </w:rPr>
        <w:t xml:space="preserve"> but different: Self-citations identified through Scopus and Web of Science Core Collection.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124</w:t>
      </w:r>
      <w:r w:rsidRPr="001256EA">
        <w:rPr>
          <w:rFonts w:ascii="Times New Roman" w:hAnsi="Times New Roman" w:cs="Times New Roman"/>
          <w:sz w:val="20"/>
          <w:szCs w:val="20"/>
        </w:rPr>
        <w:t xml:space="preserve">(3), 2723–2732. </w:t>
      </w:r>
      <w:hyperlink r:id="rId136" w:history="1">
        <w:r w:rsidR="00405EE8" w:rsidRPr="001256EA">
          <w:rPr>
            <w:rStyle w:val="Hyperlink"/>
            <w:rFonts w:ascii="Times New Roman" w:hAnsi="Times New Roman" w:cs="Times New Roman"/>
            <w:sz w:val="20"/>
            <w:szCs w:val="20"/>
          </w:rPr>
          <w:t>https://doi.org/10.1007/s11192-020-03573-8</w:t>
        </w:r>
      </w:hyperlink>
      <w:r w:rsidR="00405EE8" w:rsidRPr="001256EA">
        <w:rPr>
          <w:rFonts w:ascii="Times New Roman" w:hAnsi="Times New Roman" w:cs="Times New Roman"/>
          <w:sz w:val="20"/>
          <w:szCs w:val="20"/>
        </w:rPr>
        <w:t xml:space="preserve"> </w:t>
      </w:r>
    </w:p>
    <w:p w14:paraId="14002CDF" w14:textId="29C5E0D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Liu, W. (2019). The data source of this study is Web of Science Core Collection? Not enough.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121</w:t>
      </w:r>
      <w:r w:rsidRPr="001256EA">
        <w:rPr>
          <w:rFonts w:ascii="Times New Roman" w:hAnsi="Times New Roman" w:cs="Times New Roman"/>
          <w:sz w:val="20"/>
          <w:szCs w:val="20"/>
        </w:rPr>
        <w:t xml:space="preserve">(3), 1815–1824. </w:t>
      </w:r>
      <w:hyperlink r:id="rId137" w:history="1">
        <w:r w:rsidR="00405EE8" w:rsidRPr="001256EA">
          <w:rPr>
            <w:rStyle w:val="Hyperlink"/>
            <w:rFonts w:ascii="Times New Roman" w:hAnsi="Times New Roman" w:cs="Times New Roman"/>
            <w:sz w:val="20"/>
            <w:szCs w:val="20"/>
          </w:rPr>
          <w:t>https://doi.org/10.1007/s11192-019-03238-1</w:t>
        </w:r>
      </w:hyperlink>
      <w:r w:rsidR="00405EE8" w:rsidRPr="001256EA">
        <w:rPr>
          <w:rFonts w:ascii="Times New Roman" w:hAnsi="Times New Roman" w:cs="Times New Roman"/>
          <w:sz w:val="20"/>
          <w:szCs w:val="20"/>
        </w:rPr>
        <w:t xml:space="preserve"> </w:t>
      </w:r>
    </w:p>
    <w:p w14:paraId="65C6292C" w14:textId="14BF54D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Liu, W. (2021). A matter of time: Publication dates in Web of Science Core Collection.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126</w:t>
      </w:r>
      <w:r w:rsidRPr="001256EA">
        <w:rPr>
          <w:rFonts w:ascii="Times New Roman" w:hAnsi="Times New Roman" w:cs="Times New Roman"/>
          <w:sz w:val="20"/>
          <w:szCs w:val="20"/>
        </w:rPr>
        <w:t xml:space="preserve">(1), 849–857. </w:t>
      </w:r>
      <w:hyperlink r:id="rId138" w:history="1">
        <w:r w:rsidR="00405EE8" w:rsidRPr="001256EA">
          <w:rPr>
            <w:rStyle w:val="Hyperlink"/>
            <w:rFonts w:ascii="Times New Roman" w:hAnsi="Times New Roman" w:cs="Times New Roman"/>
            <w:sz w:val="20"/>
            <w:szCs w:val="20"/>
          </w:rPr>
          <w:t>https://doi.org/10.1007/s11192-020-03697-x</w:t>
        </w:r>
      </w:hyperlink>
      <w:r w:rsidR="00405EE8" w:rsidRPr="001256EA">
        <w:rPr>
          <w:rFonts w:ascii="Times New Roman" w:hAnsi="Times New Roman" w:cs="Times New Roman"/>
          <w:sz w:val="20"/>
          <w:szCs w:val="20"/>
        </w:rPr>
        <w:t xml:space="preserve"> </w:t>
      </w:r>
    </w:p>
    <w:p w14:paraId="7E2665BB" w14:textId="4DC8A30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Liu, W., Huang, M., &amp; Wang, H. (2021). </w:t>
      </w:r>
      <w:r w:rsidRPr="001256EA">
        <w:rPr>
          <w:rFonts w:ascii="Times New Roman" w:hAnsi="Times New Roman" w:cs="Times New Roman"/>
          <w:sz w:val="20"/>
          <w:szCs w:val="20"/>
        </w:rPr>
        <w:t xml:space="preserve">Same journal but different numbers of published records indexed in Scopus and Web of Science Core Collection: Causes, consequences, and solutions.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126</w:t>
      </w:r>
      <w:r w:rsidRPr="001256EA">
        <w:rPr>
          <w:rFonts w:ascii="Times New Roman" w:hAnsi="Times New Roman" w:cs="Times New Roman"/>
          <w:sz w:val="20"/>
          <w:szCs w:val="20"/>
        </w:rPr>
        <w:t xml:space="preserve">(5), 4541–4550. </w:t>
      </w:r>
      <w:hyperlink r:id="rId139" w:history="1">
        <w:r w:rsidR="00405EE8" w:rsidRPr="001256EA">
          <w:rPr>
            <w:rStyle w:val="Hyperlink"/>
            <w:rFonts w:ascii="Times New Roman" w:hAnsi="Times New Roman" w:cs="Times New Roman"/>
            <w:sz w:val="20"/>
            <w:szCs w:val="20"/>
          </w:rPr>
          <w:t>https://doi.org/10.1007/s11192-021-03934-x</w:t>
        </w:r>
      </w:hyperlink>
      <w:r w:rsidR="00405EE8" w:rsidRPr="001256EA">
        <w:rPr>
          <w:rFonts w:ascii="Times New Roman" w:hAnsi="Times New Roman" w:cs="Times New Roman"/>
          <w:sz w:val="20"/>
          <w:szCs w:val="20"/>
        </w:rPr>
        <w:t xml:space="preserve"> </w:t>
      </w:r>
    </w:p>
    <w:p w14:paraId="4F31CFDC" w14:textId="1A70C8F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Mannan, H. (1995). Deaths as Defined by Hinduism. . </w:t>
      </w:r>
      <w:r w:rsidRPr="001256EA">
        <w:rPr>
          <w:rFonts w:ascii="Times New Roman" w:hAnsi="Times New Roman" w:cs="Times New Roman"/>
          <w:i/>
          <w:iCs/>
          <w:sz w:val="20"/>
          <w:szCs w:val="20"/>
        </w:rPr>
        <w:t xml:space="preserve">. </w:t>
      </w:r>
      <w:r w:rsidRPr="001256EA">
        <w:rPr>
          <w:rFonts w:ascii="Times New Roman" w:hAnsi="Times New Roman" w:cs="Times New Roman"/>
          <w:i/>
          <w:iCs/>
          <w:sz w:val="20"/>
          <w:szCs w:val="20"/>
          <w:lang w:val="fr-FR"/>
        </w:rPr>
        <w:t>Louis U. Pub. L. Rev.</w:t>
      </w:r>
      <w:r w:rsidRPr="001256EA">
        <w:rPr>
          <w:rFonts w:ascii="Times New Roman" w:hAnsi="Times New Roman" w:cs="Times New Roman"/>
          <w:sz w:val="20"/>
          <w:szCs w:val="20"/>
          <w:lang w:val="fr-FR"/>
        </w:rPr>
        <w:t xml:space="preserve">, </w:t>
      </w:r>
      <w:r w:rsidRPr="001256EA">
        <w:rPr>
          <w:rFonts w:ascii="Times New Roman" w:hAnsi="Times New Roman" w:cs="Times New Roman"/>
          <w:i/>
          <w:iCs/>
          <w:sz w:val="20"/>
          <w:szCs w:val="20"/>
          <w:lang w:val="fr-FR"/>
        </w:rPr>
        <w:t>15</w:t>
      </w:r>
      <w:r w:rsidRPr="001256EA">
        <w:rPr>
          <w:rFonts w:ascii="Times New Roman" w:hAnsi="Times New Roman" w:cs="Times New Roman"/>
          <w:sz w:val="20"/>
          <w:szCs w:val="20"/>
          <w:lang w:val="fr-FR"/>
        </w:rPr>
        <w:t xml:space="preserve">, 423. </w:t>
      </w:r>
      <w:hyperlink r:id="rId140" w:history="1">
        <w:r w:rsidR="00405EE8" w:rsidRPr="001256EA">
          <w:rPr>
            <w:rStyle w:val="Hyperlink"/>
            <w:rFonts w:ascii="Times New Roman" w:hAnsi="Times New Roman" w:cs="Times New Roman"/>
            <w:sz w:val="20"/>
            <w:szCs w:val="20"/>
          </w:rPr>
          <w:t>https://heinonline.org/hol-cgi-bin/get_pdf.cgi?handle=hein.journals/stlpl15&amp;section=28</w:t>
        </w:r>
      </w:hyperlink>
      <w:r w:rsidR="00405EE8" w:rsidRPr="001256EA">
        <w:rPr>
          <w:rFonts w:ascii="Times New Roman" w:hAnsi="Times New Roman" w:cs="Times New Roman"/>
          <w:sz w:val="20"/>
          <w:szCs w:val="20"/>
        </w:rPr>
        <w:t xml:space="preserve"> </w:t>
      </w:r>
    </w:p>
    <w:p w14:paraId="44FFFDF1" w14:textId="00040DE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Mannan, S., &amp; Afni, M. (2020). Best practices of semi-structured interview method. </w:t>
      </w:r>
      <w:r w:rsidRPr="001256EA">
        <w:rPr>
          <w:rFonts w:ascii="Times New Roman" w:hAnsi="Times New Roman" w:cs="Times New Roman"/>
          <w:i/>
          <w:iCs/>
          <w:sz w:val="20"/>
          <w:szCs w:val="20"/>
        </w:rPr>
        <w:t>Chittagong Port Authority</w:t>
      </w:r>
      <w:r w:rsidRPr="001256EA">
        <w:rPr>
          <w:rFonts w:ascii="Times New Roman" w:hAnsi="Times New Roman" w:cs="Times New Roman"/>
          <w:sz w:val="20"/>
          <w:szCs w:val="20"/>
        </w:rPr>
        <w:t xml:space="preserve">, 1–12. </w:t>
      </w:r>
      <w:hyperlink r:id="rId141" w:history="1">
        <w:r w:rsidR="00405EE8" w:rsidRPr="001256EA">
          <w:rPr>
            <w:rStyle w:val="Hyperlink"/>
            <w:rFonts w:ascii="Times New Roman" w:hAnsi="Times New Roman" w:cs="Times New Roman"/>
            <w:sz w:val="20"/>
            <w:szCs w:val="20"/>
          </w:rPr>
          <w:t>https://www.researchgate.net/profile/Samsul-Mannan/publication/341232398_Best_practices_of_Semi-</w:t>
        </w:r>
        <w:r w:rsidR="00405EE8" w:rsidRPr="001256EA">
          <w:rPr>
            <w:rStyle w:val="Hyperlink"/>
            <w:rFonts w:ascii="Times New Roman" w:hAnsi="Times New Roman" w:cs="Times New Roman"/>
            <w:sz w:val="20"/>
            <w:szCs w:val="20"/>
          </w:rPr>
          <w:lastRenderedPageBreak/>
          <w:t>structured_interview_method/links/5eb4f70192851cd50da139bd/Best-practices-of-Semi-structured-interview-method.pdf</w:t>
        </w:r>
      </w:hyperlink>
      <w:r w:rsidR="00405EE8" w:rsidRPr="001256EA">
        <w:rPr>
          <w:rFonts w:ascii="Times New Roman" w:hAnsi="Times New Roman" w:cs="Times New Roman"/>
          <w:sz w:val="20"/>
          <w:szCs w:val="20"/>
        </w:rPr>
        <w:t xml:space="preserve"> </w:t>
      </w:r>
    </w:p>
    <w:p w14:paraId="2BBDEA48" w14:textId="7FC7FEA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Marker, R. L., Stranton, J. R., </w:t>
      </w:r>
      <w:proofErr w:type="spellStart"/>
      <w:r w:rsidRPr="001256EA">
        <w:rPr>
          <w:rFonts w:ascii="Times New Roman" w:hAnsi="Times New Roman" w:cs="Times New Roman"/>
          <w:sz w:val="20"/>
          <w:szCs w:val="20"/>
        </w:rPr>
        <w:t>Recznik</w:t>
      </w:r>
      <w:proofErr w:type="spellEnd"/>
      <w:r w:rsidRPr="001256EA">
        <w:rPr>
          <w:rFonts w:ascii="Times New Roman" w:hAnsi="Times New Roman" w:cs="Times New Roman"/>
          <w:sz w:val="20"/>
          <w:szCs w:val="20"/>
        </w:rPr>
        <w:t xml:space="preserve">, M. E., &amp; Fournier, K. A. (1991). Euthanasia: A historical overview. </w:t>
      </w:r>
      <w:r w:rsidRPr="001256EA">
        <w:rPr>
          <w:rFonts w:ascii="Times New Roman" w:hAnsi="Times New Roman" w:cs="Times New Roman"/>
          <w:i/>
          <w:iCs/>
          <w:sz w:val="20"/>
          <w:szCs w:val="20"/>
        </w:rPr>
        <w:t>Md. J. Contemp. Legal Issues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w:t>
      </w:r>
      <w:r w:rsidRPr="001256EA">
        <w:rPr>
          <w:rFonts w:ascii="Times New Roman" w:hAnsi="Times New Roman" w:cs="Times New Roman"/>
          <w:sz w:val="20"/>
          <w:szCs w:val="20"/>
        </w:rPr>
        <w:t xml:space="preserve">, 257. </w:t>
      </w:r>
      <w:hyperlink r:id="rId142" w:history="1">
        <w:r w:rsidR="00405EE8" w:rsidRPr="001256EA">
          <w:rPr>
            <w:rStyle w:val="Hyperlink"/>
            <w:rFonts w:ascii="Times New Roman" w:hAnsi="Times New Roman" w:cs="Times New Roman"/>
            <w:sz w:val="20"/>
            <w:szCs w:val="20"/>
          </w:rPr>
          <w:t>https://heinonline.org/hol-cgi-bin/get_pdf.cgi?handle=hein.journals/mjcolei2&amp;section=12</w:t>
        </w:r>
      </w:hyperlink>
      <w:r w:rsidR="00405EE8" w:rsidRPr="001256EA">
        <w:rPr>
          <w:rFonts w:ascii="Times New Roman" w:hAnsi="Times New Roman" w:cs="Times New Roman"/>
          <w:sz w:val="20"/>
          <w:szCs w:val="20"/>
        </w:rPr>
        <w:t xml:space="preserve"> </w:t>
      </w:r>
    </w:p>
    <w:p w14:paraId="2FD19CEE" w14:textId="18B5A5D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902F03">
        <w:rPr>
          <w:rFonts w:ascii="Times New Roman" w:hAnsi="Times New Roman" w:cs="Times New Roman"/>
          <w:sz w:val="20"/>
          <w:szCs w:val="20"/>
          <w:lang w:val="es-ES"/>
        </w:rPr>
        <w:t xml:space="preserve">Marsella, E., Zein, A., Nahar, S., &amp; Suhendar, A. (2025). </w:t>
      </w:r>
      <w:r w:rsidRPr="001256EA">
        <w:rPr>
          <w:rFonts w:ascii="Times New Roman" w:hAnsi="Times New Roman" w:cs="Times New Roman"/>
          <w:sz w:val="20"/>
          <w:szCs w:val="20"/>
        </w:rPr>
        <w:t xml:space="preserve">Euthanasia: A Fiqh Approach to the issue of Dignified Death in a Medical Context. </w:t>
      </w:r>
      <w:r w:rsidRPr="001256EA">
        <w:rPr>
          <w:rFonts w:ascii="Times New Roman" w:hAnsi="Times New Roman" w:cs="Times New Roman"/>
          <w:i/>
          <w:iCs/>
          <w:sz w:val="20"/>
          <w:szCs w:val="20"/>
        </w:rPr>
        <w:t>Pharos Journal of Theology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106</w:t>
      </w:r>
      <w:r w:rsidRPr="001256EA">
        <w:rPr>
          <w:rFonts w:ascii="Times New Roman" w:hAnsi="Times New Roman" w:cs="Times New Roman"/>
          <w:sz w:val="20"/>
          <w:szCs w:val="20"/>
        </w:rPr>
        <w:t xml:space="preserve">(1). </w:t>
      </w:r>
      <w:r w:rsidR="00405EE8" w:rsidRPr="001256EA">
        <w:rPr>
          <w:rFonts w:ascii="Times New Roman" w:hAnsi="Times New Roman" w:cs="Times New Roman"/>
          <w:sz w:val="20"/>
          <w:szCs w:val="20"/>
        </w:rPr>
        <w:t xml:space="preserve"> </w:t>
      </w:r>
      <w:hyperlink r:id="rId143" w:history="1">
        <w:r w:rsidR="00405EE8" w:rsidRPr="001256EA">
          <w:rPr>
            <w:rStyle w:val="Hyperlink"/>
            <w:rFonts w:ascii="Times New Roman" w:hAnsi="Times New Roman" w:cs="Times New Roman"/>
            <w:sz w:val="20"/>
            <w:szCs w:val="20"/>
          </w:rPr>
          <w:t>https://search.ebscohost.com/login.aspx?direct=true&amp;profile=ehost&amp;scope=site&amp;authtype=crawler&amp;jrnl=10189556&amp;AN=183040832&amp;h=9eW%2FxALTjCUPkpb4wOQ7o728eVlpsZQD1%2FkhcLse2mwBq1%2FsxB4M9LarZbMvLAiYH5xSiTJ2G8ppJ83mDsAARg%3D%3D&amp;crl=c</w:t>
        </w:r>
      </w:hyperlink>
      <w:r w:rsidR="00405EE8" w:rsidRPr="001256EA">
        <w:rPr>
          <w:rFonts w:ascii="Times New Roman" w:hAnsi="Times New Roman" w:cs="Times New Roman"/>
          <w:sz w:val="20"/>
          <w:szCs w:val="20"/>
        </w:rPr>
        <w:t xml:space="preserve"> </w:t>
      </w:r>
    </w:p>
    <w:p w14:paraId="177E28F6" w14:textId="451F9DE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McCall Smith, A. (1996). Euthanasia: The law in the United Kingdom. </w:t>
      </w:r>
      <w:r w:rsidRPr="001256EA">
        <w:rPr>
          <w:rFonts w:ascii="Times New Roman" w:hAnsi="Times New Roman" w:cs="Times New Roman"/>
          <w:i/>
          <w:iCs/>
          <w:sz w:val="20"/>
          <w:szCs w:val="20"/>
        </w:rPr>
        <w:t>British Medical Bulletin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52</w:t>
      </w:r>
      <w:r w:rsidRPr="001256EA">
        <w:rPr>
          <w:rFonts w:ascii="Times New Roman" w:hAnsi="Times New Roman" w:cs="Times New Roman"/>
          <w:sz w:val="20"/>
          <w:szCs w:val="20"/>
        </w:rPr>
        <w:t xml:space="preserve">(2), 334–340. </w:t>
      </w:r>
      <w:hyperlink r:id="rId144" w:history="1">
        <w:r w:rsidR="00405EE8" w:rsidRPr="001256EA">
          <w:rPr>
            <w:rStyle w:val="Hyperlink"/>
            <w:rFonts w:ascii="Times New Roman" w:hAnsi="Times New Roman" w:cs="Times New Roman"/>
            <w:sz w:val="20"/>
            <w:szCs w:val="20"/>
          </w:rPr>
          <w:t>https://academic.oup.com/bmb/article-abstract/52/2/334/403340</w:t>
        </w:r>
      </w:hyperlink>
      <w:r w:rsidR="00405EE8" w:rsidRPr="001256EA">
        <w:rPr>
          <w:rFonts w:ascii="Times New Roman" w:hAnsi="Times New Roman" w:cs="Times New Roman"/>
          <w:sz w:val="20"/>
          <w:szCs w:val="20"/>
        </w:rPr>
        <w:t xml:space="preserve"> </w:t>
      </w:r>
    </w:p>
    <w:p w14:paraId="5DF61851" w14:textId="73E1982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McCormick, A. J. (2011). Self-determination, the right to die, and culture: A literature review. </w:t>
      </w:r>
      <w:r w:rsidRPr="001256EA">
        <w:rPr>
          <w:rFonts w:ascii="Times New Roman" w:hAnsi="Times New Roman" w:cs="Times New Roman"/>
          <w:i/>
          <w:iCs/>
          <w:sz w:val="20"/>
          <w:szCs w:val="20"/>
        </w:rPr>
        <w:t>Social Work</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56</w:t>
      </w:r>
      <w:r w:rsidRPr="001256EA">
        <w:rPr>
          <w:rFonts w:ascii="Times New Roman" w:hAnsi="Times New Roman" w:cs="Times New Roman"/>
          <w:sz w:val="20"/>
          <w:szCs w:val="20"/>
        </w:rPr>
        <w:t xml:space="preserve">(2), 119–128. </w:t>
      </w:r>
      <w:hyperlink r:id="rId145" w:history="1">
        <w:r w:rsidR="00405EE8" w:rsidRPr="001256EA">
          <w:rPr>
            <w:rStyle w:val="Hyperlink"/>
            <w:rFonts w:ascii="Times New Roman" w:hAnsi="Times New Roman" w:cs="Times New Roman"/>
            <w:sz w:val="20"/>
            <w:szCs w:val="20"/>
          </w:rPr>
          <w:t>https://academic.oup.com/sw/article-abstract/56/2/119/1882552</w:t>
        </w:r>
      </w:hyperlink>
      <w:r w:rsidR="00405EE8" w:rsidRPr="001256EA">
        <w:rPr>
          <w:rFonts w:ascii="Times New Roman" w:hAnsi="Times New Roman" w:cs="Times New Roman"/>
          <w:sz w:val="20"/>
          <w:szCs w:val="20"/>
        </w:rPr>
        <w:t xml:space="preserve"> </w:t>
      </w:r>
    </w:p>
    <w:p w14:paraId="450FC90C" w14:textId="0C1904E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McKenzie, D. (2004). Church, state, and physician-assisted suicide. </w:t>
      </w:r>
      <w:r w:rsidRPr="001256EA">
        <w:rPr>
          <w:rFonts w:ascii="Times New Roman" w:hAnsi="Times New Roman" w:cs="Times New Roman"/>
          <w:i/>
          <w:iCs/>
          <w:sz w:val="20"/>
          <w:szCs w:val="20"/>
        </w:rPr>
        <w:t>Journal of Church and State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46</w:t>
      </w:r>
      <w:r w:rsidRPr="001256EA">
        <w:rPr>
          <w:rFonts w:ascii="Times New Roman" w:hAnsi="Times New Roman" w:cs="Times New Roman"/>
          <w:sz w:val="20"/>
          <w:szCs w:val="20"/>
        </w:rPr>
        <w:t xml:space="preserve">(4), 787–809. </w:t>
      </w:r>
      <w:hyperlink r:id="rId146" w:history="1">
        <w:r w:rsidR="00405EE8" w:rsidRPr="001256EA">
          <w:rPr>
            <w:rStyle w:val="Hyperlink"/>
            <w:rFonts w:ascii="Times New Roman" w:hAnsi="Times New Roman" w:cs="Times New Roman"/>
            <w:sz w:val="20"/>
            <w:szCs w:val="20"/>
          </w:rPr>
          <w:t>https://academic.oup.com/jcs/article-abstract/46/4/787/783219</w:t>
        </w:r>
      </w:hyperlink>
      <w:r w:rsidR="00405EE8" w:rsidRPr="001256EA">
        <w:rPr>
          <w:rFonts w:ascii="Times New Roman" w:hAnsi="Times New Roman" w:cs="Times New Roman"/>
          <w:sz w:val="20"/>
          <w:szCs w:val="20"/>
        </w:rPr>
        <w:t xml:space="preserve"> </w:t>
      </w:r>
    </w:p>
    <w:p w14:paraId="09A0A13D" w14:textId="1554157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McLachlan, H. V. (2008). The ethics of killing and letting die: Active and passive euthanasia.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34</w:t>
      </w:r>
      <w:r w:rsidRPr="001256EA">
        <w:rPr>
          <w:rFonts w:ascii="Times New Roman" w:hAnsi="Times New Roman" w:cs="Times New Roman"/>
          <w:sz w:val="20"/>
          <w:szCs w:val="20"/>
        </w:rPr>
        <w:t xml:space="preserve">(8), 636–638. </w:t>
      </w:r>
      <w:hyperlink r:id="rId147" w:history="1">
        <w:r w:rsidR="00405EE8" w:rsidRPr="001256EA">
          <w:rPr>
            <w:rStyle w:val="Hyperlink"/>
            <w:rFonts w:ascii="Times New Roman" w:hAnsi="Times New Roman" w:cs="Times New Roman"/>
            <w:sz w:val="20"/>
            <w:szCs w:val="20"/>
          </w:rPr>
          <w:t>https://jme.bmj.com/content/34/8/636.short</w:t>
        </w:r>
      </w:hyperlink>
      <w:r w:rsidR="00405EE8" w:rsidRPr="001256EA">
        <w:rPr>
          <w:rFonts w:ascii="Times New Roman" w:hAnsi="Times New Roman" w:cs="Times New Roman"/>
          <w:sz w:val="20"/>
          <w:szCs w:val="20"/>
        </w:rPr>
        <w:t xml:space="preserve"> </w:t>
      </w:r>
    </w:p>
    <w:p w14:paraId="72564666" w14:textId="0BEA489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Mendonça, M., &amp; Figueira, Á. (2024). </w:t>
      </w:r>
      <w:r w:rsidRPr="001256EA">
        <w:rPr>
          <w:rFonts w:ascii="Times New Roman" w:hAnsi="Times New Roman" w:cs="Times New Roman"/>
          <w:i/>
          <w:iCs/>
          <w:sz w:val="20"/>
          <w:szCs w:val="20"/>
        </w:rPr>
        <w:t xml:space="preserve">Topic Extraction: </w:t>
      </w:r>
      <w:proofErr w:type="spellStart"/>
      <w:r w:rsidRPr="001256EA">
        <w:rPr>
          <w:rFonts w:ascii="Times New Roman" w:hAnsi="Times New Roman" w:cs="Times New Roman"/>
          <w:i/>
          <w:iCs/>
          <w:sz w:val="20"/>
          <w:szCs w:val="20"/>
        </w:rPr>
        <w:t>BERTopic’s</w:t>
      </w:r>
      <w:proofErr w:type="spellEnd"/>
      <w:r w:rsidRPr="001256EA">
        <w:rPr>
          <w:rFonts w:ascii="Times New Roman" w:hAnsi="Times New Roman" w:cs="Times New Roman"/>
          <w:i/>
          <w:iCs/>
          <w:sz w:val="20"/>
          <w:szCs w:val="20"/>
        </w:rPr>
        <w:t xml:space="preserve"> Insight into the 117th Congress’s </w:t>
      </w:r>
      <w:proofErr w:type="spellStart"/>
      <w:r w:rsidRPr="001256EA">
        <w:rPr>
          <w:rFonts w:ascii="Times New Roman" w:hAnsi="Times New Roman" w:cs="Times New Roman"/>
          <w:i/>
          <w:iCs/>
          <w:sz w:val="20"/>
          <w:szCs w:val="20"/>
        </w:rPr>
        <w:t>Twitterverse</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11</w:t>
      </w:r>
      <w:r w:rsidRPr="001256EA">
        <w:rPr>
          <w:rFonts w:ascii="Times New Roman" w:hAnsi="Times New Roman" w:cs="Times New Roman"/>
          <w:sz w:val="20"/>
          <w:szCs w:val="20"/>
        </w:rPr>
        <w:t>(1), 8.</w:t>
      </w:r>
      <w:r w:rsidR="00405EE8" w:rsidRPr="001256EA">
        <w:rPr>
          <w:rFonts w:ascii="Times New Roman" w:hAnsi="Times New Roman" w:cs="Times New Roman"/>
          <w:sz w:val="20"/>
          <w:szCs w:val="20"/>
        </w:rPr>
        <w:t xml:space="preserve"> </w:t>
      </w:r>
      <w:hyperlink r:id="rId148" w:history="1">
        <w:r w:rsidR="00405EE8" w:rsidRPr="001256EA">
          <w:rPr>
            <w:rStyle w:val="Hyperlink"/>
            <w:rFonts w:ascii="Times New Roman" w:hAnsi="Times New Roman" w:cs="Times New Roman"/>
            <w:sz w:val="20"/>
            <w:szCs w:val="20"/>
          </w:rPr>
          <w:t>https://doi.org/10.3390/informatics11010008</w:t>
        </w:r>
      </w:hyperlink>
      <w:r w:rsidR="00405EE8" w:rsidRPr="001256EA">
        <w:rPr>
          <w:rFonts w:ascii="Times New Roman" w:hAnsi="Times New Roman" w:cs="Times New Roman"/>
          <w:sz w:val="20"/>
          <w:szCs w:val="20"/>
        </w:rPr>
        <w:t xml:space="preserve"> </w:t>
      </w:r>
    </w:p>
    <w:p w14:paraId="5473C0A1" w14:textId="66AA67BC" w:rsidR="00342C72" w:rsidRPr="001256EA" w:rsidRDefault="00342C72" w:rsidP="00922395">
      <w:pPr>
        <w:pStyle w:val="ListParagraph"/>
        <w:numPr>
          <w:ilvl w:val="0"/>
          <w:numId w:val="34"/>
        </w:numPr>
        <w:spacing w:line="276" w:lineRule="auto"/>
        <w:ind w:left="270"/>
        <w:jc w:val="both"/>
        <w:rPr>
          <w:rFonts w:ascii="Times New Roman" w:hAnsi="Times New Roman" w:cs="Times New Roman"/>
          <w:sz w:val="20"/>
          <w:szCs w:val="20"/>
          <w:lang w:val="pl-PL"/>
        </w:rPr>
      </w:pPr>
      <w:r w:rsidRPr="001256EA">
        <w:rPr>
          <w:rFonts w:ascii="Times New Roman" w:hAnsi="Times New Roman" w:cs="Times New Roman"/>
          <w:sz w:val="20"/>
          <w:szCs w:val="20"/>
          <w:lang w:val="pl-PL"/>
        </w:rPr>
        <w:t>Michalkiewicz-</w:t>
      </w:r>
      <w:proofErr w:type="spellStart"/>
      <w:r w:rsidRPr="001256EA">
        <w:rPr>
          <w:rFonts w:ascii="Times New Roman" w:hAnsi="Times New Roman" w:cs="Times New Roman"/>
          <w:sz w:val="20"/>
          <w:szCs w:val="20"/>
          <w:lang w:val="pl-PL"/>
        </w:rPr>
        <w:t>Kadziela</w:t>
      </w:r>
      <w:proofErr w:type="spellEnd"/>
      <w:r w:rsidRPr="001256EA">
        <w:rPr>
          <w:rFonts w:ascii="Times New Roman" w:hAnsi="Times New Roman" w:cs="Times New Roman"/>
          <w:sz w:val="20"/>
          <w:szCs w:val="20"/>
          <w:lang w:val="pl-PL"/>
        </w:rPr>
        <w:t xml:space="preserve">, E., &amp; </w:t>
      </w:r>
      <w:proofErr w:type="spellStart"/>
      <w:r w:rsidRPr="001256EA">
        <w:rPr>
          <w:rFonts w:ascii="Times New Roman" w:hAnsi="Times New Roman" w:cs="Times New Roman"/>
          <w:sz w:val="20"/>
          <w:szCs w:val="20"/>
          <w:lang w:val="pl-PL"/>
        </w:rPr>
        <w:t>Simic</w:t>
      </w:r>
      <w:proofErr w:type="spellEnd"/>
      <w:r w:rsidRPr="001256EA">
        <w:rPr>
          <w:rFonts w:ascii="Times New Roman" w:hAnsi="Times New Roman" w:cs="Times New Roman"/>
          <w:sz w:val="20"/>
          <w:szCs w:val="20"/>
          <w:lang w:val="pl-PL"/>
        </w:rPr>
        <w:t xml:space="preserve">, G. (2023). </w:t>
      </w:r>
      <w:r w:rsidRPr="001256EA">
        <w:rPr>
          <w:rFonts w:ascii="Times New Roman" w:hAnsi="Times New Roman" w:cs="Times New Roman"/>
          <w:sz w:val="20"/>
          <w:szCs w:val="20"/>
        </w:rPr>
        <w:t xml:space="preserve">The right to dignified death: A comparative legal discussion of euthanasia and assisted termination of life. </w:t>
      </w:r>
      <w:proofErr w:type="spellStart"/>
      <w:r w:rsidRPr="001256EA">
        <w:rPr>
          <w:rFonts w:ascii="Times New Roman" w:hAnsi="Times New Roman" w:cs="Times New Roman"/>
          <w:i/>
          <w:iCs/>
          <w:sz w:val="20"/>
          <w:szCs w:val="20"/>
          <w:lang w:val="pl-PL"/>
        </w:rPr>
        <w:t>Bialostockie</w:t>
      </w:r>
      <w:proofErr w:type="spellEnd"/>
      <w:r w:rsidRPr="001256EA">
        <w:rPr>
          <w:rFonts w:ascii="Times New Roman" w:hAnsi="Times New Roman" w:cs="Times New Roman"/>
          <w:i/>
          <w:iCs/>
          <w:sz w:val="20"/>
          <w:szCs w:val="20"/>
          <w:lang w:val="pl-PL"/>
        </w:rPr>
        <w:t xml:space="preserve"> Studia Prawnicze</w:t>
      </w:r>
      <w:r w:rsidRPr="001256EA">
        <w:rPr>
          <w:rFonts w:ascii="Times New Roman" w:hAnsi="Times New Roman" w:cs="Times New Roman"/>
          <w:sz w:val="20"/>
          <w:szCs w:val="20"/>
          <w:lang w:val="pl-PL"/>
        </w:rPr>
        <w:t xml:space="preserve">, </w:t>
      </w:r>
      <w:r w:rsidRPr="001256EA">
        <w:rPr>
          <w:rFonts w:ascii="Times New Roman" w:hAnsi="Times New Roman" w:cs="Times New Roman"/>
          <w:i/>
          <w:iCs/>
          <w:sz w:val="20"/>
          <w:szCs w:val="20"/>
          <w:lang w:val="pl-PL"/>
        </w:rPr>
        <w:t>28</w:t>
      </w:r>
      <w:r w:rsidRPr="001256EA">
        <w:rPr>
          <w:rFonts w:ascii="Times New Roman" w:hAnsi="Times New Roman" w:cs="Times New Roman"/>
          <w:sz w:val="20"/>
          <w:szCs w:val="20"/>
          <w:lang w:val="pl-PL"/>
        </w:rPr>
        <w:t xml:space="preserve">, 181. </w:t>
      </w:r>
      <w:hyperlink r:id="rId149" w:history="1">
        <w:r w:rsidR="00D46287" w:rsidRPr="001256EA">
          <w:rPr>
            <w:rStyle w:val="Hyperlink"/>
            <w:rFonts w:ascii="Times New Roman" w:hAnsi="Times New Roman" w:cs="Times New Roman"/>
            <w:sz w:val="20"/>
            <w:szCs w:val="20"/>
            <w:lang w:val="pl-PL"/>
          </w:rPr>
          <w:t>https://heinonline.org/hol-cgi-bin/get_pdf.cgi?handle=hein.journals/bialspw28&amp;section=44</w:t>
        </w:r>
      </w:hyperlink>
      <w:r w:rsidR="00D46287" w:rsidRPr="001256EA">
        <w:rPr>
          <w:rFonts w:ascii="Times New Roman" w:hAnsi="Times New Roman" w:cs="Times New Roman"/>
          <w:sz w:val="20"/>
          <w:szCs w:val="20"/>
          <w:lang w:val="pl-PL"/>
        </w:rPr>
        <w:t xml:space="preserve"> </w:t>
      </w:r>
    </w:p>
    <w:p w14:paraId="77B1B454" w14:textId="7777777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Miller, D. G., Dresser, R., &amp; Kim, S. Y. (2019). </w:t>
      </w:r>
      <w:r w:rsidRPr="001256EA">
        <w:rPr>
          <w:rFonts w:ascii="Times New Roman" w:hAnsi="Times New Roman" w:cs="Times New Roman"/>
          <w:sz w:val="20"/>
          <w:szCs w:val="20"/>
        </w:rPr>
        <w:t xml:space="preserve">Advance euthanasia directives: A controversial case and its ethical implications.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45</w:t>
      </w:r>
      <w:r w:rsidRPr="001256EA">
        <w:rPr>
          <w:rFonts w:ascii="Times New Roman" w:hAnsi="Times New Roman" w:cs="Times New Roman"/>
          <w:sz w:val="20"/>
          <w:szCs w:val="20"/>
        </w:rPr>
        <w:t>(2), 84–89. https://jme.bmj.com/content/45/2/84.abstract</w:t>
      </w:r>
    </w:p>
    <w:p w14:paraId="77600488" w14:textId="29B00C2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Mohammed, N. O. (2024). A Critical Analysis of Euthanasia, Human Rights and the Role of Law in Right to Die. </w:t>
      </w:r>
      <w:r w:rsidRPr="001256EA">
        <w:rPr>
          <w:rFonts w:ascii="Times New Roman" w:hAnsi="Times New Roman" w:cs="Times New Roman"/>
          <w:i/>
          <w:iCs/>
          <w:sz w:val="20"/>
          <w:szCs w:val="20"/>
        </w:rPr>
        <w:t>Issue 1 Int’l JL Mgmt. &amp; Human.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7</w:t>
      </w:r>
      <w:r w:rsidRPr="001256EA">
        <w:rPr>
          <w:rFonts w:ascii="Times New Roman" w:hAnsi="Times New Roman" w:cs="Times New Roman"/>
          <w:sz w:val="20"/>
          <w:szCs w:val="20"/>
        </w:rPr>
        <w:t xml:space="preserve">, 380. </w:t>
      </w:r>
      <w:hyperlink r:id="rId150" w:history="1">
        <w:r w:rsidR="00D46287" w:rsidRPr="001256EA">
          <w:rPr>
            <w:rStyle w:val="Hyperlink"/>
            <w:rFonts w:ascii="Times New Roman" w:hAnsi="Times New Roman" w:cs="Times New Roman"/>
            <w:sz w:val="20"/>
            <w:szCs w:val="20"/>
          </w:rPr>
          <w:t>https://heinonline.org/hol-cgi-bin/get_pdf.cgi?handle=hein.journals/ijlmhs27&amp;section=39</w:t>
        </w:r>
      </w:hyperlink>
      <w:r w:rsidR="00D46287" w:rsidRPr="001256EA">
        <w:rPr>
          <w:rFonts w:ascii="Times New Roman" w:hAnsi="Times New Roman" w:cs="Times New Roman"/>
          <w:sz w:val="20"/>
          <w:szCs w:val="20"/>
        </w:rPr>
        <w:t xml:space="preserve"> </w:t>
      </w:r>
    </w:p>
    <w:p w14:paraId="399AC5B9" w14:textId="47E1DD6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Molefe, M., &amp; </w:t>
      </w:r>
      <w:proofErr w:type="spellStart"/>
      <w:r w:rsidRPr="001256EA">
        <w:rPr>
          <w:rFonts w:ascii="Times New Roman" w:hAnsi="Times New Roman" w:cs="Times New Roman"/>
          <w:sz w:val="20"/>
          <w:szCs w:val="20"/>
        </w:rPr>
        <w:t>Muade</w:t>
      </w:r>
      <w:proofErr w:type="spellEnd"/>
      <w:r w:rsidRPr="001256EA">
        <w:rPr>
          <w:rFonts w:ascii="Times New Roman" w:hAnsi="Times New Roman" w:cs="Times New Roman"/>
          <w:sz w:val="20"/>
          <w:szCs w:val="20"/>
        </w:rPr>
        <w:t xml:space="preserve">, E. (2023). </w:t>
      </w:r>
      <w:r w:rsidRPr="001256EA">
        <w:rPr>
          <w:rFonts w:ascii="Times New Roman" w:hAnsi="Times New Roman" w:cs="Times New Roman"/>
          <w:i/>
          <w:iCs/>
          <w:sz w:val="20"/>
          <w:szCs w:val="20"/>
        </w:rPr>
        <w:t>African ethics and death: Moral status and human dignity in ubuntu thinking</w:t>
      </w:r>
      <w:r w:rsidRPr="001256EA">
        <w:rPr>
          <w:rFonts w:ascii="Times New Roman" w:hAnsi="Times New Roman" w:cs="Times New Roman"/>
          <w:sz w:val="20"/>
          <w:szCs w:val="20"/>
        </w:rPr>
        <w:t xml:space="preserve">. Routledge. </w:t>
      </w:r>
      <w:hyperlink r:id="rId151" w:history="1">
        <w:r w:rsidR="00D46287" w:rsidRPr="001256EA">
          <w:rPr>
            <w:rStyle w:val="Hyperlink"/>
            <w:rFonts w:ascii="Times New Roman" w:hAnsi="Times New Roman" w:cs="Times New Roman"/>
            <w:sz w:val="20"/>
            <w:szCs w:val="20"/>
          </w:rPr>
          <w:t>https://www.taylorfrancis.com/books/mono/10.4324/9781032658490/african-ethics-death-motsamai-molefe-elphus-muade</w:t>
        </w:r>
      </w:hyperlink>
      <w:r w:rsidR="00D46287" w:rsidRPr="001256EA">
        <w:rPr>
          <w:rFonts w:ascii="Times New Roman" w:hAnsi="Times New Roman" w:cs="Times New Roman"/>
          <w:sz w:val="20"/>
          <w:szCs w:val="20"/>
        </w:rPr>
        <w:t xml:space="preserve"> </w:t>
      </w:r>
    </w:p>
    <w:p w14:paraId="01A02ED7" w14:textId="37EE5F2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Momen, M. N. (2023). United Nations Universal Declaration of Human Rights. In F. </w:t>
      </w:r>
      <w:proofErr w:type="spellStart"/>
      <w:r w:rsidRPr="001256EA">
        <w:rPr>
          <w:rFonts w:ascii="Times New Roman" w:hAnsi="Times New Roman" w:cs="Times New Roman"/>
          <w:sz w:val="20"/>
          <w:szCs w:val="20"/>
        </w:rPr>
        <w:t>Maggino</w:t>
      </w:r>
      <w:proofErr w:type="spellEnd"/>
      <w:r w:rsidRPr="001256EA">
        <w:rPr>
          <w:rFonts w:ascii="Times New Roman" w:hAnsi="Times New Roman" w:cs="Times New Roman"/>
          <w:sz w:val="20"/>
          <w:szCs w:val="20"/>
        </w:rPr>
        <w:t xml:space="preserve"> (Ed.), </w:t>
      </w:r>
      <w:r w:rsidRPr="001256EA">
        <w:rPr>
          <w:rFonts w:ascii="Times New Roman" w:hAnsi="Times New Roman" w:cs="Times New Roman"/>
          <w:i/>
          <w:iCs/>
          <w:sz w:val="20"/>
          <w:szCs w:val="20"/>
        </w:rPr>
        <w:t>Encyclopedia of Quality of Life and Well-Being Research</w:t>
      </w:r>
      <w:r w:rsidRPr="001256EA">
        <w:rPr>
          <w:rFonts w:ascii="Times New Roman" w:hAnsi="Times New Roman" w:cs="Times New Roman"/>
          <w:sz w:val="20"/>
          <w:szCs w:val="20"/>
        </w:rPr>
        <w:t xml:space="preserve"> (pp. 7372–7376). Springer International Publishing. </w:t>
      </w:r>
      <w:hyperlink r:id="rId152" w:history="1">
        <w:r w:rsidR="00D46287" w:rsidRPr="001256EA">
          <w:rPr>
            <w:rStyle w:val="Hyperlink"/>
            <w:rFonts w:ascii="Times New Roman" w:hAnsi="Times New Roman" w:cs="Times New Roman"/>
            <w:sz w:val="20"/>
            <w:szCs w:val="20"/>
          </w:rPr>
          <w:t>https://doi.org/10.1007/978-3-031-17299-1_104661</w:t>
        </w:r>
      </w:hyperlink>
      <w:r w:rsidR="00D46287" w:rsidRPr="001256EA">
        <w:rPr>
          <w:rFonts w:ascii="Times New Roman" w:hAnsi="Times New Roman" w:cs="Times New Roman"/>
          <w:sz w:val="20"/>
          <w:szCs w:val="20"/>
        </w:rPr>
        <w:t xml:space="preserve"> </w:t>
      </w:r>
    </w:p>
    <w:p w14:paraId="79319F68" w14:textId="3066853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Mongeon, P., &amp; Paul-Hus, A. (2016). The journal coverage of Web of Science and Scopus: A comparative analysis.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106</w:t>
      </w:r>
      <w:r w:rsidRPr="001256EA">
        <w:rPr>
          <w:rFonts w:ascii="Times New Roman" w:hAnsi="Times New Roman" w:cs="Times New Roman"/>
          <w:sz w:val="20"/>
          <w:szCs w:val="20"/>
        </w:rPr>
        <w:t>, 213–228.</w:t>
      </w:r>
      <w:r w:rsidR="00D46287" w:rsidRPr="001256EA">
        <w:rPr>
          <w:rFonts w:ascii="Times New Roman" w:hAnsi="Times New Roman" w:cs="Times New Roman"/>
        </w:rPr>
        <w:t xml:space="preserve"> </w:t>
      </w:r>
      <w:hyperlink r:id="rId153" w:history="1">
        <w:r w:rsidR="00D46287" w:rsidRPr="001256EA">
          <w:rPr>
            <w:rStyle w:val="Hyperlink"/>
            <w:rFonts w:ascii="Times New Roman" w:hAnsi="Times New Roman" w:cs="Times New Roman"/>
            <w:sz w:val="20"/>
            <w:szCs w:val="20"/>
          </w:rPr>
          <w:t>https://doi.org/10.1007/s11192-015-1765-5</w:t>
        </w:r>
      </w:hyperlink>
      <w:r w:rsidR="00D46287" w:rsidRPr="001256EA">
        <w:rPr>
          <w:rFonts w:ascii="Times New Roman" w:hAnsi="Times New Roman" w:cs="Times New Roman"/>
          <w:sz w:val="20"/>
          <w:szCs w:val="20"/>
        </w:rPr>
        <w:t xml:space="preserve"> </w:t>
      </w:r>
    </w:p>
    <w:p w14:paraId="7FBD468C" w14:textId="09F4A6D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Morrison, E. E. (2009). </w:t>
      </w:r>
      <w:r w:rsidRPr="001256EA">
        <w:rPr>
          <w:rFonts w:ascii="Times New Roman" w:hAnsi="Times New Roman" w:cs="Times New Roman"/>
          <w:i/>
          <w:iCs/>
          <w:sz w:val="20"/>
          <w:szCs w:val="20"/>
        </w:rPr>
        <w:t>Health care ethics: Critical issues for the 21st century</w:t>
      </w:r>
      <w:r w:rsidRPr="001256EA">
        <w:rPr>
          <w:rFonts w:ascii="Times New Roman" w:hAnsi="Times New Roman" w:cs="Times New Roman"/>
          <w:sz w:val="20"/>
          <w:szCs w:val="20"/>
        </w:rPr>
        <w:t xml:space="preserve">. Jones &amp; Bartlett Learning. </w:t>
      </w:r>
      <w:hyperlink r:id="rId154" w:history="1">
        <w:r w:rsidR="00D46287" w:rsidRPr="001256EA">
          <w:rPr>
            <w:rStyle w:val="Hyperlink"/>
            <w:rFonts w:ascii="Times New Roman" w:hAnsi="Times New Roman" w:cs="Times New Roman"/>
            <w:sz w:val="20"/>
            <w:szCs w:val="20"/>
          </w:rPr>
          <w:t>https://books.google.com/books?hl=en&amp;lr=&amp;id=FUImVpCNoJEC&amp;oi=fnd&amp;pg=PR1&amp;dq=Morrison,+E.+E.+(2009).+Health+care+ethics:+Critical+issues+for+the+21st+century.+Jones+%26+Bartlett+Learning.&amp;ots=Zs6ow1a9xy&amp;sig=rAxEn2KNBW7LWATHi7pTrrZauBM</w:t>
        </w:r>
      </w:hyperlink>
      <w:r w:rsidR="00D46287" w:rsidRPr="001256EA">
        <w:rPr>
          <w:rFonts w:ascii="Times New Roman" w:hAnsi="Times New Roman" w:cs="Times New Roman"/>
          <w:sz w:val="20"/>
          <w:szCs w:val="20"/>
        </w:rPr>
        <w:t xml:space="preserve"> </w:t>
      </w:r>
    </w:p>
    <w:p w14:paraId="1B4878A6" w14:textId="1AE55AD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1256EA">
        <w:rPr>
          <w:rFonts w:ascii="Times New Roman" w:hAnsi="Times New Roman" w:cs="Times New Roman"/>
          <w:sz w:val="20"/>
          <w:szCs w:val="20"/>
        </w:rPr>
        <w:t xml:space="preserve">Mroz, S.,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Cohen, J., &amp; </w:t>
      </w: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(2022). Developments under assisted dying legislation: The experience in Belgium and other countries. </w:t>
      </w:r>
      <w:r w:rsidRPr="001256EA">
        <w:rPr>
          <w:rFonts w:ascii="Times New Roman" w:hAnsi="Times New Roman" w:cs="Times New Roman"/>
          <w:i/>
          <w:iCs/>
          <w:sz w:val="20"/>
          <w:szCs w:val="20"/>
          <w:lang w:val="de-DE"/>
        </w:rPr>
        <w:t>Deutsches Ärzteblatt International</w:t>
      </w:r>
      <w:r w:rsidRPr="001256EA">
        <w:rPr>
          <w:rFonts w:ascii="Times New Roman" w:hAnsi="Times New Roman" w:cs="Times New Roman"/>
          <w:sz w:val="20"/>
          <w:szCs w:val="20"/>
          <w:lang w:val="de-DE"/>
        </w:rPr>
        <w:t xml:space="preserve">, </w:t>
      </w:r>
      <w:r w:rsidRPr="001256EA">
        <w:rPr>
          <w:rFonts w:ascii="Times New Roman" w:hAnsi="Times New Roman" w:cs="Times New Roman"/>
          <w:i/>
          <w:iCs/>
          <w:sz w:val="20"/>
          <w:szCs w:val="20"/>
          <w:lang w:val="de-DE"/>
        </w:rPr>
        <w:t>119</w:t>
      </w:r>
      <w:r w:rsidRPr="001256EA">
        <w:rPr>
          <w:rFonts w:ascii="Times New Roman" w:hAnsi="Times New Roman" w:cs="Times New Roman"/>
          <w:sz w:val="20"/>
          <w:szCs w:val="20"/>
          <w:lang w:val="de-DE"/>
        </w:rPr>
        <w:t xml:space="preserve">(48), 829. </w:t>
      </w:r>
      <w:hyperlink r:id="rId155" w:history="1">
        <w:r w:rsidR="00D46287" w:rsidRPr="001256EA">
          <w:rPr>
            <w:rStyle w:val="Hyperlink"/>
            <w:rFonts w:ascii="Times New Roman" w:hAnsi="Times New Roman" w:cs="Times New Roman"/>
            <w:sz w:val="20"/>
            <w:szCs w:val="20"/>
            <w:lang w:val="de-DE"/>
          </w:rPr>
          <w:t>https://pmc.ncbi.nlm.nih.gov/articles/PMC10074264/</w:t>
        </w:r>
      </w:hyperlink>
      <w:r w:rsidR="00D46287" w:rsidRPr="001256EA">
        <w:rPr>
          <w:rFonts w:ascii="Times New Roman" w:hAnsi="Times New Roman" w:cs="Times New Roman"/>
          <w:sz w:val="20"/>
          <w:szCs w:val="20"/>
          <w:lang w:val="de-DE"/>
        </w:rPr>
        <w:t xml:space="preserve"> </w:t>
      </w:r>
    </w:p>
    <w:p w14:paraId="464941A9" w14:textId="4A1EE56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Mroz, S., Dierickx, S., </w:t>
      </w:r>
      <w:proofErr w:type="spellStart"/>
      <w:r w:rsidRPr="001256EA">
        <w:rPr>
          <w:rFonts w:ascii="Times New Roman" w:hAnsi="Times New Roman" w:cs="Times New Roman"/>
          <w:sz w:val="20"/>
          <w:szCs w:val="20"/>
          <w:lang w:val="de-DE"/>
        </w:rPr>
        <w:t>Deliens</w:t>
      </w:r>
      <w:proofErr w:type="spellEnd"/>
      <w:r w:rsidRPr="001256EA">
        <w:rPr>
          <w:rFonts w:ascii="Times New Roman" w:hAnsi="Times New Roman" w:cs="Times New Roman"/>
          <w:sz w:val="20"/>
          <w:szCs w:val="20"/>
          <w:lang w:val="de-DE"/>
        </w:rPr>
        <w:t xml:space="preserve">, L., Cohen, J., &amp; </w:t>
      </w:r>
      <w:proofErr w:type="spellStart"/>
      <w:r w:rsidRPr="001256EA">
        <w:rPr>
          <w:rFonts w:ascii="Times New Roman" w:hAnsi="Times New Roman" w:cs="Times New Roman"/>
          <w:sz w:val="20"/>
          <w:szCs w:val="20"/>
          <w:lang w:val="de-DE"/>
        </w:rPr>
        <w:t>Chambaere</w:t>
      </w:r>
      <w:proofErr w:type="spellEnd"/>
      <w:r w:rsidRPr="001256EA">
        <w:rPr>
          <w:rFonts w:ascii="Times New Roman" w:hAnsi="Times New Roman" w:cs="Times New Roman"/>
          <w:sz w:val="20"/>
          <w:szCs w:val="20"/>
          <w:lang w:val="de-DE"/>
        </w:rPr>
        <w:t xml:space="preserve">, K. (2021). </w:t>
      </w:r>
      <w:r w:rsidRPr="001256EA">
        <w:rPr>
          <w:rFonts w:ascii="Times New Roman" w:hAnsi="Times New Roman" w:cs="Times New Roman"/>
          <w:sz w:val="20"/>
          <w:szCs w:val="20"/>
        </w:rPr>
        <w:t xml:space="preserve">Assisted dying around the world: A status </w:t>
      </w:r>
      <w:proofErr w:type="spellStart"/>
      <w:r w:rsidRPr="001256EA">
        <w:rPr>
          <w:rFonts w:ascii="Times New Roman" w:hAnsi="Times New Roman" w:cs="Times New Roman"/>
          <w:sz w:val="20"/>
          <w:szCs w:val="20"/>
        </w:rPr>
        <w:t>quaestionis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Annals of Palliative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w:t>
      </w:r>
      <w:r w:rsidRPr="001256EA">
        <w:rPr>
          <w:rFonts w:ascii="Times New Roman" w:hAnsi="Times New Roman" w:cs="Times New Roman"/>
          <w:sz w:val="20"/>
          <w:szCs w:val="20"/>
        </w:rPr>
        <w:t xml:space="preserve">(3), 3540553–3543553. </w:t>
      </w:r>
      <w:hyperlink r:id="rId156" w:history="1">
        <w:r w:rsidR="00D46287" w:rsidRPr="001256EA">
          <w:rPr>
            <w:rStyle w:val="Hyperlink"/>
            <w:rFonts w:ascii="Times New Roman" w:hAnsi="Times New Roman" w:cs="Times New Roman"/>
            <w:sz w:val="20"/>
            <w:szCs w:val="20"/>
          </w:rPr>
          <w:t>https://apm.amegroups.org/article/view/50986/html</w:t>
        </w:r>
      </w:hyperlink>
      <w:r w:rsidR="00D46287" w:rsidRPr="001256EA">
        <w:rPr>
          <w:rFonts w:ascii="Times New Roman" w:hAnsi="Times New Roman" w:cs="Times New Roman"/>
          <w:sz w:val="20"/>
          <w:szCs w:val="20"/>
        </w:rPr>
        <w:t xml:space="preserve"> </w:t>
      </w:r>
    </w:p>
    <w:p w14:paraId="0368C392" w14:textId="319E470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es-ES"/>
        </w:rPr>
        <w:t>Munuera</w:t>
      </w:r>
      <w:proofErr w:type="spellEnd"/>
      <w:r w:rsidRPr="001256EA">
        <w:rPr>
          <w:rFonts w:ascii="Times New Roman" w:hAnsi="Times New Roman" w:cs="Times New Roman"/>
          <w:sz w:val="20"/>
          <w:szCs w:val="20"/>
          <w:lang w:val="es-ES"/>
        </w:rPr>
        <w:t xml:space="preserve"> Gómez, P., Martínez López, J. Á., Bódalo Lozano, E., &amp; Guillamón Ayala, J. A. (2023). </w:t>
      </w:r>
      <w:r w:rsidRPr="001256EA">
        <w:rPr>
          <w:rFonts w:ascii="Times New Roman" w:hAnsi="Times New Roman" w:cs="Times New Roman"/>
          <w:sz w:val="20"/>
          <w:szCs w:val="20"/>
          <w:lang w:val="fr-FR"/>
        </w:rPr>
        <w:t xml:space="preserve">La </w:t>
      </w:r>
      <w:proofErr w:type="spellStart"/>
      <w:r w:rsidRPr="001256EA">
        <w:rPr>
          <w:rFonts w:ascii="Times New Roman" w:hAnsi="Times New Roman" w:cs="Times New Roman"/>
          <w:sz w:val="20"/>
          <w:szCs w:val="20"/>
          <w:lang w:val="fr-FR"/>
        </w:rPr>
        <w:t>intervención</w:t>
      </w:r>
      <w:proofErr w:type="spellEnd"/>
      <w:r w:rsidRPr="001256EA">
        <w:rPr>
          <w:rFonts w:ascii="Times New Roman" w:hAnsi="Times New Roman" w:cs="Times New Roman"/>
          <w:sz w:val="20"/>
          <w:szCs w:val="20"/>
          <w:lang w:val="fr-FR"/>
        </w:rPr>
        <w:t xml:space="preserve"> de los </w:t>
      </w:r>
      <w:proofErr w:type="spellStart"/>
      <w:r w:rsidRPr="001256EA">
        <w:rPr>
          <w:rFonts w:ascii="Times New Roman" w:hAnsi="Times New Roman" w:cs="Times New Roman"/>
          <w:sz w:val="20"/>
          <w:szCs w:val="20"/>
          <w:lang w:val="fr-FR"/>
        </w:rPr>
        <w:t>trabajadores</w:t>
      </w:r>
      <w:proofErr w:type="spellEnd"/>
      <w:r w:rsidRPr="001256EA">
        <w:rPr>
          <w:rFonts w:ascii="Times New Roman" w:hAnsi="Times New Roman" w:cs="Times New Roman"/>
          <w:sz w:val="20"/>
          <w:szCs w:val="20"/>
          <w:lang w:val="fr-FR"/>
        </w:rPr>
        <w:t xml:space="preserve"> sociales en el </w:t>
      </w:r>
      <w:proofErr w:type="spellStart"/>
      <w:r w:rsidRPr="001256EA">
        <w:rPr>
          <w:rFonts w:ascii="Times New Roman" w:hAnsi="Times New Roman" w:cs="Times New Roman"/>
          <w:sz w:val="20"/>
          <w:szCs w:val="20"/>
          <w:lang w:val="fr-FR"/>
        </w:rPr>
        <w:t>marco</w:t>
      </w:r>
      <w:proofErr w:type="spellEnd"/>
      <w:r w:rsidRPr="001256EA">
        <w:rPr>
          <w:rFonts w:ascii="Times New Roman" w:hAnsi="Times New Roman" w:cs="Times New Roman"/>
          <w:sz w:val="20"/>
          <w:szCs w:val="20"/>
          <w:lang w:val="fr-FR"/>
        </w:rPr>
        <w:t xml:space="preserve"> de la Ley de </w:t>
      </w:r>
      <w:proofErr w:type="spellStart"/>
      <w:r w:rsidRPr="001256EA">
        <w:rPr>
          <w:rFonts w:ascii="Times New Roman" w:hAnsi="Times New Roman" w:cs="Times New Roman"/>
          <w:sz w:val="20"/>
          <w:szCs w:val="20"/>
          <w:lang w:val="fr-FR"/>
        </w:rPr>
        <w:t>Eutanasia</w:t>
      </w:r>
      <w:proofErr w:type="spellEnd"/>
      <w:r w:rsidRPr="001256EA">
        <w:rPr>
          <w:rFonts w:ascii="Times New Roman" w:hAnsi="Times New Roman" w:cs="Times New Roman"/>
          <w:sz w:val="20"/>
          <w:szCs w:val="20"/>
          <w:lang w:val="fr-FR"/>
        </w:rPr>
        <w:t xml:space="preserve">. </w:t>
      </w:r>
      <w:r w:rsidRPr="001256EA">
        <w:rPr>
          <w:rFonts w:ascii="Times New Roman" w:hAnsi="Times New Roman" w:cs="Times New Roman"/>
          <w:i/>
          <w:iCs/>
          <w:sz w:val="20"/>
          <w:szCs w:val="20"/>
          <w:lang w:val="es-ES"/>
        </w:rPr>
        <w:t>Trabajo social global - Global Social Work: Revista de investigaciones en intervención social</w:t>
      </w:r>
      <w:r w:rsidRPr="001256EA">
        <w:rPr>
          <w:rFonts w:ascii="Times New Roman" w:hAnsi="Times New Roman" w:cs="Times New Roman"/>
          <w:sz w:val="20"/>
          <w:szCs w:val="20"/>
          <w:lang w:val="es-ES"/>
        </w:rPr>
        <w:t xml:space="preserve">, </w:t>
      </w:r>
      <w:r w:rsidRPr="001256EA">
        <w:rPr>
          <w:rFonts w:ascii="Times New Roman" w:hAnsi="Times New Roman" w:cs="Times New Roman"/>
          <w:i/>
          <w:iCs/>
          <w:sz w:val="20"/>
          <w:szCs w:val="20"/>
          <w:lang w:val="es-ES"/>
        </w:rPr>
        <w:t>13</w:t>
      </w:r>
      <w:r w:rsidRPr="001256EA">
        <w:rPr>
          <w:rFonts w:ascii="Times New Roman" w:hAnsi="Times New Roman" w:cs="Times New Roman"/>
          <w:sz w:val="20"/>
          <w:szCs w:val="20"/>
          <w:lang w:val="es-ES"/>
        </w:rPr>
        <w:t xml:space="preserve">, 22–44. </w:t>
      </w:r>
      <w:hyperlink r:id="rId157" w:history="1">
        <w:r w:rsidR="00D46287" w:rsidRPr="001256EA">
          <w:rPr>
            <w:rStyle w:val="Hyperlink"/>
            <w:rFonts w:ascii="Times New Roman" w:hAnsi="Times New Roman" w:cs="Times New Roman"/>
            <w:sz w:val="20"/>
            <w:szCs w:val="20"/>
          </w:rPr>
          <w:t>https://dialnet.unirioja.es/servlet/articulo?codigo=9239552</w:t>
        </w:r>
      </w:hyperlink>
      <w:r w:rsidR="00D46287" w:rsidRPr="001256EA">
        <w:rPr>
          <w:rFonts w:ascii="Times New Roman" w:hAnsi="Times New Roman" w:cs="Times New Roman"/>
          <w:sz w:val="20"/>
          <w:szCs w:val="20"/>
        </w:rPr>
        <w:t xml:space="preserve"> </w:t>
      </w:r>
    </w:p>
    <w:p w14:paraId="52869DA9" w14:textId="288F04A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Novoa-Jurado, A., &amp; Melguizo-Jiménez, M. (2021). </w:t>
      </w:r>
      <w:r w:rsidRPr="001256EA">
        <w:rPr>
          <w:rFonts w:ascii="Times New Roman" w:hAnsi="Times New Roman" w:cs="Times New Roman"/>
          <w:sz w:val="20"/>
          <w:szCs w:val="20"/>
        </w:rPr>
        <w:t xml:space="preserve">Family Medicine in the face of the law on medical aid in dying responsibility and guarantees. </w:t>
      </w:r>
      <w:r w:rsidRPr="001256EA">
        <w:rPr>
          <w:rFonts w:ascii="Times New Roman" w:hAnsi="Times New Roman" w:cs="Times New Roman"/>
          <w:i/>
          <w:iCs/>
          <w:sz w:val="20"/>
          <w:szCs w:val="20"/>
        </w:rPr>
        <w:t>Atencion Primaria</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53</w:t>
      </w:r>
      <w:r w:rsidRPr="001256EA">
        <w:rPr>
          <w:rFonts w:ascii="Times New Roman" w:hAnsi="Times New Roman" w:cs="Times New Roman"/>
          <w:sz w:val="20"/>
          <w:szCs w:val="20"/>
        </w:rPr>
        <w:t xml:space="preserve">(5), 102058–102058. </w:t>
      </w:r>
      <w:hyperlink r:id="rId158" w:history="1">
        <w:r w:rsidR="00D46287" w:rsidRPr="001256EA">
          <w:rPr>
            <w:rStyle w:val="Hyperlink"/>
            <w:rFonts w:ascii="Times New Roman" w:hAnsi="Times New Roman" w:cs="Times New Roman"/>
            <w:sz w:val="20"/>
            <w:szCs w:val="20"/>
          </w:rPr>
          <w:t>https://europepmc.org/article/med/33873137</w:t>
        </w:r>
      </w:hyperlink>
      <w:r w:rsidR="00D46287" w:rsidRPr="001256EA">
        <w:rPr>
          <w:rFonts w:ascii="Times New Roman" w:hAnsi="Times New Roman" w:cs="Times New Roman"/>
          <w:sz w:val="20"/>
          <w:szCs w:val="20"/>
        </w:rPr>
        <w:t xml:space="preserve"> </w:t>
      </w:r>
    </w:p>
    <w:p w14:paraId="115B3FE7" w14:textId="77119F6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lastRenderedPageBreak/>
        <w:t>Nutte</w:t>
      </w:r>
      <w:proofErr w:type="spellEnd"/>
      <w:r w:rsidRPr="001256EA">
        <w:rPr>
          <w:rFonts w:ascii="Times New Roman" w:hAnsi="Times New Roman" w:cs="Times New Roman"/>
          <w:sz w:val="20"/>
          <w:szCs w:val="20"/>
        </w:rPr>
        <w:t xml:space="preserve">, N. D. (2022). </w:t>
      </w:r>
      <w:r w:rsidRPr="001256EA">
        <w:rPr>
          <w:rFonts w:ascii="Times New Roman" w:hAnsi="Times New Roman" w:cs="Times New Roman"/>
          <w:i/>
          <w:iCs/>
          <w:sz w:val="20"/>
          <w:szCs w:val="20"/>
        </w:rPr>
        <w:t>In the Face of Death</w:t>
      </w:r>
      <w:r w:rsidRPr="001256EA">
        <w:rPr>
          <w:rFonts w:ascii="Times New Roman" w:hAnsi="Times New Roman" w:cs="Times New Roman"/>
          <w:sz w:val="20"/>
          <w:szCs w:val="20"/>
        </w:rPr>
        <w:t xml:space="preserve">. </w:t>
      </w:r>
      <w:hyperlink r:id="rId159" w:history="1">
        <w:r w:rsidR="00D46287" w:rsidRPr="001256EA">
          <w:rPr>
            <w:rStyle w:val="Hyperlink"/>
            <w:rFonts w:ascii="Times New Roman" w:hAnsi="Times New Roman" w:cs="Times New Roman"/>
            <w:sz w:val="20"/>
            <w:szCs w:val="20"/>
          </w:rPr>
          <w:t>https://doi.org/10.1163/25892525-bja10030</w:t>
        </w:r>
      </w:hyperlink>
      <w:r w:rsidR="00D46287" w:rsidRPr="001256EA">
        <w:rPr>
          <w:rFonts w:ascii="Times New Roman" w:hAnsi="Times New Roman" w:cs="Times New Roman"/>
          <w:sz w:val="20"/>
          <w:szCs w:val="20"/>
        </w:rPr>
        <w:t xml:space="preserve"> </w:t>
      </w:r>
    </w:p>
    <w:p w14:paraId="5A5705C5" w14:textId="71FBB505" w:rsidR="003F71D1" w:rsidRPr="001256EA" w:rsidRDefault="003F71D1"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lt-LT"/>
        </w:rPr>
        <w:t>Obilor</w:t>
      </w:r>
      <w:proofErr w:type="spellEnd"/>
      <w:r w:rsidRPr="001256EA">
        <w:rPr>
          <w:rFonts w:ascii="Times New Roman" w:hAnsi="Times New Roman" w:cs="Times New Roman"/>
          <w:sz w:val="20"/>
          <w:szCs w:val="20"/>
          <w:lang w:val="lt-LT"/>
        </w:rPr>
        <w:t xml:space="preserve">, E. I. (2023). </w:t>
      </w:r>
      <w:proofErr w:type="spellStart"/>
      <w:r w:rsidRPr="001256EA">
        <w:rPr>
          <w:rFonts w:ascii="Times New Roman" w:hAnsi="Times New Roman" w:cs="Times New Roman"/>
          <w:sz w:val="20"/>
          <w:szCs w:val="20"/>
          <w:lang w:val="lt-LT"/>
        </w:rPr>
        <w:t>Convenience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and</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purposive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sampling</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techniques</w:t>
      </w:r>
      <w:proofErr w:type="spellEnd"/>
      <w:r w:rsidRPr="001256EA">
        <w:rPr>
          <w:rFonts w:ascii="Times New Roman" w:hAnsi="Times New Roman" w:cs="Times New Roman"/>
          <w:sz w:val="20"/>
          <w:szCs w:val="20"/>
          <w:lang w:val="lt-LT"/>
        </w:rPr>
        <w:t xml:space="preserve">: Are </w:t>
      </w:r>
      <w:proofErr w:type="spellStart"/>
      <w:r w:rsidRPr="001256EA">
        <w:rPr>
          <w:rFonts w:ascii="Times New Roman" w:hAnsi="Times New Roman" w:cs="Times New Roman"/>
          <w:sz w:val="20"/>
          <w:szCs w:val="20"/>
          <w:lang w:val="lt-LT"/>
        </w:rPr>
        <w:t>they</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the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same</w:t>
      </w:r>
      <w:proofErr w:type="spellEnd"/>
      <w:r w:rsidRPr="001256EA">
        <w:rPr>
          <w:rFonts w:ascii="Times New Roman" w:hAnsi="Times New Roman" w:cs="Times New Roman"/>
          <w:sz w:val="20"/>
          <w:szCs w:val="20"/>
          <w:lang w:val="lt-LT"/>
        </w:rPr>
        <w:t>. </w:t>
      </w:r>
      <w:r w:rsidRPr="001256EA">
        <w:rPr>
          <w:rFonts w:ascii="Times New Roman" w:hAnsi="Times New Roman" w:cs="Times New Roman"/>
          <w:i/>
          <w:iCs/>
          <w:sz w:val="20"/>
          <w:szCs w:val="20"/>
          <w:lang w:val="lt-LT"/>
        </w:rPr>
        <w:t xml:space="preserve">International </w:t>
      </w:r>
      <w:proofErr w:type="spellStart"/>
      <w:r w:rsidRPr="001256EA">
        <w:rPr>
          <w:rFonts w:ascii="Times New Roman" w:hAnsi="Times New Roman" w:cs="Times New Roman"/>
          <w:i/>
          <w:iCs/>
          <w:sz w:val="20"/>
          <w:szCs w:val="20"/>
          <w:lang w:val="lt-LT"/>
        </w:rPr>
        <w:t>Journal</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of</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Innovative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Social</w:t>
      </w:r>
      <w:proofErr w:type="spellEnd"/>
      <w:r w:rsidRPr="001256EA">
        <w:rPr>
          <w:rFonts w:ascii="Times New Roman" w:hAnsi="Times New Roman" w:cs="Times New Roman"/>
          <w:i/>
          <w:iCs/>
          <w:sz w:val="20"/>
          <w:szCs w:val="20"/>
          <w:lang w:val="lt-LT"/>
        </w:rPr>
        <w:t xml:space="preserve"> &amp; </w:t>
      </w:r>
      <w:proofErr w:type="spellStart"/>
      <w:r w:rsidRPr="001256EA">
        <w:rPr>
          <w:rFonts w:ascii="Times New Roman" w:hAnsi="Times New Roman" w:cs="Times New Roman"/>
          <w:i/>
          <w:iCs/>
          <w:sz w:val="20"/>
          <w:szCs w:val="20"/>
          <w:lang w:val="lt-LT"/>
        </w:rPr>
        <w:t>Science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Education</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Research</w:t>
      </w:r>
      <w:proofErr w:type="spellEnd"/>
      <w:r w:rsidRPr="001256EA">
        <w:rPr>
          <w:rFonts w:ascii="Times New Roman" w:hAnsi="Times New Roman" w:cs="Times New Roman"/>
          <w:sz w:val="20"/>
          <w:szCs w:val="20"/>
          <w:lang w:val="lt-LT"/>
        </w:rPr>
        <w:t>, </w:t>
      </w:r>
      <w:r w:rsidRPr="001256EA">
        <w:rPr>
          <w:rFonts w:ascii="Times New Roman" w:hAnsi="Times New Roman" w:cs="Times New Roman"/>
          <w:i/>
          <w:iCs/>
          <w:sz w:val="20"/>
          <w:szCs w:val="20"/>
          <w:lang w:val="lt-LT"/>
        </w:rPr>
        <w:t>11</w:t>
      </w:r>
      <w:r w:rsidRPr="001256EA">
        <w:rPr>
          <w:rFonts w:ascii="Times New Roman" w:hAnsi="Times New Roman" w:cs="Times New Roman"/>
          <w:sz w:val="20"/>
          <w:szCs w:val="20"/>
          <w:lang w:val="lt-LT"/>
        </w:rPr>
        <w:t xml:space="preserve">(1), 1-7. </w:t>
      </w:r>
      <w:r w:rsidRPr="001256EA">
        <w:rPr>
          <w:rFonts w:ascii="Times New Roman" w:hAnsi="Times New Roman" w:cs="Times New Roman"/>
          <w:sz w:val="20"/>
          <w:szCs w:val="20"/>
          <w:lang w:val="en-GB"/>
        </w:rPr>
        <w:t xml:space="preserve">Retrieved 20.12.2025, From:  </w:t>
      </w:r>
      <w:r w:rsidRPr="001256EA">
        <w:rPr>
          <w:rFonts w:ascii="Times New Roman" w:hAnsi="Times New Roman" w:cs="Times New Roman"/>
          <w:sz w:val="20"/>
          <w:szCs w:val="20"/>
          <w:lang w:val="lt-LT"/>
        </w:rPr>
        <w:t>https://www.researchgate.net/profile/Esezi-Obilor/publication/398681103_Convenience_and_Purposive_Sampling_Techniques_Are_they_the_Same/links/693fe9e8a1fd01798907e406/Convenience-and-Purposive-Sampling-Techniques-Are-they-the-Same.pdf</w:t>
      </w:r>
    </w:p>
    <w:p w14:paraId="74AF3CC8" w14:textId="208DA9F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Oh, J. J. (2025). The Power of Words: Rebranding Euthanasia and Undermining Life’s Sanctity. </w:t>
      </w:r>
      <w:r w:rsidRPr="001256EA">
        <w:rPr>
          <w:rFonts w:ascii="Times New Roman" w:hAnsi="Times New Roman" w:cs="Times New Roman"/>
          <w:i/>
          <w:iCs/>
          <w:sz w:val="20"/>
          <w:szCs w:val="20"/>
        </w:rPr>
        <w:t>The Linacre Quarterly</w:t>
      </w:r>
      <w:r w:rsidRPr="001256EA">
        <w:rPr>
          <w:rFonts w:ascii="Times New Roman" w:hAnsi="Times New Roman" w:cs="Times New Roman"/>
          <w:sz w:val="20"/>
          <w:szCs w:val="20"/>
        </w:rPr>
        <w:t xml:space="preserve">, 00243639251356676. </w:t>
      </w:r>
      <w:hyperlink r:id="rId160" w:history="1">
        <w:r w:rsidR="00D46287" w:rsidRPr="001256EA">
          <w:rPr>
            <w:rStyle w:val="Hyperlink"/>
            <w:rFonts w:ascii="Times New Roman" w:hAnsi="Times New Roman" w:cs="Times New Roman"/>
            <w:sz w:val="20"/>
            <w:szCs w:val="20"/>
          </w:rPr>
          <w:t>https://doi.org/10.1177/00243639251356676</w:t>
        </w:r>
      </w:hyperlink>
      <w:r w:rsidR="00D46287" w:rsidRPr="001256EA">
        <w:rPr>
          <w:rFonts w:ascii="Times New Roman" w:hAnsi="Times New Roman" w:cs="Times New Roman"/>
          <w:sz w:val="20"/>
          <w:szCs w:val="20"/>
        </w:rPr>
        <w:t xml:space="preserve"> </w:t>
      </w:r>
    </w:p>
    <w:p w14:paraId="07723949" w14:textId="745F5FD4" w:rsidR="009F48CF" w:rsidRPr="001256EA" w:rsidRDefault="009F48CF"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Okoli, C. (2023). Inductive, abductive and deductive </w:t>
      </w:r>
      <w:proofErr w:type="spellStart"/>
      <w:r w:rsidRPr="001256EA">
        <w:rPr>
          <w:rFonts w:ascii="Times New Roman" w:hAnsi="Times New Roman" w:cs="Times New Roman"/>
          <w:sz w:val="20"/>
          <w:szCs w:val="20"/>
        </w:rPr>
        <w:t>theorising</w:t>
      </w:r>
      <w:proofErr w:type="spellEnd"/>
      <w:r w:rsidRPr="001256EA">
        <w:rPr>
          <w:rFonts w:ascii="Times New Roman" w:hAnsi="Times New Roman" w:cs="Times New Roman"/>
          <w:sz w:val="20"/>
          <w:szCs w:val="20"/>
        </w:rPr>
        <w:t>. International Journal of Management Concepts and Philosophy, 16(3), 302-316. Retrieved 20.12.2025, From: https://www.inderscienceonline.com/doi/abs/10.1504/IJMCP.2023.131769</w:t>
      </w:r>
    </w:p>
    <w:p w14:paraId="1C3C9515" w14:textId="6C4AAAD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BB574A">
        <w:rPr>
          <w:rFonts w:ascii="Times New Roman" w:hAnsi="Times New Roman" w:cs="Times New Roman"/>
          <w:sz w:val="20"/>
          <w:szCs w:val="20"/>
          <w:lang w:val="de-DE"/>
        </w:rPr>
        <w:t>Onwuteaka</w:t>
      </w:r>
      <w:proofErr w:type="spellEnd"/>
      <w:r w:rsidRPr="00BB574A">
        <w:rPr>
          <w:rFonts w:ascii="Times New Roman" w:hAnsi="Times New Roman" w:cs="Times New Roman"/>
          <w:sz w:val="20"/>
          <w:szCs w:val="20"/>
          <w:lang w:val="de-DE"/>
        </w:rPr>
        <w:t xml:space="preserve">-Philipsen, B. D., Brinkman-Stoppelenburg, A., Penning, C., de Jong-Krul, G. J., Van Delden, J. J., &amp; Van Der Heide, A. (2012). </w:t>
      </w:r>
      <w:r w:rsidRPr="001256EA">
        <w:rPr>
          <w:rFonts w:ascii="Times New Roman" w:hAnsi="Times New Roman" w:cs="Times New Roman"/>
          <w:sz w:val="20"/>
          <w:szCs w:val="20"/>
        </w:rPr>
        <w:t xml:space="preserve">Trends in end-of-life practices before and after the enactment of the euthanasia law in the Netherlands from 1990 to 2010: A repeated cross-sectional survey. </w:t>
      </w:r>
      <w:r w:rsidRPr="001256EA">
        <w:rPr>
          <w:rFonts w:ascii="Times New Roman" w:hAnsi="Times New Roman" w:cs="Times New Roman"/>
          <w:i/>
          <w:iCs/>
          <w:sz w:val="20"/>
          <w:szCs w:val="20"/>
        </w:rPr>
        <w:t>The Lancet</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380</w:t>
      </w:r>
      <w:r w:rsidRPr="001256EA">
        <w:rPr>
          <w:rFonts w:ascii="Times New Roman" w:hAnsi="Times New Roman" w:cs="Times New Roman"/>
          <w:sz w:val="20"/>
          <w:szCs w:val="20"/>
        </w:rPr>
        <w:t xml:space="preserve">(9845), 908–915. </w:t>
      </w:r>
      <w:hyperlink r:id="rId161" w:history="1">
        <w:r w:rsidR="00D46287" w:rsidRPr="001256EA">
          <w:rPr>
            <w:rStyle w:val="Hyperlink"/>
            <w:rFonts w:ascii="Times New Roman" w:hAnsi="Times New Roman" w:cs="Times New Roman"/>
            <w:sz w:val="20"/>
            <w:szCs w:val="20"/>
          </w:rPr>
          <w:t>https://www.thelancet.com/journals/lancet/article/PIIS0140-6736(12)61034-4/abstract</w:t>
        </w:r>
      </w:hyperlink>
      <w:r w:rsidR="00D46287" w:rsidRPr="001256EA">
        <w:rPr>
          <w:rFonts w:ascii="Times New Roman" w:hAnsi="Times New Roman" w:cs="Times New Roman"/>
          <w:sz w:val="20"/>
          <w:szCs w:val="20"/>
        </w:rPr>
        <w:t xml:space="preserve"> </w:t>
      </w:r>
    </w:p>
    <w:p w14:paraId="283D3FE5" w14:textId="49830EB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Orsini, F., Cioffi, A., Cipolloni, L., Bosco, M. A., </w:t>
      </w:r>
      <w:proofErr w:type="spellStart"/>
      <w:r w:rsidRPr="001256EA">
        <w:rPr>
          <w:rFonts w:ascii="Times New Roman" w:hAnsi="Times New Roman" w:cs="Times New Roman"/>
          <w:sz w:val="20"/>
          <w:szCs w:val="20"/>
          <w:lang w:val="es-ES"/>
        </w:rPr>
        <w:t>Fabrello</w:t>
      </w:r>
      <w:proofErr w:type="spellEnd"/>
      <w:r w:rsidRPr="001256EA">
        <w:rPr>
          <w:rFonts w:ascii="Times New Roman" w:hAnsi="Times New Roman" w:cs="Times New Roman"/>
          <w:sz w:val="20"/>
          <w:szCs w:val="20"/>
          <w:lang w:val="es-ES"/>
        </w:rPr>
        <w:t xml:space="preserve">, C., </w:t>
      </w:r>
      <w:proofErr w:type="spellStart"/>
      <w:r w:rsidRPr="001256EA">
        <w:rPr>
          <w:rFonts w:ascii="Times New Roman" w:hAnsi="Times New Roman" w:cs="Times New Roman"/>
          <w:sz w:val="20"/>
          <w:szCs w:val="20"/>
          <w:lang w:val="es-ES"/>
        </w:rPr>
        <w:t>Cecannecchia</w:t>
      </w:r>
      <w:proofErr w:type="spellEnd"/>
      <w:r w:rsidRPr="001256EA">
        <w:rPr>
          <w:rFonts w:ascii="Times New Roman" w:hAnsi="Times New Roman" w:cs="Times New Roman"/>
          <w:sz w:val="20"/>
          <w:szCs w:val="20"/>
          <w:lang w:val="es-ES"/>
        </w:rPr>
        <w:t xml:space="preserve">, C., &amp; De Simone, S. (2025). </w:t>
      </w:r>
      <w:r w:rsidRPr="001256EA">
        <w:rPr>
          <w:rFonts w:ascii="Times New Roman" w:hAnsi="Times New Roman" w:cs="Times New Roman"/>
          <w:sz w:val="20"/>
          <w:szCs w:val="20"/>
        </w:rPr>
        <w:t xml:space="preserve">Towards a European End-of-Life Regulation: A Necessary Analysis. </w:t>
      </w:r>
      <w:r w:rsidRPr="001256EA">
        <w:rPr>
          <w:rFonts w:ascii="Times New Roman" w:hAnsi="Times New Roman" w:cs="Times New Roman"/>
          <w:i/>
          <w:iCs/>
          <w:sz w:val="20"/>
          <w:szCs w:val="20"/>
        </w:rPr>
        <w:t>Healthcare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(2), 130. </w:t>
      </w:r>
      <w:hyperlink r:id="rId162" w:history="1">
        <w:r w:rsidR="00D46287" w:rsidRPr="001256EA">
          <w:rPr>
            <w:rStyle w:val="Hyperlink"/>
            <w:rFonts w:ascii="Times New Roman" w:hAnsi="Times New Roman" w:cs="Times New Roman"/>
            <w:sz w:val="20"/>
            <w:szCs w:val="20"/>
          </w:rPr>
          <w:t>https://www.mdpi.com/2227-9032/13/2/130</w:t>
        </w:r>
      </w:hyperlink>
      <w:r w:rsidR="00D46287" w:rsidRPr="001256EA">
        <w:rPr>
          <w:rFonts w:ascii="Times New Roman" w:hAnsi="Times New Roman" w:cs="Times New Roman"/>
          <w:sz w:val="20"/>
          <w:szCs w:val="20"/>
        </w:rPr>
        <w:t xml:space="preserve"> </w:t>
      </w:r>
    </w:p>
    <w:p w14:paraId="50C8ED5C" w14:textId="701418C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es-ES"/>
        </w:rPr>
      </w:pPr>
      <w:r w:rsidRPr="001256EA">
        <w:rPr>
          <w:rFonts w:ascii="Times New Roman" w:hAnsi="Times New Roman" w:cs="Times New Roman"/>
          <w:sz w:val="20"/>
          <w:szCs w:val="20"/>
          <w:lang w:val="es-ES"/>
        </w:rPr>
        <w:t xml:space="preserve">Paradela-López, M., &amp; </w:t>
      </w:r>
      <w:proofErr w:type="spellStart"/>
      <w:r w:rsidRPr="001256EA">
        <w:rPr>
          <w:rFonts w:ascii="Times New Roman" w:hAnsi="Times New Roman" w:cs="Times New Roman"/>
          <w:sz w:val="20"/>
          <w:szCs w:val="20"/>
          <w:lang w:val="es-ES"/>
        </w:rPr>
        <w:t>Jima</w:t>
      </w:r>
      <w:proofErr w:type="spellEnd"/>
      <w:r w:rsidRPr="001256EA">
        <w:rPr>
          <w:rFonts w:ascii="Times New Roman" w:hAnsi="Times New Roman" w:cs="Times New Roman"/>
          <w:sz w:val="20"/>
          <w:szCs w:val="20"/>
          <w:lang w:val="es-ES"/>
        </w:rPr>
        <w:t xml:space="preserve">-González, A. (2023). </w:t>
      </w:r>
      <w:r w:rsidRPr="001256EA">
        <w:rPr>
          <w:rFonts w:ascii="Times New Roman" w:hAnsi="Times New Roman" w:cs="Times New Roman"/>
          <w:sz w:val="20"/>
          <w:szCs w:val="20"/>
        </w:rPr>
        <w:t xml:space="preserve">Analyzing the Spanish Euthanasia Law: Achievements and inconsistencies of the legal assistance to die. </w:t>
      </w:r>
      <w:r w:rsidRPr="001256EA">
        <w:rPr>
          <w:rFonts w:ascii="Times New Roman" w:hAnsi="Times New Roman" w:cs="Times New Roman"/>
          <w:i/>
          <w:iCs/>
          <w:sz w:val="20"/>
          <w:szCs w:val="20"/>
          <w:lang w:val="es-ES"/>
        </w:rPr>
        <w:t xml:space="preserve">Rev. </w:t>
      </w:r>
      <w:proofErr w:type="spellStart"/>
      <w:r w:rsidRPr="001256EA">
        <w:rPr>
          <w:rFonts w:ascii="Times New Roman" w:hAnsi="Times New Roman" w:cs="Times New Roman"/>
          <w:i/>
          <w:iCs/>
          <w:sz w:val="20"/>
          <w:szCs w:val="20"/>
          <w:lang w:val="es-ES"/>
        </w:rPr>
        <w:t>Bioetica</w:t>
      </w:r>
      <w:proofErr w:type="spellEnd"/>
      <w:r w:rsidRPr="001256EA">
        <w:rPr>
          <w:rFonts w:ascii="Times New Roman" w:hAnsi="Times New Roman" w:cs="Times New Roman"/>
          <w:i/>
          <w:iCs/>
          <w:sz w:val="20"/>
          <w:szCs w:val="20"/>
          <w:lang w:val="es-ES"/>
        </w:rPr>
        <w:t xml:space="preserve"> &amp; Derecho</w:t>
      </w:r>
      <w:r w:rsidRPr="001256EA">
        <w:rPr>
          <w:rFonts w:ascii="Times New Roman" w:hAnsi="Times New Roman" w:cs="Times New Roman"/>
          <w:sz w:val="20"/>
          <w:szCs w:val="20"/>
          <w:lang w:val="es-ES"/>
        </w:rPr>
        <w:t xml:space="preserve">, </w:t>
      </w:r>
      <w:r w:rsidRPr="001256EA">
        <w:rPr>
          <w:rFonts w:ascii="Times New Roman" w:hAnsi="Times New Roman" w:cs="Times New Roman"/>
          <w:i/>
          <w:iCs/>
          <w:sz w:val="20"/>
          <w:szCs w:val="20"/>
          <w:lang w:val="es-ES"/>
        </w:rPr>
        <w:t>58</w:t>
      </w:r>
      <w:r w:rsidRPr="001256EA">
        <w:rPr>
          <w:rFonts w:ascii="Times New Roman" w:hAnsi="Times New Roman" w:cs="Times New Roman"/>
          <w:sz w:val="20"/>
          <w:szCs w:val="20"/>
          <w:lang w:val="es-ES"/>
        </w:rPr>
        <w:t xml:space="preserve">, 147. </w:t>
      </w:r>
      <w:hyperlink r:id="rId163" w:history="1">
        <w:r w:rsidR="00D46287" w:rsidRPr="001256EA">
          <w:rPr>
            <w:rStyle w:val="Hyperlink"/>
            <w:rFonts w:ascii="Times New Roman" w:hAnsi="Times New Roman" w:cs="Times New Roman"/>
            <w:sz w:val="20"/>
            <w:szCs w:val="20"/>
            <w:lang w:val="es-ES"/>
          </w:rPr>
          <w:t>https://heinonline.org/hol-cgi-bin/get_pdf.cgi?handle=hein.journals/rebiod58&amp;section=11</w:t>
        </w:r>
      </w:hyperlink>
      <w:r w:rsidR="00D46287" w:rsidRPr="001256EA">
        <w:rPr>
          <w:rFonts w:ascii="Times New Roman" w:hAnsi="Times New Roman" w:cs="Times New Roman"/>
          <w:sz w:val="20"/>
          <w:szCs w:val="20"/>
          <w:lang w:val="es-ES"/>
        </w:rPr>
        <w:t xml:space="preserve"> </w:t>
      </w:r>
    </w:p>
    <w:p w14:paraId="4746D2F7" w14:textId="745C2EA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Paterson, C. (2017). </w:t>
      </w:r>
      <w:r w:rsidRPr="001256EA">
        <w:rPr>
          <w:rFonts w:ascii="Times New Roman" w:hAnsi="Times New Roman" w:cs="Times New Roman"/>
          <w:i/>
          <w:iCs/>
          <w:sz w:val="20"/>
          <w:szCs w:val="20"/>
        </w:rPr>
        <w:t>Assisted suicide and euthanasia: A natural law ethics approach</w:t>
      </w:r>
      <w:r w:rsidRPr="001256EA">
        <w:rPr>
          <w:rFonts w:ascii="Times New Roman" w:hAnsi="Times New Roman" w:cs="Times New Roman"/>
          <w:sz w:val="20"/>
          <w:szCs w:val="20"/>
        </w:rPr>
        <w:t xml:space="preserve">. Routledge. </w:t>
      </w:r>
      <w:hyperlink r:id="rId164" w:history="1">
        <w:r w:rsidR="00D46287" w:rsidRPr="001256EA">
          <w:rPr>
            <w:rStyle w:val="Hyperlink"/>
            <w:rFonts w:ascii="Times New Roman" w:hAnsi="Times New Roman" w:cs="Times New Roman"/>
            <w:sz w:val="20"/>
            <w:szCs w:val="20"/>
          </w:rPr>
          <w:t>https://www.taylorfrancis.com/books/mono/10.4324/9781315096766/assisted-suicide-euthanasia-craig-paterson</w:t>
        </w:r>
      </w:hyperlink>
      <w:r w:rsidR="00D46287" w:rsidRPr="001256EA">
        <w:rPr>
          <w:rFonts w:ascii="Times New Roman" w:hAnsi="Times New Roman" w:cs="Times New Roman"/>
          <w:sz w:val="20"/>
          <w:szCs w:val="20"/>
        </w:rPr>
        <w:t xml:space="preserve"> </w:t>
      </w:r>
    </w:p>
    <w:p w14:paraId="4983D575" w14:textId="0517653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Perrett, R. W. (1996). Buddhism, euthanasia and the sanctity of life.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22</w:t>
      </w:r>
      <w:r w:rsidRPr="001256EA">
        <w:rPr>
          <w:rFonts w:ascii="Times New Roman" w:hAnsi="Times New Roman" w:cs="Times New Roman"/>
          <w:sz w:val="20"/>
          <w:szCs w:val="20"/>
        </w:rPr>
        <w:t xml:space="preserve">(5), 309–313. </w:t>
      </w:r>
      <w:hyperlink r:id="rId165" w:history="1">
        <w:r w:rsidR="00D46287" w:rsidRPr="001256EA">
          <w:rPr>
            <w:rStyle w:val="Hyperlink"/>
            <w:rFonts w:ascii="Times New Roman" w:hAnsi="Times New Roman" w:cs="Times New Roman"/>
            <w:sz w:val="20"/>
            <w:szCs w:val="20"/>
          </w:rPr>
          <w:t>https://jme.bmj.com/content/22/5/309.short</w:t>
        </w:r>
      </w:hyperlink>
      <w:r w:rsidR="00D46287" w:rsidRPr="001256EA">
        <w:rPr>
          <w:rFonts w:ascii="Times New Roman" w:hAnsi="Times New Roman" w:cs="Times New Roman"/>
          <w:sz w:val="20"/>
          <w:szCs w:val="20"/>
        </w:rPr>
        <w:t xml:space="preserve"> </w:t>
      </w:r>
    </w:p>
    <w:p w14:paraId="714960CF" w14:textId="67BB0E47" w:rsidR="00F13101" w:rsidRPr="001256EA" w:rsidRDefault="00F13101"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Pervin, N., &amp; Mokhtar, M. (2022). The interpretivist research paradigm: A subjective notion of a social context. </w:t>
      </w:r>
      <w:r w:rsidRPr="001256EA">
        <w:rPr>
          <w:rFonts w:ascii="Times New Roman" w:hAnsi="Times New Roman" w:cs="Times New Roman"/>
          <w:i/>
          <w:iCs/>
          <w:sz w:val="20"/>
          <w:szCs w:val="20"/>
        </w:rPr>
        <w:t>International Journal of Academic Research in Progressive Education and Development</w:t>
      </w:r>
      <w:r w:rsidRPr="001256EA">
        <w:rPr>
          <w:rFonts w:ascii="Times New Roman" w:hAnsi="Times New Roman" w:cs="Times New Roman"/>
          <w:sz w:val="20"/>
          <w:szCs w:val="20"/>
        </w:rPr>
        <w:t>, </w:t>
      </w:r>
      <w:r w:rsidRPr="001256EA">
        <w:rPr>
          <w:rFonts w:ascii="Times New Roman" w:hAnsi="Times New Roman" w:cs="Times New Roman"/>
          <w:i/>
          <w:iCs/>
          <w:sz w:val="20"/>
          <w:szCs w:val="20"/>
        </w:rPr>
        <w:t>11</w:t>
      </w:r>
      <w:r w:rsidRPr="001256EA">
        <w:rPr>
          <w:rFonts w:ascii="Times New Roman" w:hAnsi="Times New Roman" w:cs="Times New Roman"/>
          <w:sz w:val="20"/>
          <w:szCs w:val="20"/>
        </w:rPr>
        <w:t>(2), 419-428.</w:t>
      </w:r>
    </w:p>
    <w:p w14:paraId="61A0B39B" w14:textId="765F958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Pesut, B., Wright, D. K., Thorne, S., Hall, M. I., </w:t>
      </w:r>
      <w:proofErr w:type="spellStart"/>
      <w:r w:rsidRPr="001256EA">
        <w:rPr>
          <w:rFonts w:ascii="Times New Roman" w:hAnsi="Times New Roman" w:cs="Times New Roman"/>
          <w:sz w:val="20"/>
          <w:szCs w:val="20"/>
        </w:rPr>
        <w:t>Puurveen</w:t>
      </w:r>
      <w:proofErr w:type="spellEnd"/>
      <w:r w:rsidRPr="001256EA">
        <w:rPr>
          <w:rFonts w:ascii="Times New Roman" w:hAnsi="Times New Roman" w:cs="Times New Roman"/>
          <w:sz w:val="20"/>
          <w:szCs w:val="20"/>
        </w:rPr>
        <w:t xml:space="preserve">, G., Storch, J., &amp; Huggins, M. (2021). What’s suffering got to do with it? A qualitative study of suffering in the context of Medical Assistance in Dying (MAID). </w:t>
      </w:r>
      <w:r w:rsidRPr="001256EA">
        <w:rPr>
          <w:rFonts w:ascii="Times New Roman" w:hAnsi="Times New Roman" w:cs="Times New Roman"/>
          <w:i/>
          <w:iCs/>
          <w:sz w:val="20"/>
          <w:szCs w:val="20"/>
        </w:rPr>
        <w:t>BMC Palliative Care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20</w:t>
      </w:r>
      <w:r w:rsidRPr="001256EA">
        <w:rPr>
          <w:rFonts w:ascii="Times New Roman" w:hAnsi="Times New Roman" w:cs="Times New Roman"/>
          <w:sz w:val="20"/>
          <w:szCs w:val="20"/>
        </w:rPr>
        <w:t xml:space="preserve">(1), 174. </w:t>
      </w:r>
      <w:hyperlink r:id="rId166" w:history="1">
        <w:r w:rsidR="00D46287" w:rsidRPr="001256EA">
          <w:rPr>
            <w:rStyle w:val="Hyperlink"/>
            <w:rFonts w:ascii="Times New Roman" w:hAnsi="Times New Roman" w:cs="Times New Roman"/>
            <w:sz w:val="20"/>
            <w:szCs w:val="20"/>
          </w:rPr>
          <w:t>https://doi.org/10.1186/s12904-021-00869-1</w:t>
        </w:r>
      </w:hyperlink>
      <w:r w:rsidR="00D46287" w:rsidRPr="001256EA">
        <w:rPr>
          <w:rFonts w:ascii="Times New Roman" w:hAnsi="Times New Roman" w:cs="Times New Roman"/>
          <w:sz w:val="20"/>
          <w:szCs w:val="20"/>
        </w:rPr>
        <w:t xml:space="preserve"> </w:t>
      </w:r>
    </w:p>
    <w:p w14:paraId="6D1733CC" w14:textId="518053C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Petrakis, J. A. (2025). </w:t>
      </w:r>
      <w:r w:rsidRPr="001256EA">
        <w:rPr>
          <w:rFonts w:ascii="Times New Roman" w:hAnsi="Times New Roman" w:cs="Times New Roman"/>
          <w:i/>
          <w:iCs/>
          <w:sz w:val="20"/>
          <w:szCs w:val="20"/>
        </w:rPr>
        <w:t>Comparing Euthanasia Regimes: Empirical and Normative Analysis</w:t>
      </w:r>
      <w:r w:rsidRPr="001256EA">
        <w:rPr>
          <w:rFonts w:ascii="Times New Roman" w:hAnsi="Times New Roman" w:cs="Times New Roman"/>
          <w:sz w:val="20"/>
          <w:szCs w:val="20"/>
        </w:rPr>
        <w:t xml:space="preserve">. University of Notre Dame. </w:t>
      </w:r>
      <w:hyperlink r:id="rId167" w:history="1">
        <w:r w:rsidR="00D46287" w:rsidRPr="001256EA">
          <w:rPr>
            <w:rStyle w:val="Hyperlink"/>
            <w:rFonts w:ascii="Times New Roman" w:hAnsi="Times New Roman" w:cs="Times New Roman"/>
            <w:sz w:val="20"/>
            <w:szCs w:val="20"/>
          </w:rPr>
          <w:t>https://search.proquest.com/openview/66a2df0030254ce8bad2bda97ffa1077/1?pq-origsite=gscholar&amp;cbl=18750&amp;diss=y</w:t>
        </w:r>
      </w:hyperlink>
      <w:r w:rsidR="00D46287" w:rsidRPr="001256EA">
        <w:rPr>
          <w:rFonts w:ascii="Times New Roman" w:hAnsi="Times New Roman" w:cs="Times New Roman"/>
          <w:sz w:val="20"/>
          <w:szCs w:val="20"/>
        </w:rPr>
        <w:t xml:space="preserve"> </w:t>
      </w:r>
    </w:p>
    <w:p w14:paraId="5ACE0C1A" w14:textId="04AB4E72" w:rsidR="00690CEC" w:rsidRPr="001256EA" w:rsidRDefault="00690CEC"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Pietsch, W. (2022). On the epistemology of data science. Springer International Publishing. Retrieved 20.12.2025, From: https://link.springer.com/book/10.1007/978-3-030-86442-2</w:t>
      </w:r>
    </w:p>
    <w:p w14:paraId="57B80394" w14:textId="496E1D7B" w:rsidR="00922395" w:rsidRPr="001256EA" w:rsidRDefault="00922395"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lt-LT"/>
        </w:rPr>
        <w:t>Pocius, A. (2025). </w:t>
      </w:r>
      <w:r w:rsidRPr="001256EA">
        <w:rPr>
          <w:rFonts w:ascii="Times New Roman" w:hAnsi="Times New Roman" w:cs="Times New Roman"/>
          <w:i/>
          <w:iCs/>
          <w:sz w:val="20"/>
          <w:szCs w:val="20"/>
          <w:lang w:val="lt-LT"/>
        </w:rPr>
        <w:t>Nužudymas labai susijaudinus</w:t>
      </w:r>
      <w:r w:rsidRPr="001256EA">
        <w:rPr>
          <w:rFonts w:ascii="Times New Roman" w:hAnsi="Times New Roman" w:cs="Times New Roman"/>
          <w:sz w:val="20"/>
          <w:szCs w:val="20"/>
          <w:lang w:val="lt-LT"/>
        </w:rPr>
        <w:t> (</w:t>
      </w:r>
      <w:proofErr w:type="spellStart"/>
      <w:r w:rsidRPr="001256EA">
        <w:rPr>
          <w:rFonts w:ascii="Times New Roman" w:hAnsi="Times New Roman" w:cs="Times New Roman"/>
          <w:sz w:val="20"/>
          <w:szCs w:val="20"/>
          <w:lang w:val="lt-LT"/>
        </w:rPr>
        <w:t>Doctoral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dissertation</w:t>
      </w:r>
      <w:proofErr w:type="spellEnd"/>
      <w:r w:rsidRPr="001256EA">
        <w:rPr>
          <w:rFonts w:ascii="Times New Roman" w:hAnsi="Times New Roman" w:cs="Times New Roman"/>
          <w:sz w:val="20"/>
          <w:szCs w:val="20"/>
          <w:lang w:val="lt-LT"/>
        </w:rPr>
        <w:t xml:space="preserve">, Mykolo Romerio universitetas.). </w:t>
      </w:r>
      <w:r w:rsidRPr="001256EA">
        <w:rPr>
          <w:rFonts w:ascii="Times New Roman" w:hAnsi="Times New Roman" w:cs="Times New Roman"/>
          <w:sz w:val="20"/>
          <w:szCs w:val="20"/>
        </w:rPr>
        <w:t xml:space="preserve">Retrieved 19.12.2025, From: </w:t>
      </w:r>
      <w:hyperlink r:id="rId168" w:history="1">
        <w:r w:rsidRPr="001256EA">
          <w:rPr>
            <w:rStyle w:val="Hyperlink"/>
            <w:rFonts w:ascii="Times New Roman" w:hAnsi="Times New Roman" w:cs="Times New Roman"/>
            <w:sz w:val="20"/>
            <w:szCs w:val="20"/>
          </w:rPr>
          <w:t>https://gs.elaba.lt/object/elaba:237586966/</w:t>
        </w:r>
      </w:hyperlink>
    </w:p>
    <w:p w14:paraId="2E2B07EE" w14:textId="27B62B0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pl-PL"/>
        </w:rPr>
        <w:t>Pope</w:t>
      </w:r>
      <w:proofErr w:type="spellEnd"/>
      <w:r w:rsidRPr="001256EA">
        <w:rPr>
          <w:rFonts w:ascii="Times New Roman" w:hAnsi="Times New Roman" w:cs="Times New Roman"/>
          <w:sz w:val="20"/>
          <w:szCs w:val="20"/>
          <w:lang w:val="pl-PL"/>
        </w:rPr>
        <w:t xml:space="preserve">, T. M., &amp; </w:t>
      </w:r>
      <w:proofErr w:type="spellStart"/>
      <w:r w:rsidRPr="001256EA">
        <w:rPr>
          <w:rFonts w:ascii="Times New Roman" w:hAnsi="Times New Roman" w:cs="Times New Roman"/>
          <w:sz w:val="20"/>
          <w:szCs w:val="20"/>
          <w:lang w:val="pl-PL"/>
        </w:rPr>
        <w:t>Okninski</w:t>
      </w:r>
      <w:proofErr w:type="spellEnd"/>
      <w:r w:rsidRPr="001256EA">
        <w:rPr>
          <w:rFonts w:ascii="Times New Roman" w:hAnsi="Times New Roman" w:cs="Times New Roman"/>
          <w:sz w:val="20"/>
          <w:szCs w:val="20"/>
          <w:lang w:val="pl-PL"/>
        </w:rPr>
        <w:t xml:space="preserve">, M. E. (2016). </w:t>
      </w:r>
      <w:r w:rsidRPr="001256EA">
        <w:rPr>
          <w:rFonts w:ascii="Times New Roman" w:hAnsi="Times New Roman" w:cs="Times New Roman"/>
          <w:sz w:val="20"/>
          <w:szCs w:val="20"/>
        </w:rPr>
        <w:t xml:space="preserve">Legal Standards for Brain Death and Undue Influence in Euthanasia Laws. </w:t>
      </w:r>
      <w:r w:rsidRPr="001256EA">
        <w:rPr>
          <w:rFonts w:ascii="Times New Roman" w:hAnsi="Times New Roman" w:cs="Times New Roman"/>
          <w:i/>
          <w:iCs/>
          <w:sz w:val="20"/>
          <w:szCs w:val="20"/>
        </w:rPr>
        <w:t>Journal of Bioethical Inquiry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(2), 173–178. </w:t>
      </w:r>
      <w:hyperlink r:id="rId169" w:history="1">
        <w:r w:rsidR="00D46287" w:rsidRPr="001256EA">
          <w:rPr>
            <w:rStyle w:val="Hyperlink"/>
            <w:rFonts w:ascii="Times New Roman" w:hAnsi="Times New Roman" w:cs="Times New Roman"/>
            <w:sz w:val="20"/>
            <w:szCs w:val="20"/>
          </w:rPr>
          <w:t>https://doi.org/10.1007/s11673-016-9718-0</w:t>
        </w:r>
      </w:hyperlink>
      <w:r w:rsidR="00D46287" w:rsidRPr="001256EA">
        <w:rPr>
          <w:rFonts w:ascii="Times New Roman" w:hAnsi="Times New Roman" w:cs="Times New Roman"/>
          <w:sz w:val="20"/>
          <w:szCs w:val="20"/>
        </w:rPr>
        <w:t xml:space="preserve"> </w:t>
      </w:r>
    </w:p>
    <w:p w14:paraId="43DC01D0" w14:textId="594EDED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en-GB"/>
        </w:rPr>
        <w:t>Pousset</w:t>
      </w:r>
      <w:proofErr w:type="spellEnd"/>
      <w:r w:rsidRPr="001256EA">
        <w:rPr>
          <w:rFonts w:ascii="Times New Roman" w:hAnsi="Times New Roman" w:cs="Times New Roman"/>
          <w:sz w:val="20"/>
          <w:szCs w:val="20"/>
          <w:lang w:val="en-GB"/>
        </w:rPr>
        <w:t xml:space="preserve">, G., Mortier, F., Bilsen, J., Cohen, J., &amp; </w:t>
      </w:r>
      <w:proofErr w:type="spellStart"/>
      <w:r w:rsidRPr="001256EA">
        <w:rPr>
          <w:rFonts w:ascii="Times New Roman" w:hAnsi="Times New Roman" w:cs="Times New Roman"/>
          <w:sz w:val="20"/>
          <w:szCs w:val="20"/>
          <w:lang w:val="en-GB"/>
        </w:rPr>
        <w:t>Deliens</w:t>
      </w:r>
      <w:proofErr w:type="spellEnd"/>
      <w:r w:rsidRPr="001256EA">
        <w:rPr>
          <w:rFonts w:ascii="Times New Roman" w:hAnsi="Times New Roman" w:cs="Times New Roman"/>
          <w:sz w:val="20"/>
          <w:szCs w:val="20"/>
          <w:lang w:val="en-GB"/>
        </w:rPr>
        <w:t xml:space="preserve">, L. (2011). </w:t>
      </w:r>
      <w:r w:rsidRPr="001256EA">
        <w:rPr>
          <w:rFonts w:ascii="Times New Roman" w:hAnsi="Times New Roman" w:cs="Times New Roman"/>
          <w:sz w:val="20"/>
          <w:szCs w:val="20"/>
        </w:rPr>
        <w:t xml:space="preserve">Attitudes and practices of physicians regarding physician-assisted dying in minors. </w:t>
      </w:r>
      <w:r w:rsidRPr="001256EA">
        <w:rPr>
          <w:rFonts w:ascii="Times New Roman" w:hAnsi="Times New Roman" w:cs="Times New Roman"/>
          <w:i/>
          <w:iCs/>
          <w:sz w:val="20"/>
          <w:szCs w:val="20"/>
        </w:rPr>
        <w:t>Archives of Disease in Childhood</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96</w:t>
      </w:r>
      <w:r w:rsidRPr="001256EA">
        <w:rPr>
          <w:rFonts w:ascii="Times New Roman" w:hAnsi="Times New Roman" w:cs="Times New Roman"/>
          <w:sz w:val="20"/>
          <w:szCs w:val="20"/>
        </w:rPr>
        <w:t xml:space="preserve">(10), 948–953. </w:t>
      </w:r>
      <w:hyperlink r:id="rId170" w:history="1">
        <w:r w:rsidR="00D46287" w:rsidRPr="001256EA">
          <w:rPr>
            <w:rStyle w:val="Hyperlink"/>
            <w:rFonts w:ascii="Times New Roman" w:hAnsi="Times New Roman" w:cs="Times New Roman"/>
            <w:sz w:val="20"/>
            <w:szCs w:val="20"/>
          </w:rPr>
          <w:t>https://adc.bmj.com/content/96/10/948</w:t>
        </w:r>
      </w:hyperlink>
      <w:r w:rsidRPr="001256EA">
        <w:rPr>
          <w:rFonts w:ascii="Times New Roman" w:hAnsi="Times New Roman" w:cs="Times New Roman"/>
          <w:sz w:val="20"/>
          <w:szCs w:val="20"/>
        </w:rPr>
        <w:t>.</w:t>
      </w:r>
      <w:r w:rsidR="00D46287" w:rsidRPr="001256EA">
        <w:rPr>
          <w:rFonts w:ascii="Times New Roman" w:hAnsi="Times New Roman" w:cs="Times New Roman"/>
          <w:sz w:val="20"/>
          <w:szCs w:val="20"/>
        </w:rPr>
        <w:t xml:space="preserve"> </w:t>
      </w:r>
    </w:p>
    <w:p w14:paraId="4F191871" w14:textId="3A4A07E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Przybylak</w:t>
      </w:r>
      <w:proofErr w:type="spellEnd"/>
      <w:r w:rsidRPr="001256EA">
        <w:rPr>
          <w:rFonts w:ascii="Times New Roman" w:hAnsi="Times New Roman" w:cs="Times New Roman"/>
          <w:sz w:val="20"/>
          <w:szCs w:val="20"/>
        </w:rPr>
        <w:t xml:space="preserve">-Brouillard, A. (2016). </w:t>
      </w:r>
      <w:r w:rsidRPr="001256EA">
        <w:rPr>
          <w:rFonts w:ascii="Times New Roman" w:hAnsi="Times New Roman" w:cs="Times New Roman"/>
          <w:i/>
          <w:iCs/>
          <w:sz w:val="20"/>
          <w:szCs w:val="20"/>
        </w:rPr>
        <w:t>The Meaning of Suffering: Shaping Conceptualizations of Assisted-Death</w:t>
      </w:r>
      <w:r w:rsidRPr="001256EA">
        <w:rPr>
          <w:rFonts w:ascii="Times New Roman" w:hAnsi="Times New Roman" w:cs="Times New Roman"/>
          <w:sz w:val="20"/>
          <w:szCs w:val="20"/>
        </w:rPr>
        <w:t xml:space="preserve"> [PhD Thesis, Université </w:t>
      </w:r>
      <w:proofErr w:type="spellStart"/>
      <w:r w:rsidRPr="001256EA">
        <w:rPr>
          <w:rFonts w:ascii="Times New Roman" w:hAnsi="Times New Roman" w:cs="Times New Roman"/>
          <w:sz w:val="20"/>
          <w:szCs w:val="20"/>
        </w:rPr>
        <w:t>d’Ottawa</w:t>
      </w:r>
      <w:proofErr w:type="spellEnd"/>
      <w:r w:rsidRPr="001256EA">
        <w:rPr>
          <w:rFonts w:ascii="Times New Roman" w:hAnsi="Times New Roman" w:cs="Times New Roman"/>
          <w:sz w:val="20"/>
          <w:szCs w:val="20"/>
        </w:rPr>
        <w:t xml:space="preserve">/University of Ottawa]. </w:t>
      </w:r>
      <w:hyperlink r:id="rId171" w:history="1">
        <w:r w:rsidR="00D46287" w:rsidRPr="001256EA">
          <w:rPr>
            <w:rStyle w:val="Hyperlink"/>
            <w:rFonts w:ascii="Times New Roman" w:hAnsi="Times New Roman" w:cs="Times New Roman"/>
            <w:sz w:val="20"/>
            <w:szCs w:val="20"/>
          </w:rPr>
          <w:t>https://ruor.uottawa.ca/items/c60b954e-3317-4a6a-a41d-d2d1c06f9ccd</w:t>
        </w:r>
      </w:hyperlink>
      <w:r w:rsidR="00D46287" w:rsidRPr="001256EA">
        <w:rPr>
          <w:rFonts w:ascii="Times New Roman" w:hAnsi="Times New Roman" w:cs="Times New Roman"/>
          <w:sz w:val="20"/>
          <w:szCs w:val="20"/>
        </w:rPr>
        <w:t xml:space="preserve"> </w:t>
      </w:r>
    </w:p>
    <w:p w14:paraId="10CB9712" w14:textId="08E5DFC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Quill, T. E. (2005). Terri Schiavo—A Tragedy Compounded. </w:t>
      </w:r>
      <w:r w:rsidRPr="001256EA">
        <w:rPr>
          <w:rFonts w:ascii="Times New Roman" w:hAnsi="Times New Roman" w:cs="Times New Roman"/>
          <w:i/>
          <w:iCs/>
          <w:sz w:val="20"/>
          <w:szCs w:val="20"/>
        </w:rPr>
        <w:t>New England Journal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352</w:t>
      </w:r>
      <w:r w:rsidRPr="001256EA">
        <w:rPr>
          <w:rFonts w:ascii="Times New Roman" w:hAnsi="Times New Roman" w:cs="Times New Roman"/>
          <w:sz w:val="20"/>
          <w:szCs w:val="20"/>
        </w:rPr>
        <w:t xml:space="preserve">(16), 1630–1633. </w:t>
      </w:r>
      <w:hyperlink r:id="rId172" w:history="1">
        <w:r w:rsidR="00D46287" w:rsidRPr="001256EA">
          <w:rPr>
            <w:rStyle w:val="Hyperlink"/>
            <w:rFonts w:ascii="Times New Roman" w:hAnsi="Times New Roman" w:cs="Times New Roman"/>
            <w:sz w:val="20"/>
            <w:szCs w:val="20"/>
          </w:rPr>
          <w:t>https://doi.org/10.1056/NEJMp058062</w:t>
        </w:r>
      </w:hyperlink>
      <w:r w:rsidR="00D46287" w:rsidRPr="001256EA">
        <w:rPr>
          <w:rFonts w:ascii="Times New Roman" w:hAnsi="Times New Roman" w:cs="Times New Roman"/>
          <w:sz w:val="20"/>
          <w:szCs w:val="20"/>
        </w:rPr>
        <w:t xml:space="preserve"> </w:t>
      </w:r>
    </w:p>
    <w:p w14:paraId="6D6F5638" w14:textId="528B53A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Rachels, J. (1986). </w:t>
      </w:r>
      <w:r w:rsidRPr="001256EA">
        <w:rPr>
          <w:rFonts w:ascii="Times New Roman" w:hAnsi="Times New Roman" w:cs="Times New Roman"/>
          <w:i/>
          <w:iCs/>
          <w:sz w:val="20"/>
          <w:szCs w:val="20"/>
        </w:rPr>
        <w:t>The end of life: Euthanasia and morality</w:t>
      </w:r>
      <w:r w:rsidRPr="001256EA">
        <w:rPr>
          <w:rFonts w:ascii="Times New Roman" w:hAnsi="Times New Roman" w:cs="Times New Roman"/>
          <w:sz w:val="20"/>
          <w:szCs w:val="20"/>
        </w:rPr>
        <w:t xml:space="preserve">. </w:t>
      </w:r>
      <w:hyperlink r:id="rId173" w:history="1">
        <w:r w:rsidR="00D46287" w:rsidRPr="001256EA">
          <w:rPr>
            <w:rStyle w:val="Hyperlink"/>
            <w:rFonts w:ascii="Times New Roman" w:hAnsi="Times New Roman" w:cs="Times New Roman"/>
            <w:sz w:val="20"/>
            <w:szCs w:val="20"/>
          </w:rPr>
          <w:t>https://philpapers.org/rec/RACTEO</w:t>
        </w:r>
      </w:hyperlink>
      <w:r w:rsidR="00D46287" w:rsidRPr="001256EA">
        <w:rPr>
          <w:rFonts w:ascii="Times New Roman" w:hAnsi="Times New Roman" w:cs="Times New Roman"/>
          <w:sz w:val="20"/>
          <w:szCs w:val="20"/>
        </w:rPr>
        <w:t xml:space="preserve"> </w:t>
      </w:r>
    </w:p>
    <w:p w14:paraId="634B8386" w14:textId="456D615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BB574A">
        <w:rPr>
          <w:rFonts w:ascii="Times New Roman" w:hAnsi="Times New Roman" w:cs="Times New Roman"/>
          <w:sz w:val="20"/>
          <w:szCs w:val="20"/>
          <w:lang w:val="de-DE"/>
        </w:rPr>
        <w:t>Raijmakers</w:t>
      </w:r>
      <w:proofErr w:type="spellEnd"/>
      <w:r w:rsidRPr="00BB574A">
        <w:rPr>
          <w:rFonts w:ascii="Times New Roman" w:hAnsi="Times New Roman" w:cs="Times New Roman"/>
          <w:sz w:val="20"/>
          <w:szCs w:val="20"/>
          <w:lang w:val="de-DE"/>
        </w:rPr>
        <w:t xml:space="preserve">, N. J., van der Heide, A., </w:t>
      </w:r>
      <w:proofErr w:type="spellStart"/>
      <w:r w:rsidRPr="00BB574A">
        <w:rPr>
          <w:rFonts w:ascii="Times New Roman" w:hAnsi="Times New Roman" w:cs="Times New Roman"/>
          <w:sz w:val="20"/>
          <w:szCs w:val="20"/>
          <w:lang w:val="de-DE"/>
        </w:rPr>
        <w:t>Kouwenhoven</w:t>
      </w:r>
      <w:proofErr w:type="spellEnd"/>
      <w:r w:rsidRPr="00BB574A">
        <w:rPr>
          <w:rFonts w:ascii="Times New Roman" w:hAnsi="Times New Roman" w:cs="Times New Roman"/>
          <w:sz w:val="20"/>
          <w:szCs w:val="20"/>
          <w:lang w:val="de-DE"/>
        </w:rPr>
        <w:t xml:space="preserve">, P. S., van Thiel, G. J., van Delden, J. J., &amp; </w:t>
      </w:r>
      <w:proofErr w:type="spellStart"/>
      <w:r w:rsidRPr="00BB574A">
        <w:rPr>
          <w:rFonts w:ascii="Times New Roman" w:hAnsi="Times New Roman" w:cs="Times New Roman"/>
          <w:sz w:val="20"/>
          <w:szCs w:val="20"/>
          <w:lang w:val="de-DE"/>
        </w:rPr>
        <w:t>Rietjens</w:t>
      </w:r>
      <w:proofErr w:type="spellEnd"/>
      <w:r w:rsidRPr="00BB574A">
        <w:rPr>
          <w:rFonts w:ascii="Times New Roman" w:hAnsi="Times New Roman" w:cs="Times New Roman"/>
          <w:sz w:val="20"/>
          <w:szCs w:val="20"/>
          <w:lang w:val="de-DE"/>
        </w:rPr>
        <w:t xml:space="preserve">, J. A. (2015). </w:t>
      </w:r>
      <w:r w:rsidRPr="001256EA">
        <w:rPr>
          <w:rFonts w:ascii="Times New Roman" w:hAnsi="Times New Roman" w:cs="Times New Roman"/>
          <w:sz w:val="20"/>
          <w:szCs w:val="20"/>
        </w:rPr>
        <w:t xml:space="preserve">Assistance in dying for older people without a serious medical condition who have a wish to die: A </w:t>
      </w:r>
      <w:r w:rsidRPr="001256EA">
        <w:rPr>
          <w:rFonts w:ascii="Times New Roman" w:hAnsi="Times New Roman" w:cs="Times New Roman"/>
          <w:sz w:val="20"/>
          <w:szCs w:val="20"/>
        </w:rPr>
        <w:lastRenderedPageBreak/>
        <w:t xml:space="preserve">national cross-sectional survey.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(2), 145–150. </w:t>
      </w:r>
      <w:hyperlink r:id="rId174" w:history="1">
        <w:r w:rsidR="00D46287" w:rsidRPr="001256EA">
          <w:rPr>
            <w:rStyle w:val="Hyperlink"/>
            <w:rFonts w:ascii="Times New Roman" w:hAnsi="Times New Roman" w:cs="Times New Roman"/>
            <w:sz w:val="20"/>
            <w:szCs w:val="20"/>
          </w:rPr>
          <w:t>https://jme.bmj.com/content/41/2/145.short</w:t>
        </w:r>
      </w:hyperlink>
      <w:r w:rsidR="00D46287" w:rsidRPr="001256EA">
        <w:rPr>
          <w:rFonts w:ascii="Times New Roman" w:hAnsi="Times New Roman" w:cs="Times New Roman"/>
          <w:sz w:val="20"/>
          <w:szCs w:val="20"/>
        </w:rPr>
        <w:t xml:space="preserve"> </w:t>
      </w:r>
    </w:p>
    <w:p w14:paraId="63019C25" w14:textId="1C062C1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Raus, K. (2016). The Extension of Belgium’s Euthanasia Law to Include Competent Minors. </w:t>
      </w:r>
      <w:r w:rsidRPr="001256EA">
        <w:rPr>
          <w:rFonts w:ascii="Times New Roman" w:hAnsi="Times New Roman" w:cs="Times New Roman"/>
          <w:i/>
          <w:iCs/>
          <w:sz w:val="20"/>
          <w:szCs w:val="20"/>
        </w:rPr>
        <w:t>Journal of Bioethical Inquiry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13</w:t>
      </w:r>
      <w:r w:rsidRPr="001256EA">
        <w:rPr>
          <w:rFonts w:ascii="Times New Roman" w:hAnsi="Times New Roman" w:cs="Times New Roman"/>
          <w:sz w:val="20"/>
          <w:szCs w:val="20"/>
        </w:rPr>
        <w:t xml:space="preserve">(2), 305–315. </w:t>
      </w:r>
      <w:hyperlink r:id="rId175" w:history="1">
        <w:r w:rsidR="00D46287" w:rsidRPr="001256EA">
          <w:rPr>
            <w:rStyle w:val="Hyperlink"/>
            <w:rFonts w:ascii="Times New Roman" w:hAnsi="Times New Roman" w:cs="Times New Roman"/>
            <w:sz w:val="20"/>
            <w:szCs w:val="20"/>
          </w:rPr>
          <w:t>https://doi.org/10.1007/s11673-016-9705-5</w:t>
        </w:r>
      </w:hyperlink>
      <w:r w:rsidR="00D46287" w:rsidRPr="001256EA">
        <w:rPr>
          <w:rFonts w:ascii="Times New Roman" w:hAnsi="Times New Roman" w:cs="Times New Roman"/>
          <w:sz w:val="20"/>
          <w:szCs w:val="20"/>
        </w:rPr>
        <w:t xml:space="preserve"> </w:t>
      </w:r>
    </w:p>
    <w:p w14:paraId="7F0ABAE3" w14:textId="1DFF6AD3" w:rsidR="008917D2" w:rsidRPr="001256EA" w:rsidRDefault="008917D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en-GB"/>
        </w:rPr>
        <w:t xml:space="preserve">Raus, K., </w:t>
      </w:r>
      <w:proofErr w:type="spellStart"/>
      <w:r w:rsidRPr="00BB574A">
        <w:rPr>
          <w:rFonts w:ascii="Times New Roman" w:hAnsi="Times New Roman" w:cs="Times New Roman"/>
          <w:sz w:val="20"/>
          <w:szCs w:val="20"/>
          <w:lang w:val="en-GB"/>
        </w:rPr>
        <w:t>Deliens</w:t>
      </w:r>
      <w:proofErr w:type="spellEnd"/>
      <w:r w:rsidRPr="00BB574A">
        <w:rPr>
          <w:rFonts w:ascii="Times New Roman" w:hAnsi="Times New Roman" w:cs="Times New Roman"/>
          <w:sz w:val="20"/>
          <w:szCs w:val="20"/>
          <w:lang w:val="en-GB"/>
        </w:rPr>
        <w:t xml:space="preserve">, L., &amp; </w:t>
      </w:r>
      <w:proofErr w:type="spellStart"/>
      <w:r w:rsidRPr="00BB574A">
        <w:rPr>
          <w:rFonts w:ascii="Times New Roman" w:hAnsi="Times New Roman" w:cs="Times New Roman"/>
          <w:sz w:val="20"/>
          <w:szCs w:val="20"/>
          <w:lang w:val="en-GB"/>
        </w:rPr>
        <w:t>Chambaere</w:t>
      </w:r>
      <w:proofErr w:type="spellEnd"/>
      <w:r w:rsidRPr="00BB574A">
        <w:rPr>
          <w:rFonts w:ascii="Times New Roman" w:hAnsi="Times New Roman" w:cs="Times New Roman"/>
          <w:sz w:val="20"/>
          <w:szCs w:val="20"/>
          <w:lang w:val="en-GB"/>
        </w:rPr>
        <w:t xml:space="preserve">, K. (2021). </w:t>
      </w:r>
      <w:r w:rsidRPr="001256EA">
        <w:rPr>
          <w:rFonts w:ascii="Times New Roman" w:hAnsi="Times New Roman" w:cs="Times New Roman"/>
          <w:sz w:val="20"/>
          <w:szCs w:val="20"/>
        </w:rPr>
        <w:t>The extension of the Belgian euthanasia law to minors in 2014. In </w:t>
      </w:r>
      <w:r w:rsidRPr="001256EA">
        <w:rPr>
          <w:rFonts w:ascii="Times New Roman" w:hAnsi="Times New Roman" w:cs="Times New Roman"/>
          <w:i/>
          <w:iCs/>
          <w:sz w:val="20"/>
          <w:szCs w:val="20"/>
        </w:rPr>
        <w:t>International perspectives on end-of-life law reform: politics, persuasion and persistence</w:t>
      </w:r>
      <w:r w:rsidRPr="001256EA">
        <w:rPr>
          <w:rFonts w:ascii="Times New Roman" w:hAnsi="Times New Roman" w:cs="Times New Roman"/>
          <w:sz w:val="20"/>
          <w:szCs w:val="20"/>
        </w:rPr>
        <w:t> (</w:t>
      </w:r>
      <w:proofErr w:type="gramStart"/>
      <w:r w:rsidRPr="001256EA">
        <w:rPr>
          <w:rFonts w:ascii="Times New Roman" w:hAnsi="Times New Roman" w:cs="Times New Roman"/>
          <w:sz w:val="20"/>
          <w:szCs w:val="20"/>
        </w:rPr>
        <w:t>pp</w:t>
      </w:r>
      <w:proofErr w:type="gramEnd"/>
      <w:r w:rsidRPr="001256EA">
        <w:rPr>
          <w:rFonts w:ascii="Times New Roman" w:hAnsi="Times New Roman" w:cs="Times New Roman"/>
          <w:sz w:val="20"/>
          <w:szCs w:val="20"/>
        </w:rPr>
        <w:t>. 40-62). Cambridge University Press.</w:t>
      </w:r>
    </w:p>
    <w:p w14:paraId="4E28E4DE" w14:textId="7182ED2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fr-FR"/>
        </w:rPr>
      </w:pPr>
      <w:r w:rsidRPr="001256EA">
        <w:rPr>
          <w:rFonts w:ascii="Times New Roman" w:hAnsi="Times New Roman" w:cs="Times New Roman"/>
          <w:sz w:val="20"/>
          <w:szCs w:val="20"/>
        </w:rPr>
        <w:t xml:space="preserve">Regulation, P. (2018). General data protection regulation. </w:t>
      </w:r>
      <w:proofErr w:type="spellStart"/>
      <w:r w:rsidRPr="001256EA">
        <w:rPr>
          <w:rFonts w:ascii="Times New Roman" w:hAnsi="Times New Roman" w:cs="Times New Roman"/>
          <w:i/>
          <w:iCs/>
          <w:sz w:val="20"/>
          <w:szCs w:val="20"/>
          <w:lang w:val="fr-FR"/>
        </w:rPr>
        <w:t>Intouch</w:t>
      </w:r>
      <w:proofErr w:type="spellEnd"/>
      <w:r w:rsidRPr="001256EA">
        <w:rPr>
          <w:rFonts w:ascii="Times New Roman" w:hAnsi="Times New Roman" w:cs="Times New Roman"/>
          <w:sz w:val="20"/>
          <w:szCs w:val="20"/>
          <w:lang w:val="fr-FR"/>
        </w:rPr>
        <w:t xml:space="preserve">, </w:t>
      </w:r>
      <w:r w:rsidRPr="001256EA">
        <w:rPr>
          <w:rFonts w:ascii="Times New Roman" w:hAnsi="Times New Roman" w:cs="Times New Roman"/>
          <w:i/>
          <w:iCs/>
          <w:sz w:val="20"/>
          <w:szCs w:val="20"/>
          <w:lang w:val="fr-FR"/>
        </w:rPr>
        <w:t>25</w:t>
      </w:r>
      <w:r w:rsidRPr="001256EA">
        <w:rPr>
          <w:rFonts w:ascii="Times New Roman" w:hAnsi="Times New Roman" w:cs="Times New Roman"/>
          <w:sz w:val="20"/>
          <w:szCs w:val="20"/>
          <w:lang w:val="fr-FR"/>
        </w:rPr>
        <w:t xml:space="preserve">, 1–5. </w:t>
      </w:r>
      <w:hyperlink r:id="rId176" w:history="1">
        <w:r w:rsidRPr="001256EA">
          <w:rPr>
            <w:rStyle w:val="Hyperlink"/>
            <w:rFonts w:ascii="Times New Roman" w:hAnsi="Times New Roman" w:cs="Times New Roman"/>
            <w:sz w:val="20"/>
            <w:szCs w:val="20"/>
            <w:lang w:val="fr-FR"/>
          </w:rPr>
          <w:t>https://www.into.ie/app/uploads/2019/10/GDPR_FAQ.pdf</w:t>
        </w:r>
      </w:hyperlink>
      <w:r w:rsidRPr="001256EA">
        <w:rPr>
          <w:rFonts w:ascii="Times New Roman" w:hAnsi="Times New Roman" w:cs="Times New Roman"/>
          <w:sz w:val="20"/>
          <w:szCs w:val="20"/>
          <w:lang w:val="fr-FR"/>
        </w:rPr>
        <w:t xml:space="preserve"> </w:t>
      </w:r>
    </w:p>
    <w:p w14:paraId="5B81908A" w14:textId="6A983BE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BB574A">
        <w:rPr>
          <w:rFonts w:ascii="Times New Roman" w:hAnsi="Times New Roman" w:cs="Times New Roman"/>
          <w:sz w:val="20"/>
          <w:szCs w:val="20"/>
          <w:lang w:val="de-DE"/>
        </w:rPr>
        <w:t>Rietjens</w:t>
      </w:r>
      <w:proofErr w:type="spellEnd"/>
      <w:r w:rsidRPr="00BB574A">
        <w:rPr>
          <w:rFonts w:ascii="Times New Roman" w:hAnsi="Times New Roman" w:cs="Times New Roman"/>
          <w:sz w:val="20"/>
          <w:szCs w:val="20"/>
          <w:lang w:val="de-DE"/>
        </w:rPr>
        <w:t xml:space="preserve">, J. A. C., Van Der Maas, P. J., </w:t>
      </w:r>
      <w:proofErr w:type="spellStart"/>
      <w:r w:rsidRPr="00BB574A">
        <w:rPr>
          <w:rFonts w:ascii="Times New Roman" w:hAnsi="Times New Roman" w:cs="Times New Roman"/>
          <w:sz w:val="20"/>
          <w:szCs w:val="20"/>
          <w:lang w:val="de-DE"/>
        </w:rPr>
        <w:t>Onwuteaka</w:t>
      </w:r>
      <w:proofErr w:type="spellEnd"/>
      <w:r w:rsidRPr="00BB574A">
        <w:rPr>
          <w:rFonts w:ascii="Times New Roman" w:hAnsi="Times New Roman" w:cs="Times New Roman"/>
          <w:sz w:val="20"/>
          <w:szCs w:val="20"/>
          <w:lang w:val="de-DE"/>
        </w:rPr>
        <w:t xml:space="preserve">-Philipsen, B. D., Van Delden, J. J. M., &amp; Van Der Heide, A. (2009). </w:t>
      </w:r>
      <w:r w:rsidRPr="001256EA">
        <w:rPr>
          <w:rFonts w:ascii="Times New Roman" w:hAnsi="Times New Roman" w:cs="Times New Roman"/>
          <w:sz w:val="20"/>
          <w:szCs w:val="20"/>
        </w:rPr>
        <w:t xml:space="preserve">Two Decades of Research on Euthanasia from the Netherlands. What Have We Learnt and What Questions Remain? </w:t>
      </w:r>
      <w:r w:rsidRPr="001256EA">
        <w:rPr>
          <w:rFonts w:ascii="Times New Roman" w:hAnsi="Times New Roman" w:cs="Times New Roman"/>
          <w:i/>
          <w:iCs/>
          <w:sz w:val="20"/>
          <w:szCs w:val="20"/>
        </w:rPr>
        <w:t>Journal of Bioethical Inquiry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6</w:t>
      </w:r>
      <w:r w:rsidRPr="001256EA">
        <w:rPr>
          <w:rFonts w:ascii="Times New Roman" w:hAnsi="Times New Roman" w:cs="Times New Roman"/>
          <w:sz w:val="20"/>
          <w:szCs w:val="20"/>
        </w:rPr>
        <w:t xml:space="preserve">(3), 271–283. </w:t>
      </w:r>
      <w:hyperlink r:id="rId177" w:history="1">
        <w:r w:rsidR="00D46287" w:rsidRPr="001256EA">
          <w:rPr>
            <w:rStyle w:val="Hyperlink"/>
            <w:rFonts w:ascii="Times New Roman" w:hAnsi="Times New Roman" w:cs="Times New Roman"/>
            <w:sz w:val="20"/>
            <w:szCs w:val="20"/>
          </w:rPr>
          <w:t>https://doi.org/10.1007/s11673-009-9172-3</w:t>
        </w:r>
      </w:hyperlink>
      <w:r w:rsidR="00D46287" w:rsidRPr="001256EA">
        <w:rPr>
          <w:rFonts w:ascii="Times New Roman" w:hAnsi="Times New Roman" w:cs="Times New Roman"/>
          <w:sz w:val="20"/>
          <w:szCs w:val="20"/>
        </w:rPr>
        <w:t xml:space="preserve"> </w:t>
      </w:r>
    </w:p>
    <w:p w14:paraId="1492E011" w14:textId="09DB270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BB574A">
        <w:rPr>
          <w:rFonts w:ascii="Times New Roman" w:hAnsi="Times New Roman" w:cs="Times New Roman"/>
          <w:sz w:val="20"/>
          <w:szCs w:val="20"/>
          <w:lang w:val="de-DE"/>
        </w:rPr>
        <w:t>Rietjens</w:t>
      </w:r>
      <w:proofErr w:type="spellEnd"/>
      <w:r w:rsidRPr="00BB574A">
        <w:rPr>
          <w:rFonts w:ascii="Times New Roman" w:hAnsi="Times New Roman" w:cs="Times New Roman"/>
          <w:sz w:val="20"/>
          <w:szCs w:val="20"/>
          <w:lang w:val="de-DE"/>
        </w:rPr>
        <w:t xml:space="preserve">, J. A., </w:t>
      </w:r>
      <w:proofErr w:type="spellStart"/>
      <w:r w:rsidRPr="00BB574A">
        <w:rPr>
          <w:rFonts w:ascii="Times New Roman" w:hAnsi="Times New Roman" w:cs="Times New Roman"/>
          <w:sz w:val="20"/>
          <w:szCs w:val="20"/>
          <w:lang w:val="de-DE"/>
        </w:rPr>
        <w:t>Raijmakers</w:t>
      </w:r>
      <w:proofErr w:type="spellEnd"/>
      <w:r w:rsidRPr="00BB574A">
        <w:rPr>
          <w:rFonts w:ascii="Times New Roman" w:hAnsi="Times New Roman" w:cs="Times New Roman"/>
          <w:sz w:val="20"/>
          <w:szCs w:val="20"/>
          <w:lang w:val="de-DE"/>
        </w:rPr>
        <w:t xml:space="preserve">, N. J., </w:t>
      </w:r>
      <w:proofErr w:type="spellStart"/>
      <w:r w:rsidRPr="00BB574A">
        <w:rPr>
          <w:rFonts w:ascii="Times New Roman" w:hAnsi="Times New Roman" w:cs="Times New Roman"/>
          <w:sz w:val="20"/>
          <w:szCs w:val="20"/>
          <w:lang w:val="de-DE"/>
        </w:rPr>
        <w:t>Kouwenhoven</w:t>
      </w:r>
      <w:proofErr w:type="spellEnd"/>
      <w:r w:rsidRPr="00BB574A">
        <w:rPr>
          <w:rFonts w:ascii="Times New Roman" w:hAnsi="Times New Roman" w:cs="Times New Roman"/>
          <w:sz w:val="20"/>
          <w:szCs w:val="20"/>
          <w:lang w:val="de-DE"/>
        </w:rPr>
        <w:t xml:space="preserve">, P. S., Seale, C., Van Thiel, G. J., </w:t>
      </w:r>
      <w:proofErr w:type="spellStart"/>
      <w:r w:rsidRPr="00BB574A">
        <w:rPr>
          <w:rFonts w:ascii="Times New Roman" w:hAnsi="Times New Roman" w:cs="Times New Roman"/>
          <w:sz w:val="20"/>
          <w:szCs w:val="20"/>
          <w:lang w:val="de-DE"/>
        </w:rPr>
        <w:t>Trappenburg</w:t>
      </w:r>
      <w:proofErr w:type="spellEnd"/>
      <w:r w:rsidRPr="00BB574A">
        <w:rPr>
          <w:rFonts w:ascii="Times New Roman" w:hAnsi="Times New Roman" w:cs="Times New Roman"/>
          <w:sz w:val="20"/>
          <w:szCs w:val="20"/>
          <w:lang w:val="de-DE"/>
        </w:rPr>
        <w:t xml:space="preserve">, M., Van Delden, J. J., &amp; Van Der Heide, A. (2013). </w:t>
      </w:r>
      <w:r w:rsidRPr="001256EA">
        <w:rPr>
          <w:rFonts w:ascii="Times New Roman" w:hAnsi="Times New Roman" w:cs="Times New Roman"/>
          <w:sz w:val="20"/>
          <w:szCs w:val="20"/>
        </w:rPr>
        <w:t xml:space="preserve">News media coverage of euthanasia: A content analysis of Dutch national newspapers. </w:t>
      </w:r>
      <w:r w:rsidRPr="001256EA">
        <w:rPr>
          <w:rFonts w:ascii="Times New Roman" w:hAnsi="Times New Roman" w:cs="Times New Roman"/>
          <w:i/>
          <w:iCs/>
          <w:sz w:val="20"/>
          <w:szCs w:val="20"/>
        </w:rPr>
        <w:t>BMC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14</w:t>
      </w:r>
      <w:r w:rsidRPr="001256EA">
        <w:rPr>
          <w:rFonts w:ascii="Times New Roman" w:hAnsi="Times New Roman" w:cs="Times New Roman"/>
          <w:sz w:val="20"/>
          <w:szCs w:val="20"/>
        </w:rPr>
        <w:t xml:space="preserve">(1), 11. </w:t>
      </w:r>
      <w:hyperlink r:id="rId178" w:history="1">
        <w:r w:rsidR="00D46287" w:rsidRPr="001256EA">
          <w:rPr>
            <w:rStyle w:val="Hyperlink"/>
            <w:rFonts w:ascii="Times New Roman" w:hAnsi="Times New Roman" w:cs="Times New Roman"/>
            <w:sz w:val="20"/>
            <w:szCs w:val="20"/>
          </w:rPr>
          <w:t>https://doi.org/10.1186/1472-6939-14-11</w:t>
        </w:r>
      </w:hyperlink>
      <w:r w:rsidR="00D46287" w:rsidRPr="001256EA">
        <w:rPr>
          <w:rFonts w:ascii="Times New Roman" w:hAnsi="Times New Roman" w:cs="Times New Roman"/>
          <w:sz w:val="20"/>
          <w:szCs w:val="20"/>
        </w:rPr>
        <w:t xml:space="preserve"> </w:t>
      </w:r>
    </w:p>
    <w:p w14:paraId="61AAAF29" w14:textId="47BBE2C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Riou, F., Aubry, R., Pontone, S., &amp; Pennec, S. (2015). When physicians report having used medical drugs to deliberately end a patient’s life: Findings of the “End-of-Life in France” survey. </w:t>
      </w:r>
      <w:r w:rsidRPr="001256EA">
        <w:rPr>
          <w:rFonts w:ascii="Times New Roman" w:hAnsi="Times New Roman" w:cs="Times New Roman"/>
          <w:i/>
          <w:iCs/>
          <w:sz w:val="20"/>
          <w:szCs w:val="20"/>
        </w:rPr>
        <w:t>Journal of Pain and Symptom Management</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50</w:t>
      </w:r>
      <w:r w:rsidRPr="001256EA">
        <w:rPr>
          <w:rFonts w:ascii="Times New Roman" w:hAnsi="Times New Roman" w:cs="Times New Roman"/>
          <w:sz w:val="20"/>
          <w:szCs w:val="20"/>
        </w:rPr>
        <w:t xml:space="preserve">(2), 208–215. </w:t>
      </w:r>
      <w:hyperlink r:id="rId179" w:history="1">
        <w:r w:rsidR="00D46287" w:rsidRPr="001256EA">
          <w:rPr>
            <w:rStyle w:val="Hyperlink"/>
            <w:rFonts w:ascii="Times New Roman" w:hAnsi="Times New Roman" w:cs="Times New Roman"/>
            <w:sz w:val="20"/>
            <w:szCs w:val="20"/>
          </w:rPr>
          <w:t>https://www.sciencedirect.com/science/article/pii/S088539241500158X</w:t>
        </w:r>
      </w:hyperlink>
      <w:r w:rsidR="00D46287" w:rsidRPr="001256EA">
        <w:rPr>
          <w:rFonts w:ascii="Times New Roman" w:hAnsi="Times New Roman" w:cs="Times New Roman"/>
          <w:sz w:val="20"/>
          <w:szCs w:val="20"/>
        </w:rPr>
        <w:t xml:space="preserve"> </w:t>
      </w:r>
    </w:p>
    <w:p w14:paraId="6C0EA091" w14:textId="1CF9DC5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Rus, M., &amp; </w:t>
      </w:r>
      <w:proofErr w:type="spellStart"/>
      <w:r w:rsidRPr="001256EA">
        <w:rPr>
          <w:rFonts w:ascii="Times New Roman" w:hAnsi="Times New Roman" w:cs="Times New Roman"/>
          <w:sz w:val="20"/>
          <w:szCs w:val="20"/>
        </w:rPr>
        <w:t>Gastmans</w:t>
      </w:r>
      <w:proofErr w:type="spellEnd"/>
      <w:r w:rsidRPr="001256EA">
        <w:rPr>
          <w:rFonts w:ascii="Times New Roman" w:hAnsi="Times New Roman" w:cs="Times New Roman"/>
          <w:sz w:val="20"/>
          <w:szCs w:val="20"/>
        </w:rPr>
        <w:t xml:space="preserve">, C. (2024). Euthanasia and assisted suicide: Who are the vulnerable? </w:t>
      </w:r>
      <w:r w:rsidRPr="001256EA">
        <w:rPr>
          <w:rFonts w:ascii="Times New Roman" w:hAnsi="Times New Roman" w:cs="Times New Roman"/>
          <w:i/>
          <w:iCs/>
          <w:sz w:val="20"/>
          <w:szCs w:val="20"/>
        </w:rPr>
        <w:t>Clinical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19</w:t>
      </w:r>
      <w:r w:rsidRPr="001256EA">
        <w:rPr>
          <w:rFonts w:ascii="Times New Roman" w:hAnsi="Times New Roman" w:cs="Times New Roman"/>
          <w:sz w:val="20"/>
          <w:szCs w:val="20"/>
        </w:rPr>
        <w:t xml:space="preserve">(1), 18–25. </w:t>
      </w:r>
      <w:hyperlink r:id="rId180" w:history="1">
        <w:r w:rsidR="00D46287" w:rsidRPr="001256EA">
          <w:rPr>
            <w:rStyle w:val="Hyperlink"/>
            <w:rFonts w:ascii="Times New Roman" w:hAnsi="Times New Roman" w:cs="Times New Roman"/>
            <w:sz w:val="20"/>
            <w:szCs w:val="20"/>
          </w:rPr>
          <w:t>https://doi.org/10.1177/14777509231182003</w:t>
        </w:r>
      </w:hyperlink>
      <w:r w:rsidR="00D46287" w:rsidRPr="001256EA">
        <w:rPr>
          <w:rFonts w:ascii="Times New Roman" w:hAnsi="Times New Roman" w:cs="Times New Roman"/>
          <w:sz w:val="20"/>
          <w:szCs w:val="20"/>
        </w:rPr>
        <w:t xml:space="preserve"> </w:t>
      </w:r>
    </w:p>
    <w:p w14:paraId="0832D15E" w14:textId="558678F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Sabriseilabi</w:t>
      </w:r>
      <w:proofErr w:type="spellEnd"/>
      <w:r w:rsidRPr="001256EA">
        <w:rPr>
          <w:rFonts w:ascii="Times New Roman" w:hAnsi="Times New Roman" w:cs="Times New Roman"/>
          <w:sz w:val="20"/>
          <w:szCs w:val="20"/>
        </w:rPr>
        <w:t xml:space="preserve">, S., &amp; Williams, J. (2022). Dimensions of religion and attitudes toward euthanasia. </w:t>
      </w:r>
      <w:r w:rsidRPr="001256EA">
        <w:rPr>
          <w:rFonts w:ascii="Times New Roman" w:hAnsi="Times New Roman" w:cs="Times New Roman"/>
          <w:i/>
          <w:iCs/>
          <w:sz w:val="20"/>
          <w:szCs w:val="20"/>
        </w:rPr>
        <w:t>Death Studies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46</w:t>
      </w:r>
      <w:r w:rsidRPr="001256EA">
        <w:rPr>
          <w:rFonts w:ascii="Times New Roman" w:hAnsi="Times New Roman" w:cs="Times New Roman"/>
          <w:sz w:val="20"/>
          <w:szCs w:val="20"/>
        </w:rPr>
        <w:t xml:space="preserve">(5), 1149–1156. </w:t>
      </w:r>
      <w:hyperlink r:id="rId181" w:history="1">
        <w:r w:rsidR="00D46287" w:rsidRPr="001256EA">
          <w:rPr>
            <w:rStyle w:val="Hyperlink"/>
            <w:rFonts w:ascii="Times New Roman" w:hAnsi="Times New Roman" w:cs="Times New Roman"/>
            <w:sz w:val="20"/>
            <w:szCs w:val="20"/>
          </w:rPr>
          <w:t>https://doi.org/10.1080/07481187.2020.1800863</w:t>
        </w:r>
      </w:hyperlink>
      <w:r w:rsidR="00D46287" w:rsidRPr="001256EA">
        <w:rPr>
          <w:rFonts w:ascii="Times New Roman" w:hAnsi="Times New Roman" w:cs="Times New Roman"/>
          <w:sz w:val="20"/>
          <w:szCs w:val="20"/>
        </w:rPr>
        <w:t xml:space="preserve"> </w:t>
      </w:r>
    </w:p>
    <w:p w14:paraId="2096ABD6" w14:textId="52B57F8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Sadeq, A.-F. (2020). Whose life is it anyway? A reflective dialogue between religious and secular bioethical perspectives. </w:t>
      </w:r>
      <w:r w:rsidRPr="001256EA">
        <w:rPr>
          <w:rFonts w:ascii="Times New Roman" w:hAnsi="Times New Roman" w:cs="Times New Roman"/>
          <w:i/>
          <w:iCs/>
          <w:sz w:val="20"/>
          <w:szCs w:val="20"/>
        </w:rPr>
        <w:t>Ethics, Medicine and Public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14</w:t>
      </w:r>
      <w:r w:rsidRPr="001256EA">
        <w:rPr>
          <w:rFonts w:ascii="Times New Roman" w:hAnsi="Times New Roman" w:cs="Times New Roman"/>
          <w:sz w:val="20"/>
          <w:szCs w:val="20"/>
        </w:rPr>
        <w:t xml:space="preserve">, 100429. </w:t>
      </w:r>
      <w:hyperlink r:id="rId182" w:history="1">
        <w:r w:rsidR="00D46287" w:rsidRPr="001256EA">
          <w:rPr>
            <w:rStyle w:val="Hyperlink"/>
            <w:rFonts w:ascii="Times New Roman" w:hAnsi="Times New Roman" w:cs="Times New Roman"/>
            <w:sz w:val="20"/>
            <w:szCs w:val="20"/>
          </w:rPr>
          <w:t>https://www.sciencedirect.com/science/article/pii/S2352552519300945</w:t>
        </w:r>
      </w:hyperlink>
      <w:r w:rsidR="00D46287" w:rsidRPr="001256EA">
        <w:rPr>
          <w:rFonts w:ascii="Times New Roman" w:hAnsi="Times New Roman" w:cs="Times New Roman"/>
          <w:sz w:val="20"/>
          <w:szCs w:val="20"/>
        </w:rPr>
        <w:t xml:space="preserve"> </w:t>
      </w:r>
    </w:p>
    <w:p w14:paraId="4F4AFC6B" w14:textId="2E20BDF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Sahm, S. (2020). The Case Against Physician-Assisted Suicide and Euthanasia. </w:t>
      </w:r>
      <w:proofErr w:type="spellStart"/>
      <w:r w:rsidRPr="001256EA">
        <w:rPr>
          <w:rFonts w:ascii="Times New Roman" w:hAnsi="Times New Roman" w:cs="Times New Roman"/>
          <w:i/>
          <w:iCs/>
          <w:sz w:val="20"/>
          <w:szCs w:val="20"/>
        </w:rPr>
        <w:t>InPhysician</w:t>
      </w:r>
      <w:proofErr w:type="spellEnd"/>
      <w:r w:rsidRPr="001256EA">
        <w:rPr>
          <w:rFonts w:ascii="Times New Roman" w:hAnsi="Times New Roman" w:cs="Times New Roman"/>
          <w:i/>
          <w:iCs/>
          <w:sz w:val="20"/>
          <w:szCs w:val="20"/>
        </w:rPr>
        <w:t xml:space="preserve">-Assisted Suicide and Euthanasia: Before, During, and After the Holocaust, Edited by Sheldon Rubenfeld and Daniel P. </w:t>
      </w:r>
      <w:proofErr w:type="spellStart"/>
      <w:r w:rsidRPr="001256EA">
        <w:rPr>
          <w:rFonts w:ascii="Times New Roman" w:hAnsi="Times New Roman" w:cs="Times New Roman"/>
          <w:i/>
          <w:iCs/>
          <w:sz w:val="20"/>
          <w:szCs w:val="20"/>
        </w:rPr>
        <w:t>Sulmasy</w:t>
      </w:r>
      <w:proofErr w:type="spellEnd"/>
      <w:r w:rsidRPr="001256EA">
        <w:rPr>
          <w:rFonts w:ascii="Times New Roman" w:hAnsi="Times New Roman" w:cs="Times New Roman"/>
          <w:sz w:val="20"/>
          <w:szCs w:val="20"/>
        </w:rPr>
        <w:t xml:space="preserve">, 113–128. </w:t>
      </w:r>
      <w:r w:rsidR="00D46287" w:rsidRPr="001256EA">
        <w:rPr>
          <w:rFonts w:ascii="Times New Roman" w:hAnsi="Times New Roman" w:cs="Times New Roman"/>
          <w:sz w:val="20"/>
          <w:szCs w:val="20"/>
        </w:rPr>
        <w:t xml:space="preserve"> </w:t>
      </w:r>
      <w:hyperlink r:id="rId183" w:history="1">
        <w:r w:rsidR="00D46287" w:rsidRPr="001256EA">
          <w:rPr>
            <w:rStyle w:val="Hyperlink"/>
            <w:rFonts w:ascii="Times New Roman" w:hAnsi="Times New Roman" w:cs="Times New Roman"/>
            <w:sz w:val="20"/>
            <w:szCs w:val="20"/>
          </w:rPr>
          <w:t>https://books.google.com/books?hl=en&amp;lr=&amp;id=Ae4EEAAAQBAJ&amp;oi=fnd&amp;pg=PA113&amp;dq=Sahm,+S.+(2020).+The+Case+Against+Physician-Assisted+Suicide+and+Euthanasia.+InPhysician-Assisted+Suicide+and+Euthanasia:+Before,+During,+and+After+the+Holocaust,+edited+by+Sheldon+Rubenfeld+and+Daniel+P.+Sulmasy,+113-128.&amp;ots=ROgipNnO6P&amp;sig=6m08q1FxBuKIX97d05EjKVv0MlM</w:t>
        </w:r>
      </w:hyperlink>
      <w:r w:rsidR="00D46287" w:rsidRPr="001256EA">
        <w:rPr>
          <w:rFonts w:ascii="Times New Roman" w:hAnsi="Times New Roman" w:cs="Times New Roman"/>
          <w:sz w:val="20"/>
          <w:szCs w:val="20"/>
        </w:rPr>
        <w:t xml:space="preserve"> </w:t>
      </w:r>
    </w:p>
    <w:p w14:paraId="4278329B" w14:textId="183A3F59" w:rsidR="00690CEC" w:rsidRPr="001256EA" w:rsidRDefault="00690CEC" w:rsidP="000753F3">
      <w:pPr>
        <w:pStyle w:val="ListParagraph"/>
        <w:numPr>
          <w:ilvl w:val="0"/>
          <w:numId w:val="34"/>
        </w:numPr>
        <w:spacing w:line="276" w:lineRule="auto"/>
        <w:ind w:left="270"/>
        <w:jc w:val="both"/>
        <w:rPr>
          <w:rFonts w:ascii="Times New Roman" w:hAnsi="Times New Roman" w:cs="Times New Roman"/>
          <w:sz w:val="20"/>
          <w:szCs w:val="20"/>
          <w:lang w:val="de-DE"/>
        </w:rPr>
      </w:pPr>
      <w:proofErr w:type="spellStart"/>
      <w:r w:rsidRPr="001256EA">
        <w:rPr>
          <w:rFonts w:ascii="Times New Roman" w:hAnsi="Times New Roman" w:cs="Times New Roman"/>
          <w:sz w:val="20"/>
          <w:szCs w:val="20"/>
          <w:lang w:val="lt-LT"/>
        </w:rPr>
        <w:t>Salaymeh</w:t>
      </w:r>
      <w:proofErr w:type="spellEnd"/>
      <w:r w:rsidRPr="001256EA">
        <w:rPr>
          <w:rFonts w:ascii="Times New Roman" w:hAnsi="Times New Roman" w:cs="Times New Roman"/>
          <w:sz w:val="20"/>
          <w:szCs w:val="20"/>
          <w:lang w:val="lt-LT"/>
        </w:rPr>
        <w:t xml:space="preserve">, L., &amp; </w:t>
      </w:r>
      <w:proofErr w:type="spellStart"/>
      <w:r w:rsidRPr="001256EA">
        <w:rPr>
          <w:rFonts w:ascii="Times New Roman" w:hAnsi="Times New Roman" w:cs="Times New Roman"/>
          <w:sz w:val="20"/>
          <w:szCs w:val="20"/>
          <w:lang w:val="lt-LT"/>
        </w:rPr>
        <w:t>Michaels</w:t>
      </w:r>
      <w:proofErr w:type="spellEnd"/>
      <w:r w:rsidRPr="001256EA">
        <w:rPr>
          <w:rFonts w:ascii="Times New Roman" w:hAnsi="Times New Roman" w:cs="Times New Roman"/>
          <w:sz w:val="20"/>
          <w:szCs w:val="20"/>
          <w:lang w:val="lt-LT"/>
        </w:rPr>
        <w:t xml:space="preserve">, R. (2022). </w:t>
      </w:r>
      <w:proofErr w:type="spellStart"/>
      <w:r w:rsidRPr="001256EA">
        <w:rPr>
          <w:rFonts w:ascii="Times New Roman" w:hAnsi="Times New Roman" w:cs="Times New Roman"/>
          <w:sz w:val="20"/>
          <w:szCs w:val="20"/>
          <w:lang w:val="lt-LT"/>
        </w:rPr>
        <w:t>Decolonial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Comparative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Law</w:t>
      </w:r>
      <w:proofErr w:type="spellEnd"/>
      <w:r w:rsidRPr="001256EA">
        <w:rPr>
          <w:rFonts w:ascii="Times New Roman" w:hAnsi="Times New Roman" w:cs="Times New Roman"/>
          <w:sz w:val="20"/>
          <w:szCs w:val="20"/>
          <w:lang w:val="lt-LT"/>
        </w:rPr>
        <w:t xml:space="preserve">: A </w:t>
      </w:r>
      <w:proofErr w:type="spellStart"/>
      <w:r w:rsidRPr="001256EA">
        <w:rPr>
          <w:rFonts w:ascii="Times New Roman" w:hAnsi="Times New Roman" w:cs="Times New Roman"/>
          <w:sz w:val="20"/>
          <w:szCs w:val="20"/>
          <w:lang w:val="lt-LT"/>
        </w:rPr>
        <w:t>Conceptual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Beginning</w:t>
      </w:r>
      <w:proofErr w:type="spellEnd"/>
      <w:r w:rsidRPr="001256EA">
        <w:rPr>
          <w:rFonts w:ascii="Times New Roman" w:hAnsi="Times New Roman" w:cs="Times New Roman"/>
          <w:sz w:val="20"/>
          <w:szCs w:val="20"/>
          <w:lang w:val="lt-LT"/>
        </w:rPr>
        <w:t>. </w:t>
      </w:r>
      <w:proofErr w:type="spellStart"/>
      <w:r w:rsidRPr="001256EA">
        <w:rPr>
          <w:rFonts w:ascii="Times New Roman" w:hAnsi="Times New Roman" w:cs="Times New Roman"/>
          <w:i/>
          <w:iCs/>
          <w:sz w:val="20"/>
          <w:szCs w:val="20"/>
          <w:lang w:val="lt-LT"/>
        </w:rPr>
        <w:t>Rabels</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Zeitschrift</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für</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ausländisches</w:t>
      </w:r>
      <w:proofErr w:type="spellEnd"/>
      <w:r w:rsidRPr="001256EA">
        <w:rPr>
          <w:rFonts w:ascii="Times New Roman" w:hAnsi="Times New Roman" w:cs="Times New Roman"/>
          <w:i/>
          <w:iCs/>
          <w:sz w:val="20"/>
          <w:szCs w:val="20"/>
          <w:lang w:val="lt-LT"/>
        </w:rPr>
        <w:t xml:space="preserve"> und </w:t>
      </w:r>
      <w:proofErr w:type="spellStart"/>
      <w:r w:rsidRPr="001256EA">
        <w:rPr>
          <w:rFonts w:ascii="Times New Roman" w:hAnsi="Times New Roman" w:cs="Times New Roman"/>
          <w:i/>
          <w:iCs/>
          <w:sz w:val="20"/>
          <w:szCs w:val="20"/>
          <w:lang w:val="lt-LT"/>
        </w:rPr>
        <w:t>internationales</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Privatrecht</w:t>
      </w:r>
      <w:proofErr w:type="spellEnd"/>
      <w:r w:rsidRPr="001256EA">
        <w:rPr>
          <w:rFonts w:ascii="Times New Roman" w:hAnsi="Times New Roman" w:cs="Times New Roman"/>
          <w:i/>
          <w:iCs/>
          <w:sz w:val="20"/>
          <w:szCs w:val="20"/>
          <w:lang w:val="lt-LT"/>
        </w:rPr>
        <w:t>/</w:t>
      </w:r>
      <w:proofErr w:type="spellStart"/>
      <w:r w:rsidRPr="001256EA">
        <w:rPr>
          <w:rFonts w:ascii="Times New Roman" w:hAnsi="Times New Roman" w:cs="Times New Roman"/>
          <w:i/>
          <w:iCs/>
          <w:sz w:val="20"/>
          <w:szCs w:val="20"/>
          <w:lang w:val="lt-LT"/>
        </w:rPr>
        <w:t>The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Rabel</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Journal</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of</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Comparative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and</w:t>
      </w:r>
      <w:proofErr w:type="spellEnd"/>
      <w:r w:rsidRPr="001256EA">
        <w:rPr>
          <w:rFonts w:ascii="Times New Roman" w:hAnsi="Times New Roman" w:cs="Times New Roman"/>
          <w:i/>
          <w:iCs/>
          <w:sz w:val="20"/>
          <w:szCs w:val="20"/>
          <w:lang w:val="lt-LT"/>
        </w:rPr>
        <w:t xml:space="preserve"> International </w:t>
      </w:r>
      <w:proofErr w:type="spellStart"/>
      <w:r w:rsidRPr="001256EA">
        <w:rPr>
          <w:rFonts w:ascii="Times New Roman" w:hAnsi="Times New Roman" w:cs="Times New Roman"/>
          <w:i/>
          <w:iCs/>
          <w:sz w:val="20"/>
          <w:szCs w:val="20"/>
          <w:lang w:val="lt-LT"/>
        </w:rPr>
        <w:t>Private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Law</w:t>
      </w:r>
      <w:proofErr w:type="spellEnd"/>
      <w:r w:rsidRPr="001256EA">
        <w:rPr>
          <w:rFonts w:ascii="Times New Roman" w:hAnsi="Times New Roman" w:cs="Times New Roman"/>
          <w:sz w:val="20"/>
          <w:szCs w:val="20"/>
          <w:lang w:val="lt-LT"/>
        </w:rPr>
        <w:t>, 166-188.</w:t>
      </w:r>
    </w:p>
    <w:p w14:paraId="62BEAF86" w14:textId="68A30E2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Sanderson, M. A. (2002). Pretty v. United Kingdom. </w:t>
      </w:r>
      <w:r w:rsidRPr="001256EA">
        <w:rPr>
          <w:rFonts w:ascii="Times New Roman" w:hAnsi="Times New Roman" w:cs="Times New Roman"/>
          <w:i/>
          <w:iCs/>
          <w:sz w:val="20"/>
          <w:szCs w:val="20"/>
        </w:rPr>
        <w:t>American Journal of International Law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96</w:t>
      </w:r>
      <w:r w:rsidRPr="001256EA">
        <w:rPr>
          <w:rFonts w:ascii="Times New Roman" w:hAnsi="Times New Roman" w:cs="Times New Roman"/>
          <w:sz w:val="20"/>
          <w:szCs w:val="20"/>
        </w:rPr>
        <w:t xml:space="preserve">(4), 943–949. </w:t>
      </w:r>
      <w:hyperlink r:id="rId184" w:history="1">
        <w:r w:rsidR="00D46287" w:rsidRPr="001256EA">
          <w:rPr>
            <w:rStyle w:val="Hyperlink"/>
            <w:rFonts w:ascii="Times New Roman" w:hAnsi="Times New Roman" w:cs="Times New Roman"/>
            <w:sz w:val="20"/>
            <w:szCs w:val="20"/>
          </w:rPr>
          <w:t>https://www.cambridge.org/core/journals/american-journal-of-international-law/article/pretty-v-united-kingdom/89701F3BCCFA5BB3769478FC99814057</w:t>
        </w:r>
      </w:hyperlink>
      <w:r w:rsidR="00D46287" w:rsidRPr="001256EA">
        <w:rPr>
          <w:rFonts w:ascii="Times New Roman" w:hAnsi="Times New Roman" w:cs="Times New Roman"/>
          <w:sz w:val="20"/>
          <w:szCs w:val="20"/>
        </w:rPr>
        <w:t xml:space="preserve"> </w:t>
      </w:r>
    </w:p>
    <w:p w14:paraId="4860A230" w14:textId="42314352"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Sareen, R. (2019). India decides on Euthanasia: Is the debate over. </w:t>
      </w:r>
      <w:r w:rsidRPr="001256EA">
        <w:rPr>
          <w:rFonts w:ascii="Times New Roman" w:hAnsi="Times New Roman" w:cs="Times New Roman"/>
          <w:i/>
          <w:iCs/>
          <w:sz w:val="20"/>
          <w:szCs w:val="20"/>
        </w:rPr>
        <w:t>Health Care Current Reviews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7</w:t>
      </w:r>
      <w:r w:rsidRPr="001256EA">
        <w:rPr>
          <w:rFonts w:ascii="Times New Roman" w:hAnsi="Times New Roman" w:cs="Times New Roman"/>
          <w:sz w:val="20"/>
          <w:szCs w:val="20"/>
        </w:rPr>
        <w:t xml:space="preserve">(3), 1–3. </w:t>
      </w:r>
      <w:hyperlink r:id="rId185" w:history="1">
        <w:r w:rsidR="00D46287" w:rsidRPr="001256EA">
          <w:rPr>
            <w:rStyle w:val="Hyperlink"/>
            <w:rFonts w:ascii="Times New Roman" w:hAnsi="Times New Roman" w:cs="Times New Roman"/>
            <w:sz w:val="20"/>
            <w:szCs w:val="20"/>
          </w:rPr>
          <w:t>https://www.researchgate.net/profile/Rateesh-Sareen/publication/333813941_India_decides_on_Euthanasia_Is_the_debate_over/links/5d89eac1a6fdcc8fd61b3e09/India-decides-on-Euthanasia-Is-the-debate-over.pdf</w:t>
        </w:r>
      </w:hyperlink>
      <w:r w:rsidR="00D46287" w:rsidRPr="001256EA">
        <w:rPr>
          <w:rFonts w:ascii="Times New Roman" w:hAnsi="Times New Roman" w:cs="Times New Roman"/>
          <w:sz w:val="20"/>
          <w:szCs w:val="20"/>
        </w:rPr>
        <w:t xml:space="preserve"> </w:t>
      </w:r>
    </w:p>
    <w:p w14:paraId="3E3AE49A" w14:textId="497D9B9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pl-PL"/>
        </w:rPr>
      </w:pPr>
      <w:r w:rsidRPr="001256EA">
        <w:rPr>
          <w:rFonts w:ascii="Times New Roman" w:hAnsi="Times New Roman" w:cs="Times New Roman"/>
          <w:sz w:val="20"/>
          <w:szCs w:val="20"/>
          <w:lang w:val="es-ES"/>
        </w:rPr>
        <w:t xml:space="preserve">Saxena, S., Sharan, P., Garrido, M., &amp; Saraceno, B. (2006). </w:t>
      </w:r>
      <w:r w:rsidRPr="001256EA">
        <w:rPr>
          <w:rFonts w:ascii="Times New Roman" w:hAnsi="Times New Roman" w:cs="Times New Roman"/>
          <w:sz w:val="20"/>
          <w:szCs w:val="20"/>
        </w:rPr>
        <w:t xml:space="preserve">World Health Organization’s mental health atlas 2005: Implications for policy development. </w:t>
      </w:r>
      <w:r w:rsidRPr="001256EA">
        <w:rPr>
          <w:rFonts w:ascii="Times New Roman" w:hAnsi="Times New Roman" w:cs="Times New Roman"/>
          <w:i/>
          <w:iCs/>
          <w:sz w:val="20"/>
          <w:szCs w:val="20"/>
          <w:lang w:val="pl-PL"/>
        </w:rPr>
        <w:t>World Psychiatry</w:t>
      </w:r>
      <w:r w:rsidRPr="001256EA">
        <w:rPr>
          <w:rFonts w:ascii="Times New Roman" w:hAnsi="Times New Roman" w:cs="Times New Roman"/>
          <w:sz w:val="20"/>
          <w:szCs w:val="20"/>
          <w:lang w:val="pl-PL"/>
        </w:rPr>
        <w:t xml:space="preserve">, </w:t>
      </w:r>
      <w:r w:rsidRPr="001256EA">
        <w:rPr>
          <w:rFonts w:ascii="Times New Roman" w:hAnsi="Times New Roman" w:cs="Times New Roman"/>
          <w:i/>
          <w:iCs/>
          <w:sz w:val="20"/>
          <w:szCs w:val="20"/>
          <w:lang w:val="pl-PL"/>
        </w:rPr>
        <w:t>5</w:t>
      </w:r>
      <w:r w:rsidRPr="001256EA">
        <w:rPr>
          <w:rFonts w:ascii="Times New Roman" w:hAnsi="Times New Roman" w:cs="Times New Roman"/>
          <w:sz w:val="20"/>
          <w:szCs w:val="20"/>
          <w:lang w:val="pl-PL"/>
        </w:rPr>
        <w:t xml:space="preserve">(3), 179. </w:t>
      </w:r>
      <w:hyperlink r:id="rId186" w:history="1">
        <w:r w:rsidR="00D46287" w:rsidRPr="001256EA">
          <w:rPr>
            <w:rStyle w:val="Hyperlink"/>
            <w:rFonts w:ascii="Times New Roman" w:hAnsi="Times New Roman" w:cs="Times New Roman"/>
            <w:sz w:val="20"/>
            <w:szCs w:val="20"/>
            <w:lang w:val="pl-PL"/>
          </w:rPr>
          <w:t>https://pmc.ncbi.nlm.nih.gov/articles/PMC1636128/</w:t>
        </w:r>
      </w:hyperlink>
      <w:r w:rsidR="00D46287" w:rsidRPr="001256EA">
        <w:rPr>
          <w:rFonts w:ascii="Times New Roman" w:hAnsi="Times New Roman" w:cs="Times New Roman"/>
          <w:sz w:val="20"/>
          <w:szCs w:val="20"/>
          <w:lang w:val="pl-PL"/>
        </w:rPr>
        <w:t xml:space="preserve"> </w:t>
      </w:r>
    </w:p>
    <w:p w14:paraId="62D03483" w14:textId="65DDF16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Schüklenk, U. (2024). Rethinking assisted dying. </w:t>
      </w:r>
      <w:r w:rsidRPr="001256EA">
        <w:rPr>
          <w:rFonts w:ascii="Times New Roman" w:hAnsi="Times New Roman" w:cs="Times New Roman"/>
          <w:i/>
          <w:iCs/>
          <w:sz w:val="20"/>
          <w:szCs w:val="20"/>
        </w:rPr>
        <w:t>Social Philosophy and Policy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(2), 327–349. </w:t>
      </w:r>
      <w:hyperlink r:id="rId187" w:history="1">
        <w:r w:rsidR="00D46287" w:rsidRPr="001256EA">
          <w:rPr>
            <w:rStyle w:val="Hyperlink"/>
            <w:rFonts w:ascii="Times New Roman" w:hAnsi="Times New Roman" w:cs="Times New Roman"/>
            <w:sz w:val="20"/>
            <w:szCs w:val="20"/>
          </w:rPr>
          <w:t>https://www.cambridge.org/core/journals/social-philosophy-and-policy/article/rethinking-assisted-dying/69362519137C62FDD637E5FDAA49FEF4</w:t>
        </w:r>
      </w:hyperlink>
      <w:r w:rsidR="00D46287" w:rsidRPr="001256EA">
        <w:rPr>
          <w:rFonts w:ascii="Times New Roman" w:hAnsi="Times New Roman" w:cs="Times New Roman"/>
          <w:sz w:val="20"/>
          <w:szCs w:val="20"/>
        </w:rPr>
        <w:t xml:space="preserve"> </w:t>
      </w:r>
    </w:p>
    <w:p w14:paraId="687B73A8" w14:textId="55EE82D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Schwarzová, A. (2025). Best practices on informed consent procedures in sensitive areas of medical practice. </w:t>
      </w:r>
      <w:proofErr w:type="spellStart"/>
      <w:r w:rsidRPr="001256EA">
        <w:rPr>
          <w:rFonts w:ascii="Times New Roman" w:hAnsi="Times New Roman" w:cs="Times New Roman"/>
          <w:i/>
          <w:iCs/>
          <w:sz w:val="20"/>
          <w:szCs w:val="20"/>
        </w:rPr>
        <w:t>Bioethica</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11</w:t>
      </w:r>
      <w:r w:rsidRPr="001256EA">
        <w:rPr>
          <w:rFonts w:ascii="Times New Roman" w:hAnsi="Times New Roman" w:cs="Times New Roman"/>
          <w:sz w:val="20"/>
          <w:szCs w:val="20"/>
        </w:rPr>
        <w:t xml:space="preserve">(1), 64–80. </w:t>
      </w:r>
      <w:hyperlink r:id="rId188" w:history="1">
        <w:r w:rsidR="00D46287" w:rsidRPr="001256EA">
          <w:rPr>
            <w:rStyle w:val="Hyperlink"/>
            <w:rFonts w:ascii="Times New Roman" w:hAnsi="Times New Roman" w:cs="Times New Roman"/>
            <w:sz w:val="20"/>
            <w:szCs w:val="20"/>
          </w:rPr>
          <w:t>https://ejournals.epublishing.ekt.gr/index.php/bioethica/article/view/40932</w:t>
        </w:r>
      </w:hyperlink>
      <w:r w:rsidR="00D46287" w:rsidRPr="001256EA">
        <w:rPr>
          <w:rFonts w:ascii="Times New Roman" w:hAnsi="Times New Roman" w:cs="Times New Roman"/>
          <w:sz w:val="20"/>
          <w:szCs w:val="20"/>
        </w:rPr>
        <w:t xml:space="preserve"> </w:t>
      </w:r>
    </w:p>
    <w:p w14:paraId="6310EDB7" w14:textId="31BF1A1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Schweitser, F. (2025). Exploring the role of kinship involvement in euthanasia procedures: A case study of euthanasia in patients with psychiatric disorders in Belgium. </w:t>
      </w:r>
      <w:r w:rsidRPr="001256EA">
        <w:rPr>
          <w:rFonts w:ascii="Times New Roman" w:hAnsi="Times New Roman" w:cs="Times New Roman"/>
          <w:i/>
          <w:iCs/>
          <w:sz w:val="20"/>
          <w:szCs w:val="20"/>
        </w:rPr>
        <w:t>Clinical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20</w:t>
      </w:r>
      <w:r w:rsidRPr="001256EA">
        <w:rPr>
          <w:rFonts w:ascii="Times New Roman" w:hAnsi="Times New Roman" w:cs="Times New Roman"/>
          <w:sz w:val="20"/>
          <w:szCs w:val="20"/>
        </w:rPr>
        <w:t xml:space="preserve">(1), 4–10. </w:t>
      </w:r>
      <w:hyperlink r:id="rId189" w:history="1">
        <w:r w:rsidR="00D46287" w:rsidRPr="001256EA">
          <w:rPr>
            <w:rStyle w:val="Hyperlink"/>
            <w:rFonts w:ascii="Times New Roman" w:hAnsi="Times New Roman" w:cs="Times New Roman"/>
            <w:sz w:val="20"/>
            <w:szCs w:val="20"/>
          </w:rPr>
          <w:t>https://doi.org/10.1177/14777509241283314</w:t>
        </w:r>
      </w:hyperlink>
      <w:r w:rsidR="00D46287" w:rsidRPr="001256EA">
        <w:rPr>
          <w:rFonts w:ascii="Times New Roman" w:hAnsi="Times New Roman" w:cs="Times New Roman"/>
          <w:sz w:val="20"/>
          <w:szCs w:val="20"/>
        </w:rPr>
        <w:t xml:space="preserve"> </w:t>
      </w:r>
    </w:p>
    <w:p w14:paraId="1B7C5EB9" w14:textId="283A2C2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lastRenderedPageBreak/>
        <w:t xml:space="preserve">Schweren, L. J., Rasing, S. P., </w:t>
      </w:r>
      <w:proofErr w:type="spellStart"/>
      <w:r w:rsidRPr="00BB574A">
        <w:rPr>
          <w:rFonts w:ascii="Times New Roman" w:hAnsi="Times New Roman" w:cs="Times New Roman"/>
          <w:sz w:val="20"/>
          <w:szCs w:val="20"/>
          <w:lang w:val="de-DE"/>
        </w:rPr>
        <w:t>Kammeraat</w:t>
      </w:r>
      <w:proofErr w:type="spellEnd"/>
      <w:r w:rsidRPr="00BB574A">
        <w:rPr>
          <w:rFonts w:ascii="Times New Roman" w:hAnsi="Times New Roman" w:cs="Times New Roman"/>
          <w:sz w:val="20"/>
          <w:szCs w:val="20"/>
          <w:lang w:val="de-DE"/>
        </w:rPr>
        <w:t xml:space="preserve">, M., </w:t>
      </w:r>
      <w:proofErr w:type="spellStart"/>
      <w:r w:rsidRPr="00BB574A">
        <w:rPr>
          <w:rFonts w:ascii="Times New Roman" w:hAnsi="Times New Roman" w:cs="Times New Roman"/>
          <w:sz w:val="20"/>
          <w:szCs w:val="20"/>
          <w:lang w:val="de-DE"/>
        </w:rPr>
        <w:t>Middelkoop</w:t>
      </w:r>
      <w:proofErr w:type="spellEnd"/>
      <w:r w:rsidRPr="00BB574A">
        <w:rPr>
          <w:rFonts w:ascii="Times New Roman" w:hAnsi="Times New Roman" w:cs="Times New Roman"/>
          <w:sz w:val="20"/>
          <w:szCs w:val="20"/>
          <w:lang w:val="de-DE"/>
        </w:rPr>
        <w:t xml:space="preserve">, L. A., Werner, R., </w:t>
      </w:r>
      <w:proofErr w:type="spellStart"/>
      <w:r w:rsidRPr="00BB574A">
        <w:rPr>
          <w:rFonts w:ascii="Times New Roman" w:hAnsi="Times New Roman" w:cs="Times New Roman"/>
          <w:sz w:val="20"/>
          <w:szCs w:val="20"/>
          <w:lang w:val="de-DE"/>
        </w:rPr>
        <w:t>Mérelle</w:t>
      </w:r>
      <w:proofErr w:type="spellEnd"/>
      <w:r w:rsidRPr="00BB574A">
        <w:rPr>
          <w:rFonts w:ascii="Times New Roman" w:hAnsi="Times New Roman" w:cs="Times New Roman"/>
          <w:sz w:val="20"/>
          <w:szCs w:val="20"/>
          <w:lang w:val="de-DE"/>
        </w:rPr>
        <w:t xml:space="preserve">, S. Y., Garcia, J. M., Creemers, D. H., &amp; van Veen, S. M. (2025). </w:t>
      </w:r>
      <w:r w:rsidRPr="001256EA">
        <w:rPr>
          <w:rFonts w:ascii="Times New Roman" w:hAnsi="Times New Roman" w:cs="Times New Roman"/>
          <w:sz w:val="20"/>
          <w:szCs w:val="20"/>
        </w:rPr>
        <w:t xml:space="preserve">Requests for medical assistance in dying by young Dutch people with psychiatric disorders. </w:t>
      </w:r>
      <w:r w:rsidRPr="001256EA">
        <w:rPr>
          <w:rFonts w:ascii="Times New Roman" w:hAnsi="Times New Roman" w:cs="Times New Roman"/>
          <w:i/>
          <w:iCs/>
          <w:sz w:val="20"/>
          <w:szCs w:val="20"/>
        </w:rPr>
        <w:t>JAMA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82</w:t>
      </w:r>
      <w:r w:rsidRPr="001256EA">
        <w:rPr>
          <w:rFonts w:ascii="Times New Roman" w:hAnsi="Times New Roman" w:cs="Times New Roman"/>
          <w:sz w:val="20"/>
          <w:szCs w:val="20"/>
        </w:rPr>
        <w:t xml:space="preserve">(3), 246–252. </w:t>
      </w:r>
      <w:hyperlink r:id="rId190" w:history="1">
        <w:r w:rsidR="00D46287" w:rsidRPr="001256EA">
          <w:rPr>
            <w:rStyle w:val="Hyperlink"/>
            <w:rFonts w:ascii="Times New Roman" w:hAnsi="Times New Roman" w:cs="Times New Roman"/>
            <w:sz w:val="20"/>
            <w:szCs w:val="20"/>
          </w:rPr>
          <w:t>https://jamanetwork.com/journals/jamapsychiatry/article-abstract/2828937</w:t>
        </w:r>
      </w:hyperlink>
      <w:r w:rsidR="00D46287" w:rsidRPr="001256EA">
        <w:rPr>
          <w:rFonts w:ascii="Times New Roman" w:hAnsi="Times New Roman" w:cs="Times New Roman"/>
          <w:sz w:val="20"/>
          <w:szCs w:val="20"/>
        </w:rPr>
        <w:t xml:space="preserve"> </w:t>
      </w:r>
    </w:p>
    <w:p w14:paraId="0D4A9F80" w14:textId="23776EE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Sercu, M., </w:t>
      </w:r>
      <w:proofErr w:type="spellStart"/>
      <w:r w:rsidRPr="001256EA">
        <w:rPr>
          <w:rFonts w:ascii="Times New Roman" w:hAnsi="Times New Roman" w:cs="Times New Roman"/>
          <w:sz w:val="20"/>
          <w:szCs w:val="20"/>
        </w:rPr>
        <w:t>Pype</w:t>
      </w:r>
      <w:proofErr w:type="spellEnd"/>
      <w:r w:rsidRPr="001256EA">
        <w:rPr>
          <w:rFonts w:ascii="Times New Roman" w:hAnsi="Times New Roman" w:cs="Times New Roman"/>
          <w:sz w:val="20"/>
          <w:szCs w:val="20"/>
        </w:rPr>
        <w:t xml:space="preserve">, P., Christiaens, T., Grypdonck, M., Derese, A., &amp; </w:t>
      </w:r>
      <w:proofErr w:type="spellStart"/>
      <w:r w:rsidRPr="001256EA">
        <w:rPr>
          <w:rFonts w:ascii="Times New Roman" w:hAnsi="Times New Roman" w:cs="Times New Roman"/>
          <w:sz w:val="20"/>
          <w:szCs w:val="20"/>
        </w:rPr>
        <w:t>Deveugele</w:t>
      </w:r>
      <w:proofErr w:type="spellEnd"/>
      <w:r w:rsidRPr="001256EA">
        <w:rPr>
          <w:rFonts w:ascii="Times New Roman" w:hAnsi="Times New Roman" w:cs="Times New Roman"/>
          <w:sz w:val="20"/>
          <w:szCs w:val="20"/>
        </w:rPr>
        <w:t xml:space="preserve">, M. (2012). Are general practitioners prepared to end life on request in a country where euthanasia is </w:t>
      </w:r>
      <w:proofErr w:type="spellStart"/>
      <w:r w:rsidRPr="001256EA">
        <w:rPr>
          <w:rFonts w:ascii="Times New Roman" w:hAnsi="Times New Roman" w:cs="Times New Roman"/>
          <w:sz w:val="20"/>
          <w:szCs w:val="20"/>
        </w:rPr>
        <w:t>legalised</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38</w:t>
      </w:r>
      <w:r w:rsidRPr="001256EA">
        <w:rPr>
          <w:rFonts w:ascii="Times New Roman" w:hAnsi="Times New Roman" w:cs="Times New Roman"/>
          <w:sz w:val="20"/>
          <w:szCs w:val="20"/>
        </w:rPr>
        <w:t xml:space="preserve">(5), 274–280. </w:t>
      </w:r>
      <w:hyperlink r:id="rId191" w:history="1">
        <w:r w:rsidR="00D46287" w:rsidRPr="001256EA">
          <w:rPr>
            <w:rStyle w:val="Hyperlink"/>
            <w:rFonts w:ascii="Times New Roman" w:hAnsi="Times New Roman" w:cs="Times New Roman"/>
            <w:sz w:val="20"/>
            <w:szCs w:val="20"/>
          </w:rPr>
          <w:t>https://jme.bmj.com/content/38/5/274.short</w:t>
        </w:r>
      </w:hyperlink>
      <w:r w:rsidR="00D46287" w:rsidRPr="001256EA">
        <w:rPr>
          <w:rFonts w:ascii="Times New Roman" w:hAnsi="Times New Roman" w:cs="Times New Roman"/>
          <w:sz w:val="20"/>
          <w:szCs w:val="20"/>
        </w:rPr>
        <w:t xml:space="preserve"> </w:t>
      </w:r>
    </w:p>
    <w:p w14:paraId="02D59F23" w14:textId="742A30A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Shala, I., &amp; Gusha, K. (2016). The debate over Euthanasia and human rights. </w:t>
      </w:r>
      <w:r w:rsidRPr="001256EA">
        <w:rPr>
          <w:rFonts w:ascii="Times New Roman" w:hAnsi="Times New Roman" w:cs="Times New Roman"/>
          <w:i/>
          <w:iCs/>
          <w:sz w:val="20"/>
          <w:szCs w:val="20"/>
        </w:rPr>
        <w:t>European Scientific Journal</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w:t>
      </w:r>
      <w:r w:rsidRPr="001256EA">
        <w:rPr>
          <w:rFonts w:ascii="Times New Roman" w:hAnsi="Times New Roman" w:cs="Times New Roman"/>
          <w:sz w:val="20"/>
          <w:szCs w:val="20"/>
        </w:rPr>
        <w:t xml:space="preserve">(8). </w:t>
      </w:r>
      <w:hyperlink r:id="rId192" w:history="1">
        <w:r w:rsidR="00D46287" w:rsidRPr="001256EA">
          <w:rPr>
            <w:rStyle w:val="Hyperlink"/>
            <w:rFonts w:ascii="Times New Roman" w:hAnsi="Times New Roman" w:cs="Times New Roman"/>
            <w:sz w:val="20"/>
            <w:szCs w:val="20"/>
          </w:rPr>
          <w:t>https://core.ac.uk/download/pdf/328025369.pdf</w:t>
        </w:r>
      </w:hyperlink>
      <w:r w:rsidR="00D46287" w:rsidRPr="001256EA">
        <w:rPr>
          <w:rFonts w:ascii="Times New Roman" w:hAnsi="Times New Roman" w:cs="Times New Roman"/>
          <w:sz w:val="20"/>
          <w:szCs w:val="20"/>
        </w:rPr>
        <w:t xml:space="preserve"> </w:t>
      </w:r>
    </w:p>
    <w:p w14:paraId="297163B2" w14:textId="37A9713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Singh, Y., &amp; Acharya, P. P. (2024). Examining Euthanasia: Comparative Analysis of the Right to Die in Legal and Ethical Contexts. </w:t>
      </w:r>
      <w:r w:rsidRPr="001256EA">
        <w:rPr>
          <w:rFonts w:ascii="Times New Roman" w:hAnsi="Times New Roman" w:cs="Times New Roman"/>
          <w:i/>
          <w:iCs/>
          <w:sz w:val="20"/>
          <w:szCs w:val="20"/>
        </w:rPr>
        <w:t>Issue 1 Int’l JL Mgmt. &amp; Human.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7</w:t>
      </w:r>
      <w:r w:rsidRPr="001256EA">
        <w:rPr>
          <w:rFonts w:ascii="Times New Roman" w:hAnsi="Times New Roman" w:cs="Times New Roman"/>
          <w:sz w:val="20"/>
          <w:szCs w:val="20"/>
        </w:rPr>
        <w:t xml:space="preserve">, 1933. </w:t>
      </w:r>
      <w:hyperlink r:id="rId193" w:history="1">
        <w:r w:rsidR="00D46287" w:rsidRPr="001256EA">
          <w:rPr>
            <w:rStyle w:val="Hyperlink"/>
            <w:rFonts w:ascii="Times New Roman" w:hAnsi="Times New Roman" w:cs="Times New Roman"/>
            <w:sz w:val="20"/>
            <w:szCs w:val="20"/>
          </w:rPr>
          <w:t>https://heinonline.org/hol-cgi-bin/get_pdf.cgi?handle=hein.journals/ijlmhs27&amp;section=161</w:t>
        </w:r>
      </w:hyperlink>
      <w:r w:rsidR="00D46287" w:rsidRPr="001256EA">
        <w:rPr>
          <w:rFonts w:ascii="Times New Roman" w:hAnsi="Times New Roman" w:cs="Times New Roman"/>
          <w:sz w:val="20"/>
          <w:szCs w:val="20"/>
        </w:rPr>
        <w:t xml:space="preserve"> </w:t>
      </w:r>
    </w:p>
    <w:p w14:paraId="7E0A6BAB" w14:textId="42BABD7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a-DK"/>
        </w:rPr>
        <w:t xml:space="preserve">Smets, T., Bilsen, J., Cohen, J., Rurup, M. L., &amp; Deliens, L. (2010). </w:t>
      </w:r>
      <w:r w:rsidRPr="001256EA">
        <w:rPr>
          <w:rFonts w:ascii="Times New Roman" w:hAnsi="Times New Roman" w:cs="Times New Roman"/>
          <w:sz w:val="20"/>
          <w:szCs w:val="20"/>
        </w:rPr>
        <w:t xml:space="preserve">Legal euthanasia in Belgium: Characteristics of all reported euthanasia cases. </w:t>
      </w:r>
      <w:r w:rsidRPr="001256EA">
        <w:rPr>
          <w:rFonts w:ascii="Times New Roman" w:hAnsi="Times New Roman" w:cs="Times New Roman"/>
          <w:i/>
          <w:iCs/>
          <w:sz w:val="20"/>
          <w:szCs w:val="20"/>
        </w:rPr>
        <w:t>Medical Care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48</w:t>
      </w:r>
      <w:r w:rsidRPr="001256EA">
        <w:rPr>
          <w:rFonts w:ascii="Times New Roman" w:hAnsi="Times New Roman" w:cs="Times New Roman"/>
          <w:sz w:val="20"/>
          <w:szCs w:val="20"/>
        </w:rPr>
        <w:t xml:space="preserve">(2), 187–192. </w:t>
      </w:r>
      <w:hyperlink r:id="rId194" w:history="1">
        <w:r w:rsidR="00D46287" w:rsidRPr="001256EA">
          <w:rPr>
            <w:rStyle w:val="Hyperlink"/>
            <w:rFonts w:ascii="Times New Roman" w:hAnsi="Times New Roman" w:cs="Times New Roman"/>
            <w:sz w:val="20"/>
            <w:szCs w:val="20"/>
          </w:rPr>
          <w:t>https://journals.lww.com/lww-medicalcare/fulltext/2010/02000/The_Work_Limitations_Questionnaire.15.aspx</w:t>
        </w:r>
      </w:hyperlink>
      <w:r w:rsidR="00D46287" w:rsidRPr="001256EA">
        <w:rPr>
          <w:rFonts w:ascii="Times New Roman" w:hAnsi="Times New Roman" w:cs="Times New Roman"/>
          <w:sz w:val="20"/>
          <w:szCs w:val="20"/>
        </w:rPr>
        <w:t xml:space="preserve"> </w:t>
      </w:r>
    </w:p>
    <w:p w14:paraId="70D16E50" w14:textId="36A4C15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a-DK"/>
        </w:rPr>
        <w:t xml:space="preserve">Smets, T., Bilsen, J., Van den Block, L., Cohen, J., Van Casteren, V., &amp; Deliens, L. (2010). </w:t>
      </w:r>
      <w:r w:rsidRPr="001256EA">
        <w:rPr>
          <w:rFonts w:ascii="Times New Roman" w:hAnsi="Times New Roman" w:cs="Times New Roman"/>
          <w:sz w:val="20"/>
          <w:szCs w:val="20"/>
        </w:rPr>
        <w:t xml:space="preserve">Euthanasia in patients dying at home in Belgium: Interview study on adherence to legal safeguards. </w:t>
      </w:r>
      <w:r w:rsidRPr="001256EA">
        <w:rPr>
          <w:rFonts w:ascii="Times New Roman" w:hAnsi="Times New Roman" w:cs="Times New Roman"/>
          <w:i/>
          <w:iCs/>
          <w:sz w:val="20"/>
          <w:szCs w:val="20"/>
        </w:rPr>
        <w:t>The British Journal of General Practice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60</w:t>
      </w:r>
      <w:r w:rsidRPr="001256EA">
        <w:rPr>
          <w:rFonts w:ascii="Times New Roman" w:hAnsi="Times New Roman" w:cs="Times New Roman"/>
          <w:sz w:val="20"/>
          <w:szCs w:val="20"/>
        </w:rPr>
        <w:t xml:space="preserve">(573), e163. </w:t>
      </w:r>
      <w:hyperlink r:id="rId195" w:history="1">
        <w:r w:rsidR="00D46287" w:rsidRPr="001256EA">
          <w:rPr>
            <w:rStyle w:val="Hyperlink"/>
            <w:rFonts w:ascii="Times New Roman" w:hAnsi="Times New Roman" w:cs="Times New Roman"/>
            <w:sz w:val="20"/>
            <w:szCs w:val="20"/>
          </w:rPr>
          <w:t>https://pmc.ncbi.nlm.nih.gov/articles/PMC2845507/</w:t>
        </w:r>
      </w:hyperlink>
      <w:r w:rsidR="00D46287" w:rsidRPr="001256EA">
        <w:rPr>
          <w:rFonts w:ascii="Times New Roman" w:hAnsi="Times New Roman" w:cs="Times New Roman"/>
          <w:sz w:val="20"/>
          <w:szCs w:val="20"/>
        </w:rPr>
        <w:t xml:space="preserve"> </w:t>
      </w:r>
    </w:p>
    <w:p w14:paraId="2D81E22F" w14:textId="5F7CA5E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Smets, T., Cohen, J., Bilsen, J., Van </w:t>
      </w:r>
      <w:proofErr w:type="spellStart"/>
      <w:r w:rsidRPr="001256EA">
        <w:rPr>
          <w:rFonts w:ascii="Times New Roman" w:hAnsi="Times New Roman" w:cs="Times New Roman"/>
          <w:sz w:val="20"/>
          <w:szCs w:val="20"/>
        </w:rPr>
        <w:t>Wesemael</w:t>
      </w:r>
      <w:proofErr w:type="spellEnd"/>
      <w:r w:rsidRPr="001256EA">
        <w:rPr>
          <w:rFonts w:ascii="Times New Roman" w:hAnsi="Times New Roman" w:cs="Times New Roman"/>
          <w:sz w:val="20"/>
          <w:szCs w:val="20"/>
        </w:rPr>
        <w:t xml:space="preserve">, Y., Rurup, M. L.,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(2011). Attitudes and experiences of Belgian physicians regarding euthanasia practice and the euthanasia law. </w:t>
      </w:r>
      <w:r w:rsidRPr="001256EA">
        <w:rPr>
          <w:rFonts w:ascii="Times New Roman" w:hAnsi="Times New Roman" w:cs="Times New Roman"/>
          <w:i/>
          <w:iCs/>
          <w:sz w:val="20"/>
          <w:szCs w:val="20"/>
        </w:rPr>
        <w:t>Journal of Pain and Symptom Management</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41</w:t>
      </w:r>
      <w:r w:rsidRPr="001256EA">
        <w:rPr>
          <w:rFonts w:ascii="Times New Roman" w:hAnsi="Times New Roman" w:cs="Times New Roman"/>
          <w:sz w:val="20"/>
          <w:szCs w:val="20"/>
        </w:rPr>
        <w:t xml:space="preserve">(3), 580–593. </w:t>
      </w:r>
      <w:hyperlink r:id="rId196" w:history="1">
        <w:r w:rsidR="00D46287" w:rsidRPr="001256EA">
          <w:rPr>
            <w:rStyle w:val="Hyperlink"/>
            <w:rFonts w:ascii="Times New Roman" w:hAnsi="Times New Roman" w:cs="Times New Roman"/>
            <w:sz w:val="20"/>
            <w:szCs w:val="20"/>
          </w:rPr>
          <w:t>https://www.sciencedirect.com/science/article/pii/S0885392410006937</w:t>
        </w:r>
      </w:hyperlink>
      <w:r w:rsidR="00D46287" w:rsidRPr="001256EA">
        <w:rPr>
          <w:rFonts w:ascii="Times New Roman" w:hAnsi="Times New Roman" w:cs="Times New Roman"/>
          <w:sz w:val="20"/>
          <w:szCs w:val="20"/>
        </w:rPr>
        <w:t xml:space="preserve"> </w:t>
      </w:r>
    </w:p>
    <w:p w14:paraId="6ACEE6EF" w14:textId="2E94F4D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Smets, T., Cohen, J., Bilsen, J., Van </w:t>
      </w:r>
      <w:proofErr w:type="spellStart"/>
      <w:r w:rsidRPr="001256EA">
        <w:rPr>
          <w:rFonts w:ascii="Times New Roman" w:hAnsi="Times New Roman" w:cs="Times New Roman"/>
          <w:sz w:val="20"/>
          <w:szCs w:val="20"/>
        </w:rPr>
        <w:t>Wesemael</w:t>
      </w:r>
      <w:proofErr w:type="spellEnd"/>
      <w:r w:rsidRPr="001256EA">
        <w:rPr>
          <w:rFonts w:ascii="Times New Roman" w:hAnsi="Times New Roman" w:cs="Times New Roman"/>
          <w:sz w:val="20"/>
          <w:szCs w:val="20"/>
        </w:rPr>
        <w:t xml:space="preserve">, Y., Rurup, M. L.,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(2012). The labelling and reporting of euthanasia by Belgian physicians: A study of hypothetical cases. </w:t>
      </w:r>
      <w:r w:rsidRPr="001256EA">
        <w:rPr>
          <w:rFonts w:ascii="Times New Roman" w:hAnsi="Times New Roman" w:cs="Times New Roman"/>
          <w:i/>
          <w:iCs/>
          <w:sz w:val="20"/>
          <w:szCs w:val="20"/>
        </w:rPr>
        <w:t>The European Journal of Public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22</w:t>
      </w:r>
      <w:r w:rsidRPr="001256EA">
        <w:rPr>
          <w:rFonts w:ascii="Times New Roman" w:hAnsi="Times New Roman" w:cs="Times New Roman"/>
          <w:sz w:val="20"/>
          <w:szCs w:val="20"/>
        </w:rPr>
        <w:t xml:space="preserve">(1), 19–26. </w:t>
      </w:r>
      <w:hyperlink r:id="rId197" w:history="1">
        <w:r w:rsidR="00D46287" w:rsidRPr="001256EA">
          <w:rPr>
            <w:rStyle w:val="Hyperlink"/>
            <w:rFonts w:ascii="Times New Roman" w:hAnsi="Times New Roman" w:cs="Times New Roman"/>
            <w:sz w:val="20"/>
            <w:szCs w:val="20"/>
          </w:rPr>
          <w:t>https://academic.oup.com/eurpub/article-abstract/22/1/19/485407</w:t>
        </w:r>
      </w:hyperlink>
      <w:r w:rsidR="00D46287" w:rsidRPr="001256EA">
        <w:rPr>
          <w:rFonts w:ascii="Times New Roman" w:hAnsi="Times New Roman" w:cs="Times New Roman"/>
          <w:sz w:val="20"/>
          <w:szCs w:val="20"/>
        </w:rPr>
        <w:t xml:space="preserve"> </w:t>
      </w:r>
    </w:p>
    <w:p w14:paraId="1E7E5211" w14:textId="08BE3E3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Snijdewind</w:t>
      </w:r>
      <w:proofErr w:type="spellEnd"/>
      <w:r w:rsidRPr="001256EA">
        <w:rPr>
          <w:rFonts w:ascii="Times New Roman" w:hAnsi="Times New Roman" w:cs="Times New Roman"/>
          <w:sz w:val="20"/>
          <w:szCs w:val="20"/>
        </w:rPr>
        <w:t xml:space="preserve">, M. C., van Tol, D. G.,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D., &amp; Willems, D. L. (2018). Developments in the practice of physician-assisted dying: Perceptions of physicians who had experience with complex cases. </w:t>
      </w:r>
      <w:r w:rsidRPr="001256EA">
        <w:rPr>
          <w:rFonts w:ascii="Times New Roman" w:hAnsi="Times New Roman" w:cs="Times New Roman"/>
          <w:i/>
          <w:iCs/>
          <w:sz w:val="20"/>
          <w:szCs w:val="20"/>
        </w:rPr>
        <w:t>Journal of Medical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44</w:t>
      </w:r>
      <w:r w:rsidRPr="001256EA">
        <w:rPr>
          <w:rFonts w:ascii="Times New Roman" w:hAnsi="Times New Roman" w:cs="Times New Roman"/>
          <w:sz w:val="20"/>
          <w:szCs w:val="20"/>
        </w:rPr>
        <w:t xml:space="preserve">(5), 292–296. </w:t>
      </w:r>
      <w:hyperlink r:id="rId198" w:history="1">
        <w:r w:rsidR="00D46287" w:rsidRPr="001256EA">
          <w:rPr>
            <w:rStyle w:val="Hyperlink"/>
            <w:rFonts w:ascii="Times New Roman" w:hAnsi="Times New Roman" w:cs="Times New Roman"/>
            <w:sz w:val="20"/>
            <w:szCs w:val="20"/>
          </w:rPr>
          <w:t>https://doi.org/10.1136/medethics-2016-103405</w:t>
        </w:r>
      </w:hyperlink>
      <w:r w:rsidR="00D46287" w:rsidRPr="001256EA">
        <w:rPr>
          <w:rFonts w:ascii="Times New Roman" w:hAnsi="Times New Roman" w:cs="Times New Roman"/>
          <w:sz w:val="20"/>
          <w:szCs w:val="20"/>
        </w:rPr>
        <w:t xml:space="preserve"> </w:t>
      </w:r>
    </w:p>
    <w:p w14:paraId="6F1F17BC" w14:textId="16E5FD4E"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Snyder </w:t>
      </w:r>
      <w:proofErr w:type="spellStart"/>
      <w:r w:rsidRPr="001256EA">
        <w:rPr>
          <w:rFonts w:ascii="Times New Roman" w:hAnsi="Times New Roman" w:cs="Times New Roman"/>
          <w:sz w:val="20"/>
          <w:szCs w:val="20"/>
        </w:rPr>
        <w:t>Sulmasy</w:t>
      </w:r>
      <w:proofErr w:type="spellEnd"/>
      <w:r w:rsidRPr="001256EA">
        <w:rPr>
          <w:rFonts w:ascii="Times New Roman" w:hAnsi="Times New Roman" w:cs="Times New Roman"/>
          <w:sz w:val="20"/>
          <w:szCs w:val="20"/>
        </w:rPr>
        <w:t xml:space="preserve">, L., Mueller, P. S., &amp; for the Ethics, Professionalism and Human Rights Committee of the American College of Physicians*. (2017). Ethics and the Legalization of Physician-Assisted Suicide: An American College of Physicians Position Paper. </w:t>
      </w:r>
      <w:r w:rsidRPr="001256EA">
        <w:rPr>
          <w:rFonts w:ascii="Times New Roman" w:hAnsi="Times New Roman" w:cs="Times New Roman"/>
          <w:i/>
          <w:iCs/>
          <w:sz w:val="20"/>
          <w:szCs w:val="20"/>
        </w:rPr>
        <w:t>Annals of Internal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167</w:t>
      </w:r>
      <w:r w:rsidRPr="001256EA">
        <w:rPr>
          <w:rFonts w:ascii="Times New Roman" w:hAnsi="Times New Roman" w:cs="Times New Roman"/>
          <w:sz w:val="20"/>
          <w:szCs w:val="20"/>
        </w:rPr>
        <w:t xml:space="preserve">(8), 576–578. </w:t>
      </w:r>
      <w:hyperlink r:id="rId199" w:history="1">
        <w:r w:rsidR="00D46287" w:rsidRPr="001256EA">
          <w:rPr>
            <w:rStyle w:val="Hyperlink"/>
            <w:rFonts w:ascii="Times New Roman" w:hAnsi="Times New Roman" w:cs="Times New Roman"/>
            <w:sz w:val="20"/>
            <w:szCs w:val="20"/>
          </w:rPr>
          <w:t>https://doi.org/10.7326/m17-0938</w:t>
        </w:r>
      </w:hyperlink>
      <w:r w:rsidR="00D46287" w:rsidRPr="001256EA">
        <w:rPr>
          <w:rFonts w:ascii="Times New Roman" w:hAnsi="Times New Roman" w:cs="Times New Roman"/>
          <w:sz w:val="20"/>
          <w:szCs w:val="20"/>
        </w:rPr>
        <w:t xml:space="preserve"> </w:t>
      </w:r>
    </w:p>
    <w:p w14:paraId="16DE8508" w14:textId="15A0CBE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Spranzi, M. (2013). The French euthanasia debate: Exception and solidarity. </w:t>
      </w:r>
      <w:r w:rsidRPr="001256EA">
        <w:rPr>
          <w:rFonts w:ascii="Times New Roman" w:hAnsi="Times New Roman" w:cs="Times New Roman"/>
          <w:i/>
          <w:iCs/>
          <w:sz w:val="20"/>
          <w:szCs w:val="20"/>
        </w:rPr>
        <w:t>Cambridge Quarterly of Healthcare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22</w:t>
      </w:r>
      <w:r w:rsidRPr="001256EA">
        <w:rPr>
          <w:rFonts w:ascii="Times New Roman" w:hAnsi="Times New Roman" w:cs="Times New Roman"/>
          <w:sz w:val="20"/>
          <w:szCs w:val="20"/>
        </w:rPr>
        <w:t xml:space="preserve">(3), 254–262. </w:t>
      </w:r>
      <w:hyperlink r:id="rId200" w:history="1">
        <w:r w:rsidR="00D46287" w:rsidRPr="001256EA">
          <w:rPr>
            <w:rStyle w:val="Hyperlink"/>
            <w:rFonts w:ascii="Times New Roman" w:hAnsi="Times New Roman" w:cs="Times New Roman"/>
            <w:sz w:val="20"/>
            <w:szCs w:val="20"/>
          </w:rPr>
          <w:t>https://www.cambridge.org/core/journals/cambridge-quarterly-of-healthcare-ethics/article/french-euthanasia-debate/F5B68B7D7A36BE6CC62AD214D69304DE</w:t>
        </w:r>
      </w:hyperlink>
      <w:r w:rsidR="00D46287" w:rsidRPr="001256EA">
        <w:rPr>
          <w:rFonts w:ascii="Times New Roman" w:hAnsi="Times New Roman" w:cs="Times New Roman"/>
          <w:sz w:val="20"/>
          <w:szCs w:val="20"/>
        </w:rPr>
        <w:t xml:space="preserve"> </w:t>
      </w:r>
    </w:p>
    <w:p w14:paraId="228428FC" w14:textId="4F4EB99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Steinbrook, R. (2002). Physician-Assisted Suicide in Oregon—An Uncertain Future. </w:t>
      </w:r>
      <w:r w:rsidRPr="001256EA">
        <w:rPr>
          <w:rFonts w:ascii="Times New Roman" w:hAnsi="Times New Roman" w:cs="Times New Roman"/>
          <w:i/>
          <w:iCs/>
          <w:sz w:val="20"/>
          <w:szCs w:val="20"/>
        </w:rPr>
        <w:t>New England Journal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346</w:t>
      </w:r>
      <w:r w:rsidRPr="001256EA">
        <w:rPr>
          <w:rFonts w:ascii="Times New Roman" w:hAnsi="Times New Roman" w:cs="Times New Roman"/>
          <w:sz w:val="20"/>
          <w:szCs w:val="20"/>
        </w:rPr>
        <w:t xml:space="preserve">(6), 460–464. </w:t>
      </w:r>
      <w:hyperlink r:id="rId201" w:history="1">
        <w:r w:rsidR="00D46287" w:rsidRPr="001256EA">
          <w:rPr>
            <w:rStyle w:val="Hyperlink"/>
            <w:rFonts w:ascii="Times New Roman" w:hAnsi="Times New Roman" w:cs="Times New Roman"/>
            <w:sz w:val="20"/>
            <w:szCs w:val="20"/>
          </w:rPr>
          <w:t>https://doi.org/10.1056/nejm200202073460624</w:t>
        </w:r>
      </w:hyperlink>
      <w:r w:rsidR="00D46287" w:rsidRPr="001256EA">
        <w:rPr>
          <w:rFonts w:ascii="Times New Roman" w:hAnsi="Times New Roman" w:cs="Times New Roman"/>
          <w:sz w:val="20"/>
          <w:szCs w:val="20"/>
        </w:rPr>
        <w:t xml:space="preserve"> </w:t>
      </w:r>
    </w:p>
    <w:p w14:paraId="43250EC2" w14:textId="2EECE18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Svenaeus, F. (2020). To die well: The phenomenology of suffering and end of life ethics. </w:t>
      </w:r>
      <w:r w:rsidRPr="001256EA">
        <w:rPr>
          <w:rFonts w:ascii="Times New Roman" w:hAnsi="Times New Roman" w:cs="Times New Roman"/>
          <w:i/>
          <w:iCs/>
          <w:sz w:val="20"/>
          <w:szCs w:val="20"/>
        </w:rPr>
        <w:t>Medicine, Health Care and Philosophy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23</w:t>
      </w:r>
      <w:r w:rsidRPr="001256EA">
        <w:rPr>
          <w:rFonts w:ascii="Times New Roman" w:hAnsi="Times New Roman" w:cs="Times New Roman"/>
          <w:sz w:val="20"/>
          <w:szCs w:val="20"/>
        </w:rPr>
        <w:t xml:space="preserve">(3), 335–342. </w:t>
      </w:r>
      <w:hyperlink r:id="rId202" w:history="1">
        <w:r w:rsidR="00D46287" w:rsidRPr="001256EA">
          <w:rPr>
            <w:rStyle w:val="Hyperlink"/>
            <w:rFonts w:ascii="Times New Roman" w:hAnsi="Times New Roman" w:cs="Times New Roman"/>
            <w:sz w:val="20"/>
            <w:szCs w:val="20"/>
          </w:rPr>
          <w:t>https://doi.org/10.1007/s11019-019-09914-6</w:t>
        </w:r>
      </w:hyperlink>
      <w:r w:rsidR="00D46287" w:rsidRPr="001256EA">
        <w:rPr>
          <w:rFonts w:ascii="Times New Roman" w:hAnsi="Times New Roman" w:cs="Times New Roman"/>
          <w:sz w:val="20"/>
          <w:szCs w:val="20"/>
        </w:rPr>
        <w:t xml:space="preserve"> </w:t>
      </w:r>
    </w:p>
    <w:p w14:paraId="73BD9FD7" w14:textId="350E53BA" w:rsidR="00CB7F06" w:rsidRPr="001256EA" w:rsidRDefault="00CB7F06" w:rsidP="000753F3">
      <w:pPr>
        <w:pStyle w:val="ListParagraph"/>
        <w:numPr>
          <w:ilvl w:val="0"/>
          <w:numId w:val="34"/>
        </w:numPr>
        <w:spacing w:line="276" w:lineRule="auto"/>
        <w:ind w:left="270"/>
        <w:jc w:val="both"/>
        <w:rPr>
          <w:rFonts w:ascii="Times New Roman" w:hAnsi="Times New Roman" w:cs="Times New Roman"/>
          <w:sz w:val="20"/>
          <w:szCs w:val="20"/>
        </w:rPr>
      </w:pPr>
      <w:r w:rsidRPr="00902F03">
        <w:rPr>
          <w:rFonts w:ascii="Times New Roman" w:hAnsi="Times New Roman" w:cs="Times New Roman"/>
          <w:sz w:val="20"/>
          <w:szCs w:val="20"/>
          <w:lang w:val="es-ES"/>
        </w:rPr>
        <w:t xml:space="preserve">Tajik, O., Golzar, J., &amp; Noor, S. (2025). </w:t>
      </w:r>
      <w:r w:rsidRPr="001256EA">
        <w:rPr>
          <w:rFonts w:ascii="Times New Roman" w:hAnsi="Times New Roman" w:cs="Times New Roman"/>
          <w:sz w:val="20"/>
          <w:szCs w:val="20"/>
        </w:rPr>
        <w:t>Purposive sampling. International Journal of Education &amp; Language Studies, 1-9.  https://doi.org/10.22034/ijels.2025.490681.1029</w:t>
      </w:r>
    </w:p>
    <w:p w14:paraId="5928A41E" w14:textId="6B397C0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pl-PL"/>
        </w:rPr>
        <w:t>Takeshita</w:t>
      </w:r>
      <w:proofErr w:type="spellEnd"/>
      <w:r w:rsidRPr="001256EA">
        <w:rPr>
          <w:rFonts w:ascii="Times New Roman" w:hAnsi="Times New Roman" w:cs="Times New Roman"/>
          <w:sz w:val="20"/>
          <w:szCs w:val="20"/>
          <w:lang w:val="pl-PL"/>
        </w:rPr>
        <w:t xml:space="preserve">, K., </w:t>
      </w:r>
      <w:proofErr w:type="spellStart"/>
      <w:r w:rsidRPr="001256EA">
        <w:rPr>
          <w:rFonts w:ascii="Times New Roman" w:hAnsi="Times New Roman" w:cs="Times New Roman"/>
          <w:sz w:val="20"/>
          <w:szCs w:val="20"/>
          <w:lang w:val="pl-PL"/>
        </w:rPr>
        <w:t>Nagao</w:t>
      </w:r>
      <w:proofErr w:type="spellEnd"/>
      <w:r w:rsidRPr="001256EA">
        <w:rPr>
          <w:rFonts w:ascii="Times New Roman" w:hAnsi="Times New Roman" w:cs="Times New Roman"/>
          <w:sz w:val="20"/>
          <w:szCs w:val="20"/>
          <w:lang w:val="pl-PL"/>
        </w:rPr>
        <w:t xml:space="preserve">, N., </w:t>
      </w:r>
      <w:proofErr w:type="spellStart"/>
      <w:r w:rsidRPr="001256EA">
        <w:rPr>
          <w:rFonts w:ascii="Times New Roman" w:hAnsi="Times New Roman" w:cs="Times New Roman"/>
          <w:sz w:val="20"/>
          <w:szCs w:val="20"/>
          <w:lang w:val="pl-PL"/>
        </w:rPr>
        <w:t>Dozono</w:t>
      </w:r>
      <w:proofErr w:type="spellEnd"/>
      <w:r w:rsidRPr="001256EA">
        <w:rPr>
          <w:rFonts w:ascii="Times New Roman" w:hAnsi="Times New Roman" w:cs="Times New Roman"/>
          <w:sz w:val="20"/>
          <w:szCs w:val="20"/>
          <w:lang w:val="pl-PL"/>
        </w:rPr>
        <w:t xml:space="preserve">, T., </w:t>
      </w:r>
      <w:proofErr w:type="spellStart"/>
      <w:r w:rsidRPr="001256EA">
        <w:rPr>
          <w:rFonts w:ascii="Times New Roman" w:hAnsi="Times New Roman" w:cs="Times New Roman"/>
          <w:sz w:val="20"/>
          <w:szCs w:val="20"/>
          <w:lang w:val="pl-PL"/>
        </w:rPr>
        <w:t>Kamiya</w:t>
      </w:r>
      <w:proofErr w:type="spellEnd"/>
      <w:r w:rsidRPr="001256EA">
        <w:rPr>
          <w:rFonts w:ascii="Times New Roman" w:hAnsi="Times New Roman" w:cs="Times New Roman"/>
          <w:sz w:val="20"/>
          <w:szCs w:val="20"/>
          <w:lang w:val="pl-PL"/>
        </w:rPr>
        <w:t xml:space="preserve">, K., &amp; </w:t>
      </w:r>
      <w:proofErr w:type="spellStart"/>
      <w:r w:rsidRPr="001256EA">
        <w:rPr>
          <w:rFonts w:ascii="Times New Roman" w:hAnsi="Times New Roman" w:cs="Times New Roman"/>
          <w:sz w:val="20"/>
          <w:szCs w:val="20"/>
          <w:lang w:val="pl-PL"/>
        </w:rPr>
        <w:t>Miura</w:t>
      </w:r>
      <w:proofErr w:type="spellEnd"/>
      <w:r w:rsidRPr="001256EA">
        <w:rPr>
          <w:rFonts w:ascii="Times New Roman" w:hAnsi="Times New Roman" w:cs="Times New Roman"/>
          <w:sz w:val="20"/>
          <w:szCs w:val="20"/>
          <w:lang w:val="pl-PL"/>
        </w:rPr>
        <w:t xml:space="preserve">, Y. (2025). </w:t>
      </w:r>
      <w:r w:rsidRPr="001256EA">
        <w:rPr>
          <w:rFonts w:ascii="Times New Roman" w:hAnsi="Times New Roman" w:cs="Times New Roman"/>
          <w:sz w:val="20"/>
          <w:szCs w:val="20"/>
        </w:rPr>
        <w:t xml:space="preserve">Withdrawal of life‐sustaining treatment in Japanese home care: A cross‐sectional survey. </w:t>
      </w:r>
      <w:r w:rsidRPr="001256EA">
        <w:rPr>
          <w:rFonts w:ascii="Times New Roman" w:hAnsi="Times New Roman" w:cs="Times New Roman"/>
          <w:i/>
          <w:iCs/>
          <w:sz w:val="20"/>
          <w:szCs w:val="20"/>
        </w:rPr>
        <w:t>Journal of General and Family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26</w:t>
      </w:r>
      <w:r w:rsidRPr="001256EA">
        <w:rPr>
          <w:rFonts w:ascii="Times New Roman" w:hAnsi="Times New Roman" w:cs="Times New Roman"/>
          <w:sz w:val="20"/>
          <w:szCs w:val="20"/>
        </w:rPr>
        <w:t xml:space="preserve">(3), 213–221. </w:t>
      </w:r>
      <w:hyperlink r:id="rId203" w:history="1">
        <w:r w:rsidR="00D46287" w:rsidRPr="001256EA">
          <w:rPr>
            <w:rStyle w:val="Hyperlink"/>
            <w:rFonts w:ascii="Times New Roman" w:hAnsi="Times New Roman" w:cs="Times New Roman"/>
            <w:sz w:val="20"/>
            <w:szCs w:val="20"/>
          </w:rPr>
          <w:t>https://doi.org/10.1002/jgf2.771</w:t>
        </w:r>
      </w:hyperlink>
      <w:r w:rsidR="00D46287" w:rsidRPr="001256EA">
        <w:rPr>
          <w:rFonts w:ascii="Times New Roman" w:hAnsi="Times New Roman" w:cs="Times New Roman"/>
          <w:sz w:val="20"/>
          <w:szCs w:val="20"/>
        </w:rPr>
        <w:t xml:space="preserve"> </w:t>
      </w:r>
    </w:p>
    <w:p w14:paraId="6EAAC888" w14:textId="1DF18C28" w:rsidR="00022492" w:rsidRPr="001256EA" w:rsidRDefault="0002249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Tavory</w:t>
      </w:r>
      <w:proofErr w:type="spellEnd"/>
      <w:r w:rsidRPr="001256EA">
        <w:rPr>
          <w:rFonts w:ascii="Times New Roman" w:hAnsi="Times New Roman" w:cs="Times New Roman"/>
          <w:sz w:val="20"/>
          <w:szCs w:val="20"/>
        </w:rPr>
        <w:t>, I., &amp; Timmermans, S. (2022). Abductive analysis: Theorizing qualitative research. University of Chicago press. Retrieved 20.12.2025, From: https://books.google.de/books?hl=en&amp;lr=&amp;id=5OYvBAAAQBAJ&amp;oi=fnd&amp;pg=PP6&amp;dq=Theory+Construction+in+Qualitative+Research:+From+Grounded+Theory+to+Abductive+Analysis.+&amp;ots=7ICMOceuuK&amp;sig=rtqfH38IStblBI5i2qD3Yek7c5Q&amp;redir_esc=y#v=onepage&amp;q=Theory%20Construction%20in%20Qualitative%20Research%3A%20From%20Grounded%20Theory%20to%20Abductive%20Analysis.&amp;f=false</w:t>
      </w:r>
    </w:p>
    <w:p w14:paraId="072CFBA7" w14:textId="1F006DB3"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Teh, Y. W., </w:t>
      </w:r>
      <w:proofErr w:type="gramStart"/>
      <w:r w:rsidRPr="001256EA">
        <w:rPr>
          <w:rFonts w:ascii="Times New Roman" w:hAnsi="Times New Roman" w:cs="Times New Roman"/>
          <w:sz w:val="20"/>
          <w:szCs w:val="20"/>
        </w:rPr>
        <w:t>Jordan ,Michael</w:t>
      </w:r>
      <w:proofErr w:type="gramEnd"/>
      <w:r w:rsidRPr="001256EA">
        <w:rPr>
          <w:rFonts w:ascii="Times New Roman" w:hAnsi="Times New Roman" w:cs="Times New Roman"/>
          <w:sz w:val="20"/>
          <w:szCs w:val="20"/>
        </w:rPr>
        <w:t xml:space="preserve"> I, </w:t>
      </w:r>
      <w:proofErr w:type="gramStart"/>
      <w:r w:rsidRPr="001256EA">
        <w:rPr>
          <w:rFonts w:ascii="Times New Roman" w:hAnsi="Times New Roman" w:cs="Times New Roman"/>
          <w:sz w:val="20"/>
          <w:szCs w:val="20"/>
        </w:rPr>
        <w:t>Beal ,Matthew</w:t>
      </w:r>
      <w:proofErr w:type="gramEnd"/>
      <w:r w:rsidRPr="001256EA">
        <w:rPr>
          <w:rFonts w:ascii="Times New Roman" w:hAnsi="Times New Roman" w:cs="Times New Roman"/>
          <w:sz w:val="20"/>
          <w:szCs w:val="20"/>
        </w:rPr>
        <w:t xml:space="preserve"> J, &amp; and Blei, D. M. (2006). Hierarchical Dirichlet Processes. </w:t>
      </w:r>
      <w:r w:rsidRPr="001256EA">
        <w:rPr>
          <w:rFonts w:ascii="Times New Roman" w:hAnsi="Times New Roman" w:cs="Times New Roman"/>
          <w:i/>
          <w:iCs/>
          <w:sz w:val="20"/>
          <w:szCs w:val="20"/>
        </w:rPr>
        <w:t>Journal of the American Statistical Association</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101</w:t>
      </w:r>
      <w:r w:rsidRPr="001256EA">
        <w:rPr>
          <w:rFonts w:ascii="Times New Roman" w:hAnsi="Times New Roman" w:cs="Times New Roman"/>
          <w:sz w:val="20"/>
          <w:szCs w:val="20"/>
        </w:rPr>
        <w:t xml:space="preserve">(476), 1566–1581. </w:t>
      </w:r>
      <w:hyperlink r:id="rId204" w:history="1">
        <w:r w:rsidR="00D46287" w:rsidRPr="001256EA">
          <w:rPr>
            <w:rStyle w:val="Hyperlink"/>
            <w:rFonts w:ascii="Times New Roman" w:hAnsi="Times New Roman" w:cs="Times New Roman"/>
            <w:sz w:val="20"/>
            <w:szCs w:val="20"/>
          </w:rPr>
          <w:t>https://doi.org/10.1198/016214506000000302</w:t>
        </w:r>
      </w:hyperlink>
      <w:r w:rsidR="00D46287" w:rsidRPr="001256EA">
        <w:rPr>
          <w:rFonts w:ascii="Times New Roman" w:hAnsi="Times New Roman" w:cs="Times New Roman"/>
          <w:sz w:val="20"/>
          <w:szCs w:val="20"/>
        </w:rPr>
        <w:t xml:space="preserve"> </w:t>
      </w:r>
    </w:p>
    <w:p w14:paraId="63BEE698" w14:textId="7A6E325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sv-SE"/>
        </w:rPr>
        <w:lastRenderedPageBreak/>
        <w:t>Terkamo</w:t>
      </w:r>
      <w:proofErr w:type="spellEnd"/>
      <w:r w:rsidRPr="001256EA">
        <w:rPr>
          <w:rFonts w:ascii="Times New Roman" w:hAnsi="Times New Roman" w:cs="Times New Roman"/>
          <w:sz w:val="20"/>
          <w:szCs w:val="20"/>
          <w:lang w:val="sv-SE"/>
        </w:rPr>
        <w:t xml:space="preserve">-Moisio, A., Gastmans, C., Ryynänen, O.-P., &amp; Pietilä, A.-M. (2019). </w:t>
      </w:r>
      <w:r w:rsidRPr="001256EA">
        <w:rPr>
          <w:rFonts w:ascii="Times New Roman" w:hAnsi="Times New Roman" w:cs="Times New Roman"/>
          <w:sz w:val="20"/>
          <w:szCs w:val="20"/>
        </w:rPr>
        <w:t xml:space="preserve">Finnish nurses’ attitudes towards their role in the euthanasia process. </w:t>
      </w:r>
      <w:r w:rsidRPr="001256EA">
        <w:rPr>
          <w:rFonts w:ascii="Times New Roman" w:hAnsi="Times New Roman" w:cs="Times New Roman"/>
          <w:i/>
          <w:iCs/>
          <w:sz w:val="20"/>
          <w:szCs w:val="20"/>
        </w:rPr>
        <w:t>Nursing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26</w:t>
      </w:r>
      <w:r w:rsidRPr="001256EA">
        <w:rPr>
          <w:rFonts w:ascii="Times New Roman" w:hAnsi="Times New Roman" w:cs="Times New Roman"/>
          <w:sz w:val="20"/>
          <w:szCs w:val="20"/>
        </w:rPr>
        <w:t xml:space="preserve">(3), 700–714. </w:t>
      </w:r>
      <w:hyperlink r:id="rId205" w:history="1">
        <w:r w:rsidR="00D46287" w:rsidRPr="001256EA">
          <w:rPr>
            <w:rStyle w:val="Hyperlink"/>
            <w:rFonts w:ascii="Times New Roman" w:hAnsi="Times New Roman" w:cs="Times New Roman"/>
            <w:sz w:val="20"/>
            <w:szCs w:val="20"/>
          </w:rPr>
          <w:t>https://doi.org/10.1177/0969733017720850</w:t>
        </w:r>
      </w:hyperlink>
      <w:r w:rsidR="00D46287" w:rsidRPr="001256EA">
        <w:rPr>
          <w:rFonts w:ascii="Times New Roman" w:hAnsi="Times New Roman" w:cs="Times New Roman"/>
          <w:sz w:val="20"/>
          <w:szCs w:val="20"/>
        </w:rPr>
        <w:t xml:space="preserve"> </w:t>
      </w:r>
    </w:p>
    <w:p w14:paraId="45133D4C" w14:textId="77777777" w:rsidR="003D0C40" w:rsidRPr="001256EA" w:rsidRDefault="003D0C40"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pl-PL"/>
        </w:rPr>
        <w:t>Teubner</w:t>
      </w:r>
      <w:proofErr w:type="spellEnd"/>
      <w:r w:rsidRPr="001256EA">
        <w:rPr>
          <w:rFonts w:ascii="Times New Roman" w:hAnsi="Times New Roman" w:cs="Times New Roman"/>
          <w:sz w:val="20"/>
          <w:szCs w:val="20"/>
          <w:lang w:val="pl-PL"/>
        </w:rPr>
        <w:t xml:space="preserve">, G., Laskowski, L. M., &amp; Fonseca, A. C. M. (2021). </w:t>
      </w:r>
      <w:r w:rsidRPr="00BB574A">
        <w:rPr>
          <w:rFonts w:ascii="Times New Roman" w:hAnsi="Times New Roman" w:cs="Times New Roman"/>
          <w:sz w:val="20"/>
          <w:szCs w:val="20"/>
          <w:lang w:val="en-GB"/>
        </w:rPr>
        <w:t xml:space="preserve">COMO O DIREITO PENSA: EM BUSCA DE UMA EPISTEMOLOGIA CONSTRUTIVISTA DO DIREITO1 HOW THE LAW THINKS: TOWARD A CONSTRUCTIVIST EPISTEMOLOGY OF LAW2. </w:t>
      </w:r>
      <w:r w:rsidRPr="001256EA">
        <w:rPr>
          <w:rFonts w:ascii="Times New Roman" w:hAnsi="Times New Roman" w:cs="Times New Roman"/>
          <w:sz w:val="20"/>
          <w:szCs w:val="20"/>
        </w:rPr>
        <w:t>DIREITO, 66(2), 213.</w:t>
      </w:r>
    </w:p>
    <w:p w14:paraId="79F6C10D" w14:textId="0F4AD67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Tierney, L. (2001). </w:t>
      </w:r>
      <w:r w:rsidRPr="001256EA">
        <w:rPr>
          <w:rFonts w:ascii="Times New Roman" w:hAnsi="Times New Roman" w:cs="Times New Roman"/>
          <w:i/>
          <w:iCs/>
          <w:sz w:val="20"/>
          <w:szCs w:val="20"/>
        </w:rPr>
        <w:t>Changing Attitudes Towards Death and Suffering: A Cultural Perspective on The Euthanasia Debate</w:t>
      </w:r>
      <w:r w:rsidRPr="001256EA">
        <w:rPr>
          <w:rFonts w:ascii="Times New Roman" w:hAnsi="Times New Roman" w:cs="Times New Roman"/>
          <w:sz w:val="20"/>
          <w:szCs w:val="20"/>
        </w:rPr>
        <w:t xml:space="preserve"> [PhD Thesis, Pontifical University, St Patrick’s College, Maynooth]. </w:t>
      </w:r>
      <w:hyperlink r:id="rId206" w:history="1">
        <w:r w:rsidR="00D46287" w:rsidRPr="001256EA">
          <w:rPr>
            <w:rStyle w:val="Hyperlink"/>
            <w:rFonts w:ascii="Times New Roman" w:hAnsi="Times New Roman" w:cs="Times New Roman"/>
            <w:sz w:val="20"/>
            <w:szCs w:val="20"/>
          </w:rPr>
          <w:t>https://eprints.nuim.ie/id/eprint/5193/</w:t>
        </w:r>
      </w:hyperlink>
      <w:r w:rsidR="00D46287" w:rsidRPr="001256EA">
        <w:rPr>
          <w:rFonts w:ascii="Times New Roman" w:hAnsi="Times New Roman" w:cs="Times New Roman"/>
          <w:sz w:val="20"/>
          <w:szCs w:val="20"/>
        </w:rPr>
        <w:t xml:space="preserve"> </w:t>
      </w:r>
    </w:p>
    <w:p w14:paraId="16E9FBA8" w14:textId="7F70605F"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Toynbee, J. M. (1996). </w:t>
      </w:r>
      <w:r w:rsidRPr="001256EA">
        <w:rPr>
          <w:rFonts w:ascii="Times New Roman" w:hAnsi="Times New Roman" w:cs="Times New Roman"/>
          <w:i/>
          <w:iCs/>
          <w:sz w:val="20"/>
          <w:szCs w:val="20"/>
        </w:rPr>
        <w:t>Death and burial in the Roman world</w:t>
      </w:r>
      <w:r w:rsidRPr="001256EA">
        <w:rPr>
          <w:rFonts w:ascii="Times New Roman" w:hAnsi="Times New Roman" w:cs="Times New Roman"/>
          <w:sz w:val="20"/>
          <w:szCs w:val="20"/>
        </w:rPr>
        <w:t xml:space="preserve">. JHU Press. </w:t>
      </w:r>
      <w:hyperlink r:id="rId207" w:history="1">
        <w:r w:rsidR="00D46287" w:rsidRPr="001256EA">
          <w:rPr>
            <w:rStyle w:val="Hyperlink"/>
            <w:rFonts w:ascii="Times New Roman" w:hAnsi="Times New Roman" w:cs="Times New Roman"/>
            <w:sz w:val="20"/>
            <w:szCs w:val="20"/>
          </w:rPr>
          <w:t>https://books.google.com/books?hl=en&amp;lr=&amp;id=rHd1MDlV-eUC&amp;oi=fnd&amp;pg=PA43&amp;dq=Death+and+burial+in+the+Roman+world&amp;ots=-28AtEYsTb&amp;sig=eiKgzFLujQAixepSmkSJKSolgwo</w:t>
        </w:r>
      </w:hyperlink>
      <w:r w:rsidR="00D46287" w:rsidRPr="001256EA">
        <w:rPr>
          <w:rFonts w:ascii="Times New Roman" w:hAnsi="Times New Roman" w:cs="Times New Roman"/>
          <w:sz w:val="20"/>
          <w:szCs w:val="20"/>
        </w:rPr>
        <w:t xml:space="preserve"> </w:t>
      </w:r>
    </w:p>
    <w:p w14:paraId="0B603982" w14:textId="2B0CB76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fr-FR"/>
        </w:rPr>
        <w:t>Vaismoradi</w:t>
      </w:r>
      <w:proofErr w:type="spellEnd"/>
      <w:r w:rsidRPr="001256EA">
        <w:rPr>
          <w:rFonts w:ascii="Times New Roman" w:hAnsi="Times New Roman" w:cs="Times New Roman"/>
          <w:sz w:val="20"/>
          <w:szCs w:val="20"/>
          <w:lang w:val="fr-FR"/>
        </w:rPr>
        <w:t xml:space="preserve">, M., </w:t>
      </w:r>
      <w:proofErr w:type="spellStart"/>
      <w:r w:rsidRPr="001256EA">
        <w:rPr>
          <w:rFonts w:ascii="Times New Roman" w:hAnsi="Times New Roman" w:cs="Times New Roman"/>
          <w:sz w:val="20"/>
          <w:szCs w:val="20"/>
          <w:lang w:val="fr-FR"/>
        </w:rPr>
        <w:t>Turunen</w:t>
      </w:r>
      <w:proofErr w:type="spellEnd"/>
      <w:r w:rsidRPr="001256EA">
        <w:rPr>
          <w:rFonts w:ascii="Times New Roman" w:hAnsi="Times New Roman" w:cs="Times New Roman"/>
          <w:sz w:val="20"/>
          <w:szCs w:val="20"/>
          <w:lang w:val="fr-FR"/>
        </w:rPr>
        <w:t xml:space="preserve">, H., &amp; Bondas, T. (2013). </w:t>
      </w:r>
      <w:r w:rsidRPr="001256EA">
        <w:rPr>
          <w:rFonts w:ascii="Times New Roman" w:hAnsi="Times New Roman" w:cs="Times New Roman"/>
          <w:sz w:val="20"/>
          <w:szCs w:val="20"/>
        </w:rPr>
        <w:t xml:space="preserve">Content analysis and thematic analysis: Implications for conducting a qualitative descriptive study. </w:t>
      </w:r>
      <w:r w:rsidRPr="001256EA">
        <w:rPr>
          <w:rFonts w:ascii="Times New Roman" w:hAnsi="Times New Roman" w:cs="Times New Roman"/>
          <w:i/>
          <w:iCs/>
          <w:sz w:val="20"/>
          <w:szCs w:val="20"/>
        </w:rPr>
        <w:t>Nursing &amp; Health Sciences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15</w:t>
      </w:r>
      <w:r w:rsidRPr="001256EA">
        <w:rPr>
          <w:rFonts w:ascii="Times New Roman" w:hAnsi="Times New Roman" w:cs="Times New Roman"/>
          <w:sz w:val="20"/>
          <w:szCs w:val="20"/>
        </w:rPr>
        <w:t xml:space="preserve">(3), 398–405. </w:t>
      </w:r>
      <w:hyperlink r:id="rId208" w:history="1">
        <w:r w:rsidR="00D46287" w:rsidRPr="001256EA">
          <w:rPr>
            <w:rStyle w:val="Hyperlink"/>
            <w:rFonts w:ascii="Times New Roman" w:hAnsi="Times New Roman" w:cs="Times New Roman"/>
            <w:sz w:val="20"/>
            <w:szCs w:val="20"/>
          </w:rPr>
          <w:t>https://doi.org/10.1111/nhs.12048</w:t>
        </w:r>
      </w:hyperlink>
      <w:r w:rsidR="00D46287" w:rsidRPr="001256EA">
        <w:rPr>
          <w:rFonts w:ascii="Times New Roman" w:hAnsi="Times New Roman" w:cs="Times New Roman"/>
          <w:sz w:val="20"/>
          <w:szCs w:val="20"/>
        </w:rPr>
        <w:t xml:space="preserve"> </w:t>
      </w:r>
    </w:p>
    <w:p w14:paraId="058AD8FE" w14:textId="4CE3694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Van Delden, J. J., Visser, J. J., &amp; Borst-Eilers, E. (2004). </w:t>
      </w:r>
      <w:r w:rsidRPr="001256EA">
        <w:rPr>
          <w:rFonts w:ascii="Times New Roman" w:hAnsi="Times New Roman" w:cs="Times New Roman"/>
          <w:sz w:val="20"/>
          <w:szCs w:val="20"/>
        </w:rPr>
        <w:t xml:space="preserve">Thirty years’ experience with euthanasia in the Netherlands: Focusing on the patient as a person. </w:t>
      </w:r>
      <w:r w:rsidRPr="001256EA">
        <w:rPr>
          <w:rFonts w:ascii="Times New Roman" w:hAnsi="Times New Roman" w:cs="Times New Roman"/>
          <w:i/>
          <w:iCs/>
          <w:sz w:val="20"/>
          <w:szCs w:val="20"/>
        </w:rPr>
        <w:t>Physician-Assisted Dying: The Case for Palliative Care and Patient Choice</w:t>
      </w:r>
      <w:r w:rsidRPr="001256EA">
        <w:rPr>
          <w:rFonts w:ascii="Times New Roman" w:hAnsi="Times New Roman" w:cs="Times New Roman"/>
          <w:sz w:val="20"/>
          <w:szCs w:val="20"/>
        </w:rPr>
        <w:t xml:space="preserve">, 202–216. </w:t>
      </w:r>
      <w:hyperlink r:id="rId209" w:history="1">
        <w:r w:rsidR="00D46287" w:rsidRPr="001256EA">
          <w:rPr>
            <w:rStyle w:val="Hyperlink"/>
            <w:rFonts w:ascii="Times New Roman" w:hAnsi="Times New Roman" w:cs="Times New Roman"/>
            <w:sz w:val="20"/>
            <w:szCs w:val="20"/>
          </w:rPr>
          <w:t>https://derechoamorir.org/wp-content/uploads/2018/07/years30.pdf</w:t>
        </w:r>
      </w:hyperlink>
      <w:r w:rsidR="00D46287" w:rsidRPr="001256EA">
        <w:rPr>
          <w:rFonts w:ascii="Times New Roman" w:hAnsi="Times New Roman" w:cs="Times New Roman"/>
          <w:sz w:val="20"/>
          <w:szCs w:val="20"/>
        </w:rPr>
        <w:t xml:space="preserve"> </w:t>
      </w:r>
    </w:p>
    <w:p w14:paraId="3AB342EF" w14:textId="0B0110C0"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Van Den </w:t>
      </w:r>
      <w:proofErr w:type="spellStart"/>
      <w:r w:rsidRPr="00BB574A">
        <w:rPr>
          <w:rFonts w:ascii="Times New Roman" w:hAnsi="Times New Roman" w:cs="Times New Roman"/>
          <w:sz w:val="20"/>
          <w:szCs w:val="20"/>
          <w:lang w:val="de-DE"/>
        </w:rPr>
        <w:t>Akker</w:t>
      </w:r>
      <w:proofErr w:type="spellEnd"/>
      <w:r w:rsidRPr="00BB574A">
        <w:rPr>
          <w:rFonts w:ascii="Times New Roman" w:hAnsi="Times New Roman" w:cs="Times New Roman"/>
          <w:sz w:val="20"/>
          <w:szCs w:val="20"/>
          <w:lang w:val="de-DE"/>
        </w:rPr>
        <w:t xml:space="preserve">, B., Janssens, R. M. J. P. A., &amp; Have, H. A. M. J. T. (1997). </w:t>
      </w:r>
      <w:r w:rsidRPr="001256EA">
        <w:rPr>
          <w:rFonts w:ascii="Times New Roman" w:hAnsi="Times New Roman" w:cs="Times New Roman"/>
          <w:sz w:val="20"/>
          <w:szCs w:val="20"/>
        </w:rPr>
        <w:t xml:space="preserve">Euthanasia and International Human Rights Law: Prolegomena for an International Debate. </w:t>
      </w:r>
      <w:r w:rsidRPr="001256EA">
        <w:rPr>
          <w:rFonts w:ascii="Times New Roman" w:hAnsi="Times New Roman" w:cs="Times New Roman"/>
          <w:i/>
          <w:iCs/>
          <w:sz w:val="20"/>
          <w:szCs w:val="20"/>
        </w:rPr>
        <w:t>Medicine, Science and the Law</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37</w:t>
      </w:r>
      <w:r w:rsidRPr="001256EA">
        <w:rPr>
          <w:rFonts w:ascii="Times New Roman" w:hAnsi="Times New Roman" w:cs="Times New Roman"/>
          <w:sz w:val="20"/>
          <w:szCs w:val="20"/>
        </w:rPr>
        <w:t xml:space="preserve">(4), 289–295. </w:t>
      </w:r>
      <w:hyperlink r:id="rId210" w:history="1">
        <w:r w:rsidR="00D46287" w:rsidRPr="001256EA">
          <w:rPr>
            <w:rStyle w:val="Hyperlink"/>
            <w:rFonts w:ascii="Times New Roman" w:hAnsi="Times New Roman" w:cs="Times New Roman"/>
            <w:sz w:val="20"/>
            <w:szCs w:val="20"/>
          </w:rPr>
          <w:t>https://doi.org/10.1177/002580249703700403</w:t>
        </w:r>
      </w:hyperlink>
      <w:r w:rsidR="00D46287" w:rsidRPr="001256EA">
        <w:rPr>
          <w:rFonts w:ascii="Times New Roman" w:hAnsi="Times New Roman" w:cs="Times New Roman"/>
          <w:sz w:val="20"/>
          <w:szCs w:val="20"/>
        </w:rPr>
        <w:t xml:space="preserve"> </w:t>
      </w:r>
    </w:p>
    <w:p w14:paraId="0A1B9E07" w14:textId="63A5F56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van </w:t>
      </w:r>
      <w:proofErr w:type="gramStart"/>
      <w:r w:rsidRPr="00BB574A">
        <w:rPr>
          <w:rFonts w:ascii="Times New Roman" w:hAnsi="Times New Roman" w:cs="Times New Roman"/>
          <w:sz w:val="20"/>
          <w:szCs w:val="20"/>
          <w:lang w:val="de-DE"/>
        </w:rPr>
        <w:t>den Ende</w:t>
      </w:r>
      <w:proofErr w:type="gramEnd"/>
      <w:r w:rsidRPr="00BB574A">
        <w:rPr>
          <w:rFonts w:ascii="Times New Roman" w:hAnsi="Times New Roman" w:cs="Times New Roman"/>
          <w:sz w:val="20"/>
          <w:szCs w:val="20"/>
          <w:lang w:val="de-DE"/>
        </w:rPr>
        <w:t xml:space="preserve">, C., Bunge, E. M., &amp; van de </w:t>
      </w:r>
      <w:proofErr w:type="spellStart"/>
      <w:r w:rsidRPr="00BB574A">
        <w:rPr>
          <w:rFonts w:ascii="Times New Roman" w:hAnsi="Times New Roman" w:cs="Times New Roman"/>
          <w:sz w:val="20"/>
          <w:szCs w:val="20"/>
          <w:lang w:val="de-DE"/>
        </w:rPr>
        <w:t>Vathorst</w:t>
      </w:r>
      <w:proofErr w:type="spellEnd"/>
      <w:r w:rsidRPr="00BB574A">
        <w:rPr>
          <w:rFonts w:ascii="Times New Roman" w:hAnsi="Times New Roman" w:cs="Times New Roman"/>
          <w:sz w:val="20"/>
          <w:szCs w:val="20"/>
          <w:lang w:val="de-DE"/>
        </w:rPr>
        <w:t xml:space="preserve">, S. (2021). </w:t>
      </w:r>
      <w:proofErr w:type="gramStart"/>
      <w:r w:rsidRPr="001256EA">
        <w:rPr>
          <w:rFonts w:ascii="Times New Roman" w:hAnsi="Times New Roman" w:cs="Times New Roman"/>
          <w:sz w:val="20"/>
          <w:szCs w:val="20"/>
        </w:rPr>
        <w:t>Wish</w:t>
      </w:r>
      <w:proofErr w:type="gramEnd"/>
      <w:r w:rsidRPr="001256EA">
        <w:rPr>
          <w:rFonts w:ascii="Times New Roman" w:hAnsi="Times New Roman" w:cs="Times New Roman"/>
          <w:sz w:val="20"/>
          <w:szCs w:val="20"/>
        </w:rPr>
        <w:t xml:space="preserve"> for euthanasia </w:t>
      </w:r>
      <w:proofErr w:type="gramStart"/>
      <w:r w:rsidRPr="001256EA">
        <w:rPr>
          <w:rFonts w:ascii="Times New Roman" w:hAnsi="Times New Roman" w:cs="Times New Roman"/>
          <w:sz w:val="20"/>
          <w:szCs w:val="20"/>
        </w:rPr>
        <w:t>persists</w:t>
      </w:r>
      <w:proofErr w:type="gramEnd"/>
      <w:r w:rsidRPr="001256EA">
        <w:rPr>
          <w:rFonts w:ascii="Times New Roman" w:hAnsi="Times New Roman" w:cs="Times New Roman"/>
          <w:sz w:val="20"/>
          <w:szCs w:val="20"/>
        </w:rPr>
        <w:t xml:space="preserve"> for at least one year after the request was declined by Euthanasia Expertise Center. </w:t>
      </w:r>
      <w:r w:rsidRPr="001256EA">
        <w:rPr>
          <w:rFonts w:ascii="Times New Roman" w:hAnsi="Times New Roman" w:cs="Times New Roman"/>
          <w:i/>
          <w:iCs/>
          <w:sz w:val="20"/>
          <w:szCs w:val="20"/>
        </w:rPr>
        <w:t>Health Policy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125</w:t>
      </w:r>
      <w:r w:rsidRPr="001256EA">
        <w:rPr>
          <w:rFonts w:ascii="Times New Roman" w:hAnsi="Times New Roman" w:cs="Times New Roman"/>
          <w:sz w:val="20"/>
          <w:szCs w:val="20"/>
        </w:rPr>
        <w:t xml:space="preserve">(8), 1108–1113. </w:t>
      </w:r>
      <w:hyperlink r:id="rId211" w:history="1">
        <w:r w:rsidR="00D46287" w:rsidRPr="001256EA">
          <w:rPr>
            <w:rStyle w:val="Hyperlink"/>
            <w:rFonts w:ascii="Times New Roman" w:hAnsi="Times New Roman" w:cs="Times New Roman"/>
            <w:sz w:val="20"/>
            <w:szCs w:val="20"/>
          </w:rPr>
          <w:t>https://www.sciencedirect.com/science/article/pii/S0168851021001299</w:t>
        </w:r>
      </w:hyperlink>
      <w:r w:rsidR="00D46287" w:rsidRPr="001256EA">
        <w:rPr>
          <w:rFonts w:ascii="Times New Roman" w:hAnsi="Times New Roman" w:cs="Times New Roman"/>
          <w:sz w:val="20"/>
          <w:szCs w:val="20"/>
        </w:rPr>
        <w:t xml:space="preserve"> </w:t>
      </w:r>
    </w:p>
    <w:p w14:paraId="608A1EE6" w14:textId="72DAAB1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BB574A">
        <w:rPr>
          <w:rFonts w:ascii="Times New Roman" w:hAnsi="Times New Roman" w:cs="Times New Roman"/>
          <w:sz w:val="20"/>
          <w:szCs w:val="20"/>
          <w:lang w:val="de-DE"/>
        </w:rPr>
        <w:t xml:space="preserve">Van Der Heide, A., </w:t>
      </w:r>
      <w:proofErr w:type="spellStart"/>
      <w:r w:rsidRPr="00BB574A">
        <w:rPr>
          <w:rFonts w:ascii="Times New Roman" w:hAnsi="Times New Roman" w:cs="Times New Roman"/>
          <w:sz w:val="20"/>
          <w:szCs w:val="20"/>
          <w:lang w:val="de-DE"/>
        </w:rPr>
        <w:t>Onwuteaka</w:t>
      </w:r>
      <w:proofErr w:type="spellEnd"/>
      <w:r w:rsidRPr="00BB574A">
        <w:rPr>
          <w:rFonts w:ascii="Times New Roman" w:hAnsi="Times New Roman" w:cs="Times New Roman"/>
          <w:sz w:val="20"/>
          <w:szCs w:val="20"/>
          <w:lang w:val="de-DE"/>
        </w:rPr>
        <w:t xml:space="preserve">-Philipsen, B. D., Rurup, M. L., </w:t>
      </w:r>
      <w:proofErr w:type="spellStart"/>
      <w:r w:rsidRPr="00BB574A">
        <w:rPr>
          <w:rFonts w:ascii="Times New Roman" w:hAnsi="Times New Roman" w:cs="Times New Roman"/>
          <w:sz w:val="20"/>
          <w:szCs w:val="20"/>
          <w:lang w:val="de-DE"/>
        </w:rPr>
        <w:t>Buiting</w:t>
      </w:r>
      <w:proofErr w:type="spellEnd"/>
      <w:r w:rsidRPr="00BB574A">
        <w:rPr>
          <w:rFonts w:ascii="Times New Roman" w:hAnsi="Times New Roman" w:cs="Times New Roman"/>
          <w:sz w:val="20"/>
          <w:szCs w:val="20"/>
          <w:lang w:val="de-DE"/>
        </w:rPr>
        <w:t xml:space="preserve">, H. M., Van Delden, J. J. M., Hanssen-de Wolf, J. E., Janssen, A. G. J. M., Pasman, H. R. W., </w:t>
      </w:r>
      <w:proofErr w:type="spellStart"/>
      <w:r w:rsidRPr="00BB574A">
        <w:rPr>
          <w:rFonts w:ascii="Times New Roman" w:hAnsi="Times New Roman" w:cs="Times New Roman"/>
          <w:sz w:val="20"/>
          <w:szCs w:val="20"/>
          <w:lang w:val="de-DE"/>
        </w:rPr>
        <w:t>Rietjens</w:t>
      </w:r>
      <w:proofErr w:type="spellEnd"/>
      <w:r w:rsidRPr="00BB574A">
        <w:rPr>
          <w:rFonts w:ascii="Times New Roman" w:hAnsi="Times New Roman" w:cs="Times New Roman"/>
          <w:sz w:val="20"/>
          <w:szCs w:val="20"/>
          <w:lang w:val="de-DE"/>
        </w:rPr>
        <w:t xml:space="preserve">, J. A. C., Prins, C. J. M., </w:t>
      </w:r>
      <w:proofErr w:type="spellStart"/>
      <w:r w:rsidRPr="00BB574A">
        <w:rPr>
          <w:rFonts w:ascii="Times New Roman" w:hAnsi="Times New Roman" w:cs="Times New Roman"/>
          <w:sz w:val="20"/>
          <w:szCs w:val="20"/>
          <w:lang w:val="de-DE"/>
        </w:rPr>
        <w:t>Deerenberg</w:t>
      </w:r>
      <w:proofErr w:type="spellEnd"/>
      <w:r w:rsidRPr="00BB574A">
        <w:rPr>
          <w:rFonts w:ascii="Times New Roman" w:hAnsi="Times New Roman" w:cs="Times New Roman"/>
          <w:sz w:val="20"/>
          <w:szCs w:val="20"/>
          <w:lang w:val="de-DE"/>
        </w:rPr>
        <w:t xml:space="preserve">, I. M., Gevers, J. K. M., Van Der Maas, P. J., &amp; Van Der Wal, G. (2007). </w:t>
      </w:r>
      <w:r w:rsidRPr="001256EA">
        <w:rPr>
          <w:rFonts w:ascii="Times New Roman" w:hAnsi="Times New Roman" w:cs="Times New Roman"/>
          <w:sz w:val="20"/>
          <w:szCs w:val="20"/>
        </w:rPr>
        <w:t xml:space="preserve">End-of-Life Practices in the Netherlands under the Euthanasia Act. </w:t>
      </w:r>
      <w:r w:rsidRPr="001256EA">
        <w:rPr>
          <w:rFonts w:ascii="Times New Roman" w:hAnsi="Times New Roman" w:cs="Times New Roman"/>
          <w:i/>
          <w:iCs/>
          <w:sz w:val="20"/>
          <w:szCs w:val="20"/>
        </w:rPr>
        <w:t>New England Journal of Medicine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356</w:t>
      </w:r>
      <w:r w:rsidRPr="001256EA">
        <w:rPr>
          <w:rFonts w:ascii="Times New Roman" w:hAnsi="Times New Roman" w:cs="Times New Roman"/>
          <w:sz w:val="20"/>
          <w:szCs w:val="20"/>
        </w:rPr>
        <w:t xml:space="preserve">(19), 1957–1965. </w:t>
      </w:r>
      <w:hyperlink r:id="rId212" w:history="1">
        <w:r w:rsidR="00D46287" w:rsidRPr="001256EA">
          <w:rPr>
            <w:rStyle w:val="Hyperlink"/>
            <w:rFonts w:ascii="Times New Roman" w:hAnsi="Times New Roman" w:cs="Times New Roman"/>
            <w:sz w:val="20"/>
            <w:szCs w:val="20"/>
          </w:rPr>
          <w:t>https://doi.org/10.1056/NEJMsa071143</w:t>
        </w:r>
      </w:hyperlink>
      <w:r w:rsidR="00D46287" w:rsidRPr="001256EA">
        <w:rPr>
          <w:rFonts w:ascii="Times New Roman" w:hAnsi="Times New Roman" w:cs="Times New Roman"/>
          <w:sz w:val="20"/>
          <w:szCs w:val="20"/>
        </w:rPr>
        <w:t xml:space="preserve"> </w:t>
      </w:r>
    </w:p>
    <w:p w14:paraId="2DD04BC7" w14:textId="0302890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Van Der Meer, C. (1988). Euthanasia: </w:t>
      </w:r>
      <w:proofErr w:type="gramStart"/>
      <w:r w:rsidRPr="001256EA">
        <w:rPr>
          <w:rFonts w:ascii="Times New Roman" w:hAnsi="Times New Roman" w:cs="Times New Roman"/>
          <w:sz w:val="20"/>
          <w:szCs w:val="20"/>
        </w:rPr>
        <w:t>A Definition</w:t>
      </w:r>
      <w:proofErr w:type="gramEnd"/>
      <w:r w:rsidRPr="001256EA">
        <w:rPr>
          <w:rFonts w:ascii="Times New Roman" w:hAnsi="Times New Roman" w:cs="Times New Roman"/>
          <w:sz w:val="20"/>
          <w:szCs w:val="20"/>
        </w:rPr>
        <w:t xml:space="preserve"> and Ethical Conditions. </w:t>
      </w:r>
      <w:r w:rsidRPr="001256EA">
        <w:rPr>
          <w:rFonts w:ascii="Times New Roman" w:hAnsi="Times New Roman" w:cs="Times New Roman"/>
          <w:i/>
          <w:iCs/>
          <w:sz w:val="20"/>
          <w:szCs w:val="20"/>
        </w:rPr>
        <w:t>Journal of Palliative Care</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w:t>
      </w:r>
      <w:r w:rsidRPr="001256EA">
        <w:rPr>
          <w:rFonts w:ascii="Times New Roman" w:hAnsi="Times New Roman" w:cs="Times New Roman"/>
          <w:sz w:val="20"/>
          <w:szCs w:val="20"/>
        </w:rPr>
        <w:t xml:space="preserve">(1–2), 103–106. </w:t>
      </w:r>
      <w:hyperlink r:id="rId213" w:history="1">
        <w:r w:rsidR="00D46287" w:rsidRPr="001256EA">
          <w:rPr>
            <w:rStyle w:val="Hyperlink"/>
            <w:rFonts w:ascii="Times New Roman" w:hAnsi="Times New Roman" w:cs="Times New Roman"/>
            <w:sz w:val="20"/>
            <w:szCs w:val="20"/>
          </w:rPr>
          <w:t>https://doi.org/10.1177/0825859788004001-232</w:t>
        </w:r>
      </w:hyperlink>
      <w:r w:rsidR="00D46287" w:rsidRPr="001256EA">
        <w:rPr>
          <w:rFonts w:ascii="Times New Roman" w:hAnsi="Times New Roman" w:cs="Times New Roman"/>
          <w:sz w:val="20"/>
          <w:szCs w:val="20"/>
        </w:rPr>
        <w:t xml:space="preserve"> </w:t>
      </w:r>
    </w:p>
    <w:p w14:paraId="6F9FFF85" w14:textId="324DAC01"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Van Humbeeck, L., Piers, R., De Bock, R., &amp; Van Den Noortgate, N. (2022). </w:t>
      </w:r>
      <w:r w:rsidRPr="001256EA">
        <w:rPr>
          <w:rFonts w:ascii="Times New Roman" w:hAnsi="Times New Roman" w:cs="Times New Roman"/>
          <w:sz w:val="20"/>
          <w:szCs w:val="20"/>
        </w:rPr>
        <w:t xml:space="preserve">Flemish healthcare providers’ attitude towards tiredness of life and euthanasia: A survey study. </w:t>
      </w:r>
      <w:r w:rsidRPr="001256EA">
        <w:rPr>
          <w:rFonts w:ascii="Times New Roman" w:hAnsi="Times New Roman" w:cs="Times New Roman"/>
          <w:i/>
          <w:iCs/>
          <w:sz w:val="20"/>
          <w:szCs w:val="20"/>
        </w:rPr>
        <w:t>Aging &amp; Mental Health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26</w:t>
      </w:r>
      <w:r w:rsidRPr="001256EA">
        <w:rPr>
          <w:rFonts w:ascii="Times New Roman" w:hAnsi="Times New Roman" w:cs="Times New Roman"/>
          <w:sz w:val="20"/>
          <w:szCs w:val="20"/>
        </w:rPr>
        <w:t xml:space="preserve">(1), 205–211. </w:t>
      </w:r>
      <w:hyperlink r:id="rId214" w:history="1">
        <w:r w:rsidR="00C66B34" w:rsidRPr="001256EA">
          <w:rPr>
            <w:rStyle w:val="Hyperlink"/>
            <w:rFonts w:ascii="Times New Roman" w:hAnsi="Times New Roman" w:cs="Times New Roman"/>
            <w:sz w:val="20"/>
            <w:szCs w:val="20"/>
          </w:rPr>
          <w:t>https://doi.org/10.1080/13607863.2020.1870205</w:t>
        </w:r>
      </w:hyperlink>
      <w:r w:rsidR="00C66B34" w:rsidRPr="001256EA">
        <w:rPr>
          <w:rFonts w:ascii="Times New Roman" w:hAnsi="Times New Roman" w:cs="Times New Roman"/>
          <w:sz w:val="20"/>
          <w:szCs w:val="20"/>
        </w:rPr>
        <w:t xml:space="preserve"> </w:t>
      </w:r>
    </w:p>
    <w:p w14:paraId="681A800F" w14:textId="576170E6"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Van Rickstal, R., De Vleminck, A., </w:t>
      </w: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K., &amp; Van den Block, L. (2023). People with young-onset dementia and their family caregivers </w:t>
      </w:r>
      <w:proofErr w:type="gramStart"/>
      <w:r w:rsidRPr="001256EA">
        <w:rPr>
          <w:rFonts w:ascii="Times New Roman" w:hAnsi="Times New Roman" w:cs="Times New Roman"/>
          <w:sz w:val="20"/>
          <w:szCs w:val="20"/>
        </w:rPr>
        <w:t>discussing</w:t>
      </w:r>
      <w:proofErr w:type="gramEnd"/>
      <w:r w:rsidRPr="001256EA">
        <w:rPr>
          <w:rFonts w:ascii="Times New Roman" w:hAnsi="Times New Roman" w:cs="Times New Roman"/>
          <w:sz w:val="20"/>
          <w:szCs w:val="20"/>
        </w:rPr>
        <w:t xml:space="preserve"> euthanasia: A qualitative analysis of their considerations. </w:t>
      </w:r>
      <w:r w:rsidRPr="001256EA">
        <w:rPr>
          <w:rFonts w:ascii="Times New Roman" w:hAnsi="Times New Roman" w:cs="Times New Roman"/>
          <w:i/>
          <w:iCs/>
          <w:sz w:val="20"/>
          <w:szCs w:val="20"/>
        </w:rPr>
        <w:t>Patient Education and Counseling</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115</w:t>
      </w:r>
      <w:r w:rsidRPr="001256EA">
        <w:rPr>
          <w:rFonts w:ascii="Times New Roman" w:hAnsi="Times New Roman" w:cs="Times New Roman"/>
          <w:sz w:val="20"/>
          <w:szCs w:val="20"/>
        </w:rPr>
        <w:t xml:space="preserve">, 107882. </w:t>
      </w:r>
      <w:hyperlink r:id="rId215" w:history="1">
        <w:r w:rsidR="00C66B34" w:rsidRPr="001256EA">
          <w:rPr>
            <w:rStyle w:val="Hyperlink"/>
            <w:rFonts w:ascii="Times New Roman" w:hAnsi="Times New Roman" w:cs="Times New Roman"/>
            <w:sz w:val="20"/>
            <w:szCs w:val="20"/>
          </w:rPr>
          <w:t>https://www.sciencedirect.com/science/article/pii/S0738399123002628</w:t>
        </w:r>
      </w:hyperlink>
      <w:r w:rsidR="00C66B34" w:rsidRPr="001256EA">
        <w:rPr>
          <w:rFonts w:ascii="Times New Roman" w:hAnsi="Times New Roman" w:cs="Times New Roman"/>
          <w:sz w:val="20"/>
          <w:szCs w:val="20"/>
        </w:rPr>
        <w:t xml:space="preserve"> </w:t>
      </w:r>
    </w:p>
    <w:p w14:paraId="5BAFAB45" w14:textId="4B473254"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Van Wesemael, Y., Cohen, J., Bilsen, J., Smets, T., </w:t>
      </w: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 xml:space="preserve">-Philipsen, B., &amp; </w:t>
      </w:r>
      <w:proofErr w:type="spellStart"/>
      <w:r w:rsidRPr="001256EA">
        <w:rPr>
          <w:rFonts w:ascii="Times New Roman" w:hAnsi="Times New Roman" w:cs="Times New Roman"/>
          <w:sz w:val="20"/>
          <w:szCs w:val="20"/>
        </w:rPr>
        <w:t>Deliens</w:t>
      </w:r>
      <w:proofErr w:type="spellEnd"/>
      <w:r w:rsidRPr="001256EA">
        <w:rPr>
          <w:rFonts w:ascii="Times New Roman" w:hAnsi="Times New Roman" w:cs="Times New Roman"/>
          <w:sz w:val="20"/>
          <w:szCs w:val="20"/>
        </w:rPr>
        <w:t xml:space="preserve">, L. (2011). Process and outcomes of euthanasia requests under the Belgian act on euthanasia: A nationwide survey. </w:t>
      </w:r>
      <w:r w:rsidRPr="001256EA">
        <w:rPr>
          <w:rFonts w:ascii="Times New Roman" w:hAnsi="Times New Roman" w:cs="Times New Roman"/>
          <w:i/>
          <w:iCs/>
          <w:sz w:val="20"/>
          <w:szCs w:val="20"/>
        </w:rPr>
        <w:t>Journal of Pain and Symptom Management</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42</w:t>
      </w:r>
      <w:r w:rsidRPr="001256EA">
        <w:rPr>
          <w:rFonts w:ascii="Times New Roman" w:hAnsi="Times New Roman" w:cs="Times New Roman"/>
          <w:sz w:val="20"/>
          <w:szCs w:val="20"/>
        </w:rPr>
        <w:t xml:space="preserve">(5), 721–733. </w:t>
      </w:r>
      <w:hyperlink r:id="rId216" w:history="1">
        <w:r w:rsidR="00C66B34" w:rsidRPr="001256EA">
          <w:rPr>
            <w:rStyle w:val="Hyperlink"/>
            <w:rFonts w:ascii="Times New Roman" w:hAnsi="Times New Roman" w:cs="Times New Roman"/>
            <w:sz w:val="20"/>
            <w:szCs w:val="20"/>
          </w:rPr>
          <w:t>https://www.sciencedirect.com/science/article/pii/S0885392411001540</w:t>
        </w:r>
      </w:hyperlink>
      <w:r w:rsidR="00C66B34" w:rsidRPr="001256EA">
        <w:rPr>
          <w:rFonts w:ascii="Times New Roman" w:hAnsi="Times New Roman" w:cs="Times New Roman"/>
          <w:sz w:val="20"/>
          <w:szCs w:val="20"/>
        </w:rPr>
        <w:t xml:space="preserve"> </w:t>
      </w:r>
    </w:p>
    <w:p w14:paraId="7D4A5E83" w14:textId="4FD71D5A"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Vayansky, I., &amp; Kumar, S. A. (2020). </w:t>
      </w:r>
      <w:r w:rsidRPr="001256EA">
        <w:rPr>
          <w:rFonts w:ascii="Times New Roman" w:hAnsi="Times New Roman" w:cs="Times New Roman"/>
          <w:sz w:val="20"/>
          <w:szCs w:val="20"/>
        </w:rPr>
        <w:t xml:space="preserve">A review of topic modeling methods. </w:t>
      </w:r>
      <w:r w:rsidRPr="001256EA">
        <w:rPr>
          <w:rFonts w:ascii="Times New Roman" w:hAnsi="Times New Roman" w:cs="Times New Roman"/>
          <w:i/>
          <w:iCs/>
          <w:sz w:val="20"/>
          <w:szCs w:val="20"/>
        </w:rPr>
        <w:t>Information Systems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94</w:t>
      </w:r>
      <w:r w:rsidRPr="001256EA">
        <w:rPr>
          <w:rFonts w:ascii="Times New Roman" w:hAnsi="Times New Roman" w:cs="Times New Roman"/>
          <w:sz w:val="20"/>
          <w:szCs w:val="20"/>
        </w:rPr>
        <w:t>, 101582.</w:t>
      </w:r>
      <w:r w:rsidR="00C66B34" w:rsidRPr="001256EA">
        <w:rPr>
          <w:rFonts w:ascii="Times New Roman" w:hAnsi="Times New Roman" w:cs="Times New Roman"/>
          <w:sz w:val="20"/>
          <w:szCs w:val="20"/>
        </w:rPr>
        <w:t xml:space="preserve"> </w:t>
      </w:r>
      <w:hyperlink r:id="rId217" w:history="1">
        <w:r w:rsidR="00C66B34" w:rsidRPr="001256EA">
          <w:rPr>
            <w:rStyle w:val="Hyperlink"/>
            <w:rFonts w:ascii="Times New Roman" w:hAnsi="Times New Roman" w:cs="Times New Roman"/>
            <w:sz w:val="20"/>
            <w:szCs w:val="20"/>
          </w:rPr>
          <w:t>https://doi.org/10.1016/j.is.2020.101582</w:t>
        </w:r>
      </w:hyperlink>
      <w:r w:rsidR="00C66B34" w:rsidRPr="001256EA">
        <w:rPr>
          <w:rFonts w:ascii="Times New Roman" w:hAnsi="Times New Roman" w:cs="Times New Roman"/>
          <w:sz w:val="20"/>
          <w:szCs w:val="20"/>
        </w:rPr>
        <w:t xml:space="preserve"> </w:t>
      </w:r>
    </w:p>
    <w:p w14:paraId="2918CFBC" w14:textId="20B32B1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sv-SE"/>
        </w:rPr>
        <w:t>Vera-</w:t>
      </w:r>
      <w:proofErr w:type="spellStart"/>
      <w:r w:rsidRPr="001256EA">
        <w:rPr>
          <w:rFonts w:ascii="Times New Roman" w:hAnsi="Times New Roman" w:cs="Times New Roman"/>
          <w:sz w:val="20"/>
          <w:szCs w:val="20"/>
          <w:lang w:val="sv-SE"/>
        </w:rPr>
        <w:t>Baceta</w:t>
      </w:r>
      <w:proofErr w:type="spellEnd"/>
      <w:r w:rsidRPr="001256EA">
        <w:rPr>
          <w:rFonts w:ascii="Times New Roman" w:hAnsi="Times New Roman" w:cs="Times New Roman"/>
          <w:sz w:val="20"/>
          <w:szCs w:val="20"/>
          <w:lang w:val="sv-SE"/>
        </w:rPr>
        <w:t xml:space="preserve">, M.-A., </w:t>
      </w:r>
      <w:proofErr w:type="spellStart"/>
      <w:r w:rsidRPr="001256EA">
        <w:rPr>
          <w:rFonts w:ascii="Times New Roman" w:hAnsi="Times New Roman" w:cs="Times New Roman"/>
          <w:sz w:val="20"/>
          <w:szCs w:val="20"/>
          <w:lang w:val="sv-SE"/>
        </w:rPr>
        <w:t>Thelwall</w:t>
      </w:r>
      <w:proofErr w:type="spellEnd"/>
      <w:r w:rsidRPr="001256EA">
        <w:rPr>
          <w:rFonts w:ascii="Times New Roman" w:hAnsi="Times New Roman" w:cs="Times New Roman"/>
          <w:sz w:val="20"/>
          <w:szCs w:val="20"/>
          <w:lang w:val="sv-SE"/>
        </w:rPr>
        <w:t xml:space="preserve">, M., &amp; </w:t>
      </w:r>
      <w:proofErr w:type="spellStart"/>
      <w:r w:rsidRPr="001256EA">
        <w:rPr>
          <w:rFonts w:ascii="Times New Roman" w:hAnsi="Times New Roman" w:cs="Times New Roman"/>
          <w:sz w:val="20"/>
          <w:szCs w:val="20"/>
          <w:lang w:val="sv-SE"/>
        </w:rPr>
        <w:t>Kousha</w:t>
      </w:r>
      <w:proofErr w:type="spellEnd"/>
      <w:r w:rsidRPr="001256EA">
        <w:rPr>
          <w:rFonts w:ascii="Times New Roman" w:hAnsi="Times New Roman" w:cs="Times New Roman"/>
          <w:sz w:val="20"/>
          <w:szCs w:val="20"/>
          <w:lang w:val="sv-SE"/>
        </w:rPr>
        <w:t xml:space="preserve">, K. (2019). </w:t>
      </w:r>
      <w:r w:rsidRPr="001256EA">
        <w:rPr>
          <w:rFonts w:ascii="Times New Roman" w:hAnsi="Times New Roman" w:cs="Times New Roman"/>
          <w:sz w:val="20"/>
          <w:szCs w:val="20"/>
        </w:rPr>
        <w:t xml:space="preserve">Web of Science and Scopus language coverage. </w:t>
      </w:r>
      <w:proofErr w:type="spellStart"/>
      <w:r w:rsidRPr="001256EA">
        <w:rPr>
          <w:rFonts w:ascii="Times New Roman" w:hAnsi="Times New Roman" w:cs="Times New Roman"/>
          <w:i/>
          <w:iCs/>
          <w:sz w:val="20"/>
          <w:szCs w:val="20"/>
        </w:rPr>
        <w:t>Scientometrics</w:t>
      </w:r>
      <w:proofErr w:type="spellEnd"/>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121</w:t>
      </w:r>
      <w:r w:rsidRPr="001256EA">
        <w:rPr>
          <w:rFonts w:ascii="Times New Roman" w:hAnsi="Times New Roman" w:cs="Times New Roman"/>
          <w:sz w:val="20"/>
          <w:szCs w:val="20"/>
        </w:rPr>
        <w:t xml:space="preserve">(3), 1803–1813. </w:t>
      </w:r>
      <w:hyperlink r:id="rId218" w:history="1">
        <w:r w:rsidR="00C66B34" w:rsidRPr="001256EA">
          <w:rPr>
            <w:rStyle w:val="Hyperlink"/>
            <w:rFonts w:ascii="Times New Roman" w:hAnsi="Times New Roman" w:cs="Times New Roman"/>
            <w:sz w:val="20"/>
            <w:szCs w:val="20"/>
          </w:rPr>
          <w:t>https://doi.org/10.1007/s11192-019-03264-z</w:t>
        </w:r>
      </w:hyperlink>
      <w:r w:rsidR="00C66B34" w:rsidRPr="001256EA">
        <w:rPr>
          <w:rFonts w:ascii="Times New Roman" w:hAnsi="Times New Roman" w:cs="Times New Roman"/>
          <w:sz w:val="20"/>
          <w:szCs w:val="20"/>
        </w:rPr>
        <w:t xml:space="preserve"> </w:t>
      </w:r>
    </w:p>
    <w:p w14:paraId="37E63AC9" w14:textId="532C4FA8"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Verdaguer, M., </w:t>
      </w:r>
      <w:proofErr w:type="spellStart"/>
      <w:r w:rsidRPr="001256EA">
        <w:rPr>
          <w:rFonts w:ascii="Times New Roman" w:hAnsi="Times New Roman" w:cs="Times New Roman"/>
          <w:sz w:val="20"/>
          <w:szCs w:val="20"/>
        </w:rPr>
        <w:t>Beroiz</w:t>
      </w:r>
      <w:proofErr w:type="spellEnd"/>
      <w:r w:rsidRPr="001256EA">
        <w:rPr>
          <w:rFonts w:ascii="Times New Roman" w:hAnsi="Times New Roman" w:cs="Times New Roman"/>
          <w:sz w:val="20"/>
          <w:szCs w:val="20"/>
        </w:rPr>
        <w:t xml:space="preserve">-Groh, P., Busquet-Duran, X., Moreno-Gabriel, E., </w:t>
      </w:r>
      <w:proofErr w:type="spellStart"/>
      <w:r w:rsidRPr="001256EA">
        <w:rPr>
          <w:rFonts w:ascii="Times New Roman" w:hAnsi="Times New Roman" w:cs="Times New Roman"/>
          <w:sz w:val="20"/>
          <w:szCs w:val="20"/>
        </w:rPr>
        <w:t>Arreciado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Marañón</w:t>
      </w:r>
      <w:proofErr w:type="spellEnd"/>
      <w:r w:rsidRPr="001256EA">
        <w:rPr>
          <w:rFonts w:ascii="Times New Roman" w:hAnsi="Times New Roman" w:cs="Times New Roman"/>
          <w:sz w:val="20"/>
          <w:szCs w:val="20"/>
        </w:rPr>
        <w:t xml:space="preserve">, A., Feijoo-Cid, M., Domènech, M., Íñiguez-Rueda, L., </w:t>
      </w:r>
      <w:proofErr w:type="spellStart"/>
      <w:r w:rsidRPr="001256EA">
        <w:rPr>
          <w:rFonts w:ascii="Times New Roman" w:hAnsi="Times New Roman" w:cs="Times New Roman"/>
          <w:sz w:val="20"/>
          <w:szCs w:val="20"/>
        </w:rPr>
        <w:t>Vallès</w:t>
      </w:r>
      <w:proofErr w:type="spellEnd"/>
      <w:r w:rsidRPr="001256EA">
        <w:rPr>
          <w:rFonts w:ascii="Times New Roman" w:hAnsi="Times New Roman" w:cs="Times New Roman"/>
          <w:sz w:val="20"/>
          <w:szCs w:val="20"/>
        </w:rPr>
        <w:t xml:space="preserve">-Peris, N., Cantarell-Barella, G., &amp; Toran-Monserrat, P. (2024). [The euthanasia law and professional experiences: Tensions in clinical practice]. </w:t>
      </w:r>
      <w:r w:rsidRPr="001256EA">
        <w:rPr>
          <w:rFonts w:ascii="Times New Roman" w:hAnsi="Times New Roman" w:cs="Times New Roman"/>
          <w:i/>
          <w:iCs/>
          <w:sz w:val="20"/>
          <w:szCs w:val="20"/>
        </w:rPr>
        <w:t>Gaceta Sanitaria</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38</w:t>
      </w:r>
      <w:r w:rsidRPr="001256EA">
        <w:rPr>
          <w:rFonts w:ascii="Times New Roman" w:hAnsi="Times New Roman" w:cs="Times New Roman"/>
          <w:sz w:val="20"/>
          <w:szCs w:val="20"/>
        </w:rPr>
        <w:t xml:space="preserve">, 102373. </w:t>
      </w:r>
      <w:hyperlink r:id="rId219" w:history="1">
        <w:r w:rsidR="00C66B34" w:rsidRPr="001256EA">
          <w:rPr>
            <w:rStyle w:val="Hyperlink"/>
            <w:rFonts w:ascii="Times New Roman" w:hAnsi="Times New Roman" w:cs="Times New Roman"/>
            <w:sz w:val="20"/>
            <w:szCs w:val="20"/>
          </w:rPr>
          <w:t>https://doi.org/10.1016/j.gaceta.2024.102373</w:t>
        </w:r>
      </w:hyperlink>
      <w:r w:rsidR="00C66B34" w:rsidRPr="001256EA">
        <w:rPr>
          <w:rFonts w:ascii="Times New Roman" w:hAnsi="Times New Roman" w:cs="Times New Roman"/>
          <w:sz w:val="20"/>
          <w:szCs w:val="20"/>
        </w:rPr>
        <w:t xml:space="preserve"> </w:t>
      </w:r>
    </w:p>
    <w:p w14:paraId="166A028B" w14:textId="2A218E4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de-DE"/>
        </w:rPr>
        <w:t xml:space="preserve">Verhagen, A. E., &amp; </w:t>
      </w:r>
      <w:proofErr w:type="spellStart"/>
      <w:r w:rsidRPr="001256EA">
        <w:rPr>
          <w:rFonts w:ascii="Times New Roman" w:hAnsi="Times New Roman" w:cs="Times New Roman"/>
          <w:sz w:val="20"/>
          <w:szCs w:val="20"/>
          <w:lang w:val="de-DE"/>
        </w:rPr>
        <w:t>Buijsen</w:t>
      </w:r>
      <w:proofErr w:type="spellEnd"/>
      <w:r w:rsidRPr="001256EA">
        <w:rPr>
          <w:rFonts w:ascii="Times New Roman" w:hAnsi="Times New Roman" w:cs="Times New Roman"/>
          <w:sz w:val="20"/>
          <w:szCs w:val="20"/>
          <w:lang w:val="de-DE"/>
        </w:rPr>
        <w:t xml:space="preserve">, M. (2023). </w:t>
      </w:r>
      <w:r w:rsidRPr="001256EA">
        <w:rPr>
          <w:rFonts w:ascii="Times New Roman" w:hAnsi="Times New Roman" w:cs="Times New Roman"/>
          <w:sz w:val="20"/>
          <w:szCs w:val="20"/>
        </w:rPr>
        <w:t xml:space="preserve">Should the Dutch Law on Euthanasia Be Expanded to Include Children? </w:t>
      </w:r>
      <w:r w:rsidRPr="001256EA">
        <w:rPr>
          <w:rFonts w:ascii="Times New Roman" w:hAnsi="Times New Roman" w:cs="Times New Roman"/>
          <w:i/>
          <w:iCs/>
          <w:sz w:val="20"/>
          <w:szCs w:val="20"/>
        </w:rPr>
        <w:t>Cambridge Quarterly of Healthcare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32</w:t>
      </w:r>
      <w:r w:rsidRPr="001256EA">
        <w:rPr>
          <w:rFonts w:ascii="Times New Roman" w:hAnsi="Times New Roman" w:cs="Times New Roman"/>
          <w:sz w:val="20"/>
          <w:szCs w:val="20"/>
        </w:rPr>
        <w:t xml:space="preserve">(1), 5–13. </w:t>
      </w:r>
      <w:hyperlink r:id="rId220" w:history="1">
        <w:r w:rsidR="00C66B34" w:rsidRPr="001256EA">
          <w:rPr>
            <w:rStyle w:val="Hyperlink"/>
            <w:rFonts w:ascii="Times New Roman" w:hAnsi="Times New Roman" w:cs="Times New Roman"/>
            <w:sz w:val="20"/>
            <w:szCs w:val="20"/>
          </w:rPr>
          <w:t>https://www.cambridge.org/core/journals/cambridge-quarterly-of-healthcare-ethics/article/should-the-dutch-law-on-euthanasia-be-expanded-to-include-children/A41751232DBEF2EF8DC32998BB3E2C99</w:t>
        </w:r>
      </w:hyperlink>
      <w:r w:rsidR="00C66B34" w:rsidRPr="001256EA">
        <w:rPr>
          <w:rFonts w:ascii="Times New Roman" w:hAnsi="Times New Roman" w:cs="Times New Roman"/>
          <w:sz w:val="20"/>
          <w:szCs w:val="20"/>
        </w:rPr>
        <w:t xml:space="preserve"> </w:t>
      </w:r>
    </w:p>
    <w:p w14:paraId="7BF059F2" w14:textId="1277D5FB"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Verhofstadt, M., Van Assche, K., Pardon, K., </w:t>
      </w:r>
      <w:proofErr w:type="spellStart"/>
      <w:r w:rsidRPr="001256EA">
        <w:rPr>
          <w:rFonts w:ascii="Times New Roman" w:hAnsi="Times New Roman" w:cs="Times New Roman"/>
          <w:sz w:val="20"/>
          <w:szCs w:val="20"/>
          <w:lang w:val="es-ES"/>
        </w:rPr>
        <w:t>Gleydura</w:t>
      </w:r>
      <w:proofErr w:type="spellEnd"/>
      <w:r w:rsidRPr="001256EA">
        <w:rPr>
          <w:rFonts w:ascii="Times New Roman" w:hAnsi="Times New Roman" w:cs="Times New Roman"/>
          <w:sz w:val="20"/>
          <w:szCs w:val="20"/>
          <w:lang w:val="es-ES"/>
        </w:rPr>
        <w:t xml:space="preserve">, M., </w:t>
      </w:r>
      <w:proofErr w:type="spellStart"/>
      <w:r w:rsidRPr="001256EA">
        <w:rPr>
          <w:rFonts w:ascii="Times New Roman" w:hAnsi="Times New Roman" w:cs="Times New Roman"/>
          <w:sz w:val="20"/>
          <w:szCs w:val="20"/>
          <w:lang w:val="es-ES"/>
        </w:rPr>
        <w:t>Titeca</w:t>
      </w:r>
      <w:proofErr w:type="spellEnd"/>
      <w:r w:rsidRPr="001256EA">
        <w:rPr>
          <w:rFonts w:ascii="Times New Roman" w:hAnsi="Times New Roman" w:cs="Times New Roman"/>
          <w:sz w:val="20"/>
          <w:szCs w:val="20"/>
          <w:lang w:val="es-ES"/>
        </w:rPr>
        <w:t xml:space="preserve">, K., &amp; </w:t>
      </w:r>
      <w:proofErr w:type="spellStart"/>
      <w:r w:rsidRPr="001256EA">
        <w:rPr>
          <w:rFonts w:ascii="Times New Roman" w:hAnsi="Times New Roman" w:cs="Times New Roman"/>
          <w:sz w:val="20"/>
          <w:szCs w:val="20"/>
          <w:lang w:val="es-ES"/>
        </w:rPr>
        <w:t>Chambaere</w:t>
      </w:r>
      <w:proofErr w:type="spellEnd"/>
      <w:r w:rsidRPr="001256EA">
        <w:rPr>
          <w:rFonts w:ascii="Times New Roman" w:hAnsi="Times New Roman" w:cs="Times New Roman"/>
          <w:sz w:val="20"/>
          <w:szCs w:val="20"/>
          <w:lang w:val="es-ES"/>
        </w:rPr>
        <w:t xml:space="preserve">, K. (2024). </w:t>
      </w:r>
      <w:r w:rsidRPr="001256EA">
        <w:rPr>
          <w:rFonts w:ascii="Times New Roman" w:hAnsi="Times New Roman" w:cs="Times New Roman"/>
          <w:sz w:val="20"/>
          <w:szCs w:val="20"/>
        </w:rPr>
        <w:t xml:space="preserve">Perspectives on the eligibility criteria for euthanasia for mental suffering caused by psychiatric disorder under the Belgian Euthanasia Law: A qualitative interview study among mental healthcare workers. </w:t>
      </w:r>
      <w:r w:rsidRPr="001256EA">
        <w:rPr>
          <w:rFonts w:ascii="Times New Roman" w:hAnsi="Times New Roman" w:cs="Times New Roman"/>
          <w:i/>
          <w:iCs/>
          <w:sz w:val="20"/>
          <w:szCs w:val="20"/>
        </w:rPr>
        <w:t>International Journal of Law and Psychiatry</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93</w:t>
      </w:r>
      <w:r w:rsidRPr="001256EA">
        <w:rPr>
          <w:rFonts w:ascii="Times New Roman" w:hAnsi="Times New Roman" w:cs="Times New Roman"/>
          <w:sz w:val="20"/>
          <w:szCs w:val="20"/>
        </w:rPr>
        <w:t xml:space="preserve">, 101961. </w:t>
      </w:r>
      <w:hyperlink r:id="rId221" w:history="1">
        <w:r w:rsidR="00C66B34" w:rsidRPr="001256EA">
          <w:rPr>
            <w:rStyle w:val="Hyperlink"/>
            <w:rFonts w:ascii="Times New Roman" w:hAnsi="Times New Roman" w:cs="Times New Roman"/>
            <w:sz w:val="20"/>
            <w:szCs w:val="20"/>
          </w:rPr>
          <w:t>https://www.sciencedirect.com/science/article/pii/S0160252724000104</w:t>
        </w:r>
      </w:hyperlink>
      <w:r w:rsidR="00C66B34" w:rsidRPr="001256EA">
        <w:rPr>
          <w:rFonts w:ascii="Times New Roman" w:hAnsi="Times New Roman" w:cs="Times New Roman"/>
          <w:sz w:val="20"/>
          <w:szCs w:val="20"/>
        </w:rPr>
        <w:t xml:space="preserve"> </w:t>
      </w:r>
    </w:p>
    <w:p w14:paraId="4EB795BE" w14:textId="75D262D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lang w:val="fr-FR"/>
        </w:rPr>
        <w:t xml:space="preserve">Verspieren, P. (2019). La participation de l’Eglise Catholique au débat bioéthique. </w:t>
      </w:r>
      <w:r w:rsidRPr="001256EA">
        <w:rPr>
          <w:rFonts w:ascii="Times New Roman" w:hAnsi="Times New Roman" w:cs="Times New Roman"/>
          <w:i/>
          <w:iCs/>
          <w:sz w:val="20"/>
          <w:szCs w:val="20"/>
        </w:rPr>
        <w:t>Lebanese Medical Journal</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103</w:t>
      </w:r>
      <w:r w:rsidRPr="001256EA">
        <w:rPr>
          <w:rFonts w:ascii="Times New Roman" w:hAnsi="Times New Roman" w:cs="Times New Roman"/>
          <w:sz w:val="20"/>
          <w:szCs w:val="20"/>
        </w:rPr>
        <w:t>(8215), 1–4.</w:t>
      </w:r>
      <w:r w:rsidR="00C66B34" w:rsidRPr="001256EA">
        <w:rPr>
          <w:rFonts w:ascii="Times New Roman" w:hAnsi="Times New Roman" w:cs="Times New Roman"/>
          <w:sz w:val="20"/>
          <w:szCs w:val="20"/>
        </w:rPr>
        <w:t xml:space="preserve"> </w:t>
      </w:r>
    </w:p>
    <w:p w14:paraId="25E9C860" w14:textId="2DF00BA5"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Voulgaris, E. (2007). Early European attitudes towards" good death". </w:t>
      </w:r>
      <w:r w:rsidRPr="001256EA">
        <w:rPr>
          <w:rFonts w:ascii="Times New Roman" w:hAnsi="Times New Roman" w:cs="Times New Roman"/>
          <w:i/>
          <w:iCs/>
          <w:sz w:val="20"/>
          <w:szCs w:val="20"/>
        </w:rPr>
        <w:t>J Med Ethics</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33</w:t>
      </w:r>
      <w:r w:rsidRPr="001256EA">
        <w:rPr>
          <w:rFonts w:ascii="Times New Roman" w:hAnsi="Times New Roman" w:cs="Times New Roman"/>
          <w:sz w:val="20"/>
          <w:szCs w:val="20"/>
        </w:rPr>
        <w:t xml:space="preserve">, 1–4. </w:t>
      </w:r>
      <w:hyperlink r:id="rId222" w:history="1">
        <w:r w:rsidR="00C66B34" w:rsidRPr="001256EA">
          <w:rPr>
            <w:rStyle w:val="Hyperlink"/>
            <w:rFonts w:ascii="Times New Roman" w:hAnsi="Times New Roman" w:cs="Times New Roman"/>
            <w:sz w:val="20"/>
            <w:szCs w:val="20"/>
          </w:rPr>
          <w:t>https://www.researchgate.net/profile/Ioannis-Dimoliatis/publication/236837368_Early_European_attitudes_towards_good_death_Eugenios_Voulgaris_Treatise_on_euthanasia_St_Petersburg_1804/links/543e97f60cf2e76f0222d129/Early-European-attitudes-towards-good-death-Eugenios-Voulgaris-Treatise-on-euthanasia-St-Petersburg-1804.pdf?_sg%5B0%5D=started_experiment_milestone&amp;origin=journalDetail&amp;_rtd=e30%3D</w:t>
        </w:r>
      </w:hyperlink>
      <w:r w:rsidR="00C66B34" w:rsidRPr="001256EA">
        <w:rPr>
          <w:rFonts w:ascii="Times New Roman" w:hAnsi="Times New Roman" w:cs="Times New Roman"/>
          <w:sz w:val="20"/>
          <w:szCs w:val="20"/>
        </w:rPr>
        <w:t xml:space="preserve"> </w:t>
      </w:r>
    </w:p>
    <w:p w14:paraId="5EB4639F" w14:textId="19C48C76" w:rsidR="00690CEC" w:rsidRPr="001256EA" w:rsidRDefault="00690CEC"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lt-LT"/>
        </w:rPr>
        <w:t>Wacks</w:t>
      </w:r>
      <w:proofErr w:type="spellEnd"/>
      <w:r w:rsidRPr="001256EA">
        <w:rPr>
          <w:rFonts w:ascii="Times New Roman" w:hAnsi="Times New Roman" w:cs="Times New Roman"/>
          <w:sz w:val="20"/>
          <w:szCs w:val="20"/>
          <w:lang w:val="lt-LT"/>
        </w:rPr>
        <w:t>, R. (2021). </w:t>
      </w:r>
      <w:proofErr w:type="spellStart"/>
      <w:r w:rsidRPr="001256EA">
        <w:rPr>
          <w:rFonts w:ascii="Times New Roman" w:hAnsi="Times New Roman" w:cs="Times New Roman"/>
          <w:i/>
          <w:iCs/>
          <w:sz w:val="20"/>
          <w:szCs w:val="20"/>
          <w:lang w:val="lt-LT"/>
        </w:rPr>
        <w:t>Understanding</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jurisprudence</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An</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introduction</w:t>
      </w:r>
      <w:proofErr w:type="spellEnd"/>
      <w:r w:rsidRPr="001256EA">
        <w:rPr>
          <w:rFonts w:ascii="Times New Roman" w:hAnsi="Times New Roman" w:cs="Times New Roman"/>
          <w:i/>
          <w:iCs/>
          <w:sz w:val="20"/>
          <w:szCs w:val="20"/>
          <w:lang w:val="lt-LT"/>
        </w:rPr>
        <w:t xml:space="preserve"> to </w:t>
      </w:r>
      <w:proofErr w:type="spellStart"/>
      <w:r w:rsidRPr="001256EA">
        <w:rPr>
          <w:rFonts w:ascii="Times New Roman" w:hAnsi="Times New Roman" w:cs="Times New Roman"/>
          <w:i/>
          <w:iCs/>
          <w:sz w:val="20"/>
          <w:szCs w:val="20"/>
          <w:lang w:val="lt-LT"/>
        </w:rPr>
        <w:t>legal</w:t>
      </w:r>
      <w:proofErr w:type="spellEnd"/>
      <w:r w:rsidRPr="001256EA">
        <w:rPr>
          <w:rFonts w:ascii="Times New Roman" w:hAnsi="Times New Roman" w:cs="Times New Roman"/>
          <w:i/>
          <w:iCs/>
          <w:sz w:val="20"/>
          <w:szCs w:val="20"/>
          <w:lang w:val="lt-LT"/>
        </w:rPr>
        <w:t xml:space="preserve"> </w:t>
      </w:r>
      <w:proofErr w:type="spellStart"/>
      <w:r w:rsidRPr="001256EA">
        <w:rPr>
          <w:rFonts w:ascii="Times New Roman" w:hAnsi="Times New Roman" w:cs="Times New Roman"/>
          <w:i/>
          <w:iCs/>
          <w:sz w:val="20"/>
          <w:szCs w:val="20"/>
          <w:lang w:val="lt-LT"/>
        </w:rPr>
        <w:t>theory</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Oxford</w:t>
      </w:r>
      <w:proofErr w:type="spellEnd"/>
      <w:r w:rsidRPr="001256EA">
        <w:rPr>
          <w:rFonts w:ascii="Times New Roman" w:hAnsi="Times New Roman" w:cs="Times New Roman"/>
          <w:sz w:val="20"/>
          <w:szCs w:val="20"/>
          <w:lang w:val="lt-LT"/>
        </w:rPr>
        <w:t xml:space="preserve"> University Press. </w:t>
      </w:r>
      <w:r w:rsidRPr="001256EA">
        <w:rPr>
          <w:rFonts w:ascii="Times New Roman" w:hAnsi="Times New Roman" w:cs="Times New Roman"/>
          <w:sz w:val="20"/>
          <w:szCs w:val="20"/>
          <w:lang w:val="en-GB"/>
        </w:rPr>
        <w:t>Retrieved 20.12.2025, From: https://www.researchgate.net/search/publication?q=Josifova%2C+I.+%282025%29.+Ethical%2C+Legal%2C+and+Practical+Aspects+of+Euthanasia+and+Assisted+Suicide.+Iustinianus+Primus+L.+Rev.%2C+16%2C+179.</w:t>
      </w:r>
    </w:p>
    <w:p w14:paraId="14B8DB20" w14:textId="6E57930D"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1256EA">
        <w:rPr>
          <w:rFonts w:ascii="Times New Roman" w:hAnsi="Times New Roman" w:cs="Times New Roman"/>
          <w:sz w:val="20"/>
          <w:szCs w:val="20"/>
        </w:rPr>
        <w:t xml:space="preserve">Willmott, L., White, B., Stackpoole, C., Purser, K., &amp; McGee, A. (2016). (Failed) voluntary euthanasia law reform in Australia: Two decades of trends, models and politics. </w:t>
      </w:r>
      <w:r w:rsidRPr="001256EA">
        <w:rPr>
          <w:rFonts w:ascii="Times New Roman" w:hAnsi="Times New Roman" w:cs="Times New Roman"/>
          <w:i/>
          <w:iCs/>
          <w:sz w:val="20"/>
          <w:szCs w:val="20"/>
          <w:lang w:val="de-DE"/>
        </w:rPr>
        <w:t>UNSWLJ</w:t>
      </w:r>
      <w:r w:rsidRPr="001256EA">
        <w:rPr>
          <w:rFonts w:ascii="Times New Roman" w:hAnsi="Times New Roman" w:cs="Times New Roman"/>
          <w:sz w:val="20"/>
          <w:szCs w:val="20"/>
          <w:lang w:val="de-DE"/>
        </w:rPr>
        <w:t xml:space="preserve">, </w:t>
      </w:r>
      <w:r w:rsidRPr="001256EA">
        <w:rPr>
          <w:rFonts w:ascii="Times New Roman" w:hAnsi="Times New Roman" w:cs="Times New Roman"/>
          <w:i/>
          <w:iCs/>
          <w:sz w:val="20"/>
          <w:szCs w:val="20"/>
          <w:lang w:val="de-DE"/>
        </w:rPr>
        <w:t>39</w:t>
      </w:r>
      <w:r w:rsidRPr="001256EA">
        <w:rPr>
          <w:rFonts w:ascii="Times New Roman" w:hAnsi="Times New Roman" w:cs="Times New Roman"/>
          <w:sz w:val="20"/>
          <w:szCs w:val="20"/>
          <w:lang w:val="de-DE"/>
        </w:rPr>
        <w:t xml:space="preserve">, 1. </w:t>
      </w:r>
      <w:hyperlink r:id="rId223" w:history="1">
        <w:r w:rsidR="00C66B34" w:rsidRPr="001256EA">
          <w:rPr>
            <w:rStyle w:val="Hyperlink"/>
            <w:rFonts w:ascii="Times New Roman" w:hAnsi="Times New Roman" w:cs="Times New Roman"/>
            <w:sz w:val="20"/>
            <w:szCs w:val="20"/>
            <w:lang w:val="de-DE"/>
          </w:rPr>
          <w:t>https://heinonline.org/hol-cgi-bin/get_pdf.cgi?handle=hein.journals/swales39&amp;section=5</w:t>
        </w:r>
      </w:hyperlink>
      <w:r w:rsidR="00C66B34" w:rsidRPr="001256EA">
        <w:rPr>
          <w:rFonts w:ascii="Times New Roman" w:hAnsi="Times New Roman" w:cs="Times New Roman"/>
          <w:sz w:val="20"/>
          <w:szCs w:val="20"/>
          <w:lang w:val="de-DE"/>
        </w:rPr>
        <w:t xml:space="preserve"> </w:t>
      </w:r>
    </w:p>
    <w:p w14:paraId="00718831" w14:textId="7601179E" w:rsidR="00DD7887" w:rsidRPr="001256EA" w:rsidRDefault="00DD7887"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1256EA">
        <w:rPr>
          <w:rFonts w:ascii="Times New Roman" w:hAnsi="Times New Roman" w:cs="Times New Roman"/>
          <w:sz w:val="20"/>
          <w:szCs w:val="20"/>
        </w:rPr>
        <w:t xml:space="preserve">Wels, J., &amp; </w:t>
      </w:r>
      <w:proofErr w:type="spellStart"/>
      <w:r w:rsidRPr="001256EA">
        <w:rPr>
          <w:rFonts w:ascii="Times New Roman" w:hAnsi="Times New Roman" w:cs="Times New Roman"/>
          <w:sz w:val="20"/>
          <w:szCs w:val="20"/>
        </w:rPr>
        <w:t>Hamarat</w:t>
      </w:r>
      <w:proofErr w:type="spellEnd"/>
      <w:r w:rsidRPr="001256EA">
        <w:rPr>
          <w:rFonts w:ascii="Times New Roman" w:hAnsi="Times New Roman" w:cs="Times New Roman"/>
          <w:sz w:val="20"/>
          <w:szCs w:val="20"/>
        </w:rPr>
        <w:t>, N. (2025). Incidence and prevalence of reported euthanasia cases in Belgium, 2002 to 2023. </w:t>
      </w:r>
      <w:r w:rsidRPr="001256EA">
        <w:rPr>
          <w:rFonts w:ascii="Times New Roman" w:hAnsi="Times New Roman" w:cs="Times New Roman"/>
          <w:i/>
          <w:iCs/>
          <w:sz w:val="20"/>
          <w:szCs w:val="20"/>
        </w:rPr>
        <w:t>JAMA network open</w:t>
      </w:r>
      <w:r w:rsidRPr="001256EA">
        <w:rPr>
          <w:rFonts w:ascii="Times New Roman" w:hAnsi="Times New Roman" w:cs="Times New Roman"/>
          <w:sz w:val="20"/>
          <w:szCs w:val="20"/>
        </w:rPr>
        <w:t>, </w:t>
      </w:r>
      <w:r w:rsidRPr="001256EA">
        <w:rPr>
          <w:rFonts w:ascii="Times New Roman" w:hAnsi="Times New Roman" w:cs="Times New Roman"/>
          <w:i/>
          <w:iCs/>
          <w:sz w:val="20"/>
          <w:szCs w:val="20"/>
        </w:rPr>
        <w:t>8</w:t>
      </w:r>
      <w:r w:rsidRPr="001256EA">
        <w:rPr>
          <w:rFonts w:ascii="Times New Roman" w:hAnsi="Times New Roman" w:cs="Times New Roman"/>
          <w:sz w:val="20"/>
          <w:szCs w:val="20"/>
        </w:rPr>
        <w:t>(4), e256841-e256841.</w:t>
      </w:r>
    </w:p>
    <w:p w14:paraId="6818C637" w14:textId="19791E06" w:rsidR="000C3FD5" w:rsidRPr="001256EA" w:rsidRDefault="000C3FD5" w:rsidP="000753F3">
      <w:pPr>
        <w:pStyle w:val="ListParagraph"/>
        <w:numPr>
          <w:ilvl w:val="0"/>
          <w:numId w:val="34"/>
        </w:numPr>
        <w:spacing w:line="276" w:lineRule="auto"/>
        <w:ind w:left="270"/>
        <w:jc w:val="both"/>
        <w:rPr>
          <w:rFonts w:ascii="Times New Roman" w:hAnsi="Times New Roman" w:cs="Times New Roman"/>
          <w:sz w:val="20"/>
          <w:szCs w:val="20"/>
          <w:lang w:val="de-DE"/>
        </w:rPr>
      </w:pPr>
      <w:proofErr w:type="spellStart"/>
      <w:r w:rsidRPr="001256EA">
        <w:rPr>
          <w:rFonts w:ascii="Times New Roman" w:hAnsi="Times New Roman" w:cs="Times New Roman"/>
          <w:sz w:val="20"/>
          <w:szCs w:val="20"/>
          <w:lang w:val="lt-LT"/>
        </w:rPr>
        <w:t>Wels</w:t>
      </w:r>
      <w:proofErr w:type="spellEnd"/>
      <w:r w:rsidRPr="001256EA">
        <w:rPr>
          <w:rFonts w:ascii="Times New Roman" w:hAnsi="Times New Roman" w:cs="Times New Roman"/>
          <w:sz w:val="20"/>
          <w:szCs w:val="20"/>
          <w:lang w:val="lt-LT"/>
        </w:rPr>
        <w:t xml:space="preserve">, J., &amp; </w:t>
      </w:r>
      <w:proofErr w:type="spellStart"/>
      <w:r w:rsidRPr="001256EA">
        <w:rPr>
          <w:rFonts w:ascii="Times New Roman" w:hAnsi="Times New Roman" w:cs="Times New Roman"/>
          <w:sz w:val="20"/>
          <w:szCs w:val="20"/>
          <w:lang w:val="lt-LT"/>
        </w:rPr>
        <w:t>Hamarat</w:t>
      </w:r>
      <w:proofErr w:type="spellEnd"/>
      <w:r w:rsidRPr="001256EA">
        <w:rPr>
          <w:rFonts w:ascii="Times New Roman" w:hAnsi="Times New Roman" w:cs="Times New Roman"/>
          <w:sz w:val="20"/>
          <w:szCs w:val="20"/>
          <w:lang w:val="lt-LT"/>
        </w:rPr>
        <w:t xml:space="preserve">, N. (2024). </w:t>
      </w:r>
      <w:proofErr w:type="spellStart"/>
      <w:r w:rsidRPr="001256EA">
        <w:rPr>
          <w:rFonts w:ascii="Times New Roman" w:hAnsi="Times New Roman" w:cs="Times New Roman"/>
          <w:sz w:val="20"/>
          <w:szCs w:val="20"/>
          <w:lang w:val="lt-LT"/>
        </w:rPr>
        <w:t>Incidence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and</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prevalence</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of</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euthanasia</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in</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Belgium</w:t>
      </w:r>
      <w:proofErr w:type="spellEnd"/>
      <w:r w:rsidRPr="001256EA">
        <w:rPr>
          <w:rFonts w:ascii="Times New Roman" w:hAnsi="Times New Roman" w:cs="Times New Roman"/>
          <w:sz w:val="20"/>
          <w:szCs w:val="20"/>
          <w:lang w:val="lt-LT"/>
        </w:rPr>
        <w:t xml:space="preserve">. A </w:t>
      </w:r>
      <w:proofErr w:type="spellStart"/>
      <w:r w:rsidRPr="001256EA">
        <w:rPr>
          <w:rFonts w:ascii="Times New Roman" w:hAnsi="Times New Roman" w:cs="Times New Roman"/>
          <w:sz w:val="20"/>
          <w:szCs w:val="20"/>
          <w:lang w:val="lt-LT"/>
        </w:rPr>
        <w:t>study</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using</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administrative</w:t>
      </w:r>
      <w:proofErr w:type="spellEnd"/>
      <w:r w:rsidRPr="001256EA">
        <w:rPr>
          <w:rFonts w:ascii="Times New Roman" w:hAnsi="Times New Roman" w:cs="Times New Roman"/>
          <w:sz w:val="20"/>
          <w:szCs w:val="20"/>
          <w:lang w:val="lt-LT"/>
        </w:rPr>
        <w:t xml:space="preserve"> data </w:t>
      </w:r>
      <w:proofErr w:type="spellStart"/>
      <w:r w:rsidRPr="001256EA">
        <w:rPr>
          <w:rFonts w:ascii="Times New Roman" w:hAnsi="Times New Roman" w:cs="Times New Roman"/>
          <w:sz w:val="20"/>
          <w:szCs w:val="20"/>
          <w:lang w:val="lt-LT"/>
        </w:rPr>
        <w:t>on</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all</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cases</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of</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euthanasia</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reported</w:t>
      </w:r>
      <w:proofErr w:type="spellEnd"/>
      <w:r w:rsidRPr="001256EA">
        <w:rPr>
          <w:rFonts w:ascii="Times New Roman" w:hAnsi="Times New Roman" w:cs="Times New Roman"/>
          <w:sz w:val="20"/>
          <w:szCs w:val="20"/>
          <w:lang w:val="lt-LT"/>
        </w:rPr>
        <w:t xml:space="preserve"> </w:t>
      </w:r>
      <w:proofErr w:type="spellStart"/>
      <w:r w:rsidRPr="001256EA">
        <w:rPr>
          <w:rFonts w:ascii="Times New Roman" w:hAnsi="Times New Roman" w:cs="Times New Roman"/>
          <w:sz w:val="20"/>
          <w:szCs w:val="20"/>
          <w:lang w:val="lt-LT"/>
        </w:rPr>
        <w:t>between</w:t>
      </w:r>
      <w:proofErr w:type="spellEnd"/>
      <w:r w:rsidRPr="001256EA">
        <w:rPr>
          <w:rFonts w:ascii="Times New Roman" w:hAnsi="Times New Roman" w:cs="Times New Roman"/>
          <w:sz w:val="20"/>
          <w:szCs w:val="20"/>
          <w:lang w:val="lt-LT"/>
        </w:rPr>
        <w:t xml:space="preserve"> 2002 </w:t>
      </w:r>
      <w:proofErr w:type="spellStart"/>
      <w:r w:rsidRPr="001256EA">
        <w:rPr>
          <w:rFonts w:ascii="Times New Roman" w:hAnsi="Times New Roman" w:cs="Times New Roman"/>
          <w:sz w:val="20"/>
          <w:szCs w:val="20"/>
          <w:lang w:val="lt-LT"/>
        </w:rPr>
        <w:t>and</w:t>
      </w:r>
      <w:proofErr w:type="spellEnd"/>
      <w:r w:rsidRPr="001256EA">
        <w:rPr>
          <w:rFonts w:ascii="Times New Roman" w:hAnsi="Times New Roman" w:cs="Times New Roman"/>
          <w:sz w:val="20"/>
          <w:szCs w:val="20"/>
          <w:lang w:val="lt-LT"/>
        </w:rPr>
        <w:t xml:space="preserve"> 2023. </w:t>
      </w:r>
      <w:proofErr w:type="spellStart"/>
      <w:r w:rsidRPr="001256EA">
        <w:rPr>
          <w:rFonts w:ascii="Times New Roman" w:hAnsi="Times New Roman" w:cs="Times New Roman"/>
          <w:i/>
          <w:iCs/>
          <w:sz w:val="20"/>
          <w:szCs w:val="20"/>
          <w:lang w:val="lt-LT"/>
        </w:rPr>
        <w:t>medRxiv</w:t>
      </w:r>
      <w:proofErr w:type="spellEnd"/>
      <w:r w:rsidRPr="001256EA">
        <w:rPr>
          <w:rFonts w:ascii="Times New Roman" w:hAnsi="Times New Roman" w:cs="Times New Roman"/>
          <w:sz w:val="20"/>
          <w:szCs w:val="20"/>
          <w:lang w:val="lt-LT"/>
        </w:rPr>
        <w:t xml:space="preserve">, 2024-10. </w:t>
      </w:r>
      <w:r>
        <w:fldChar w:fldCharType="begin"/>
      </w:r>
      <w:r>
        <w:instrText>HYPERLINK "https://doi.org/10.1101/2024.10.16.24315619"</w:instrText>
      </w:r>
      <w:r>
        <w:fldChar w:fldCharType="separate"/>
      </w:r>
      <w:r w:rsidRPr="001256EA">
        <w:rPr>
          <w:rStyle w:val="Hyperlink"/>
          <w:rFonts w:ascii="Times New Roman" w:hAnsi="Times New Roman" w:cs="Times New Roman"/>
          <w:sz w:val="20"/>
          <w:szCs w:val="20"/>
          <w:lang w:val="lt-LT"/>
        </w:rPr>
        <w:t>https://doi.org/10.1101/2024.10.16.24315619</w:t>
      </w:r>
      <w:r>
        <w:fldChar w:fldCharType="end"/>
      </w:r>
    </w:p>
    <w:p w14:paraId="072F5FD0" w14:textId="6AFE0865" w:rsidR="00001C8C" w:rsidRPr="001256EA" w:rsidRDefault="00001C8C" w:rsidP="000753F3">
      <w:pPr>
        <w:pStyle w:val="ListParagraph"/>
        <w:numPr>
          <w:ilvl w:val="0"/>
          <w:numId w:val="34"/>
        </w:numPr>
        <w:spacing w:line="276" w:lineRule="auto"/>
        <w:ind w:left="270"/>
        <w:jc w:val="both"/>
        <w:rPr>
          <w:rFonts w:ascii="Times New Roman" w:hAnsi="Times New Roman" w:cs="Times New Roman"/>
          <w:sz w:val="20"/>
          <w:szCs w:val="20"/>
          <w:lang w:val="de-DE"/>
        </w:rPr>
      </w:pPr>
      <w:r w:rsidRPr="001256EA">
        <w:rPr>
          <w:rFonts w:ascii="Times New Roman" w:hAnsi="Times New Roman" w:cs="Times New Roman"/>
          <w:sz w:val="20"/>
          <w:szCs w:val="20"/>
        </w:rPr>
        <w:t xml:space="preserve">Weyers, H. (2024). Work to be done: an inquiry concerning legal certainty in the fourth evaluation of the Dutch euthanasia act. </w:t>
      </w:r>
      <w:proofErr w:type="spellStart"/>
      <w:r w:rsidRPr="001256EA">
        <w:rPr>
          <w:rFonts w:ascii="Times New Roman" w:hAnsi="Times New Roman" w:cs="Times New Roman"/>
          <w:sz w:val="20"/>
          <w:szCs w:val="20"/>
          <w:lang w:val="de-DE"/>
        </w:rPr>
        <w:t>Filosofie</w:t>
      </w:r>
      <w:proofErr w:type="spellEnd"/>
      <w:r w:rsidRPr="001256EA">
        <w:rPr>
          <w:rFonts w:ascii="Times New Roman" w:hAnsi="Times New Roman" w:cs="Times New Roman"/>
          <w:sz w:val="20"/>
          <w:szCs w:val="20"/>
          <w:lang w:val="de-DE"/>
        </w:rPr>
        <w:t xml:space="preserve"> &amp; </w:t>
      </w:r>
      <w:proofErr w:type="spellStart"/>
      <w:r w:rsidRPr="001256EA">
        <w:rPr>
          <w:rFonts w:ascii="Times New Roman" w:hAnsi="Times New Roman" w:cs="Times New Roman"/>
          <w:sz w:val="20"/>
          <w:szCs w:val="20"/>
          <w:lang w:val="de-DE"/>
        </w:rPr>
        <w:t>Praktijk</w:t>
      </w:r>
      <w:proofErr w:type="spellEnd"/>
      <w:r w:rsidRPr="001256EA">
        <w:rPr>
          <w:rFonts w:ascii="Times New Roman" w:hAnsi="Times New Roman" w:cs="Times New Roman"/>
          <w:sz w:val="20"/>
          <w:szCs w:val="20"/>
          <w:lang w:val="de-DE"/>
        </w:rPr>
        <w:t>, 45(1), 60-77. https://doi.org/10.5117/FEP2024.1.008.WEYE</w:t>
      </w:r>
    </w:p>
    <w:p w14:paraId="12BB22B6" w14:textId="18865A17"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Woods, M., &amp; Rook, H. (2022). Exploring hospice Nurses’ viewpoints on end-of-life practices and assisted dying: A thematic analysis. </w:t>
      </w:r>
      <w:r w:rsidRPr="001256EA">
        <w:rPr>
          <w:rFonts w:ascii="Times New Roman" w:hAnsi="Times New Roman" w:cs="Times New Roman"/>
          <w:i/>
          <w:iCs/>
          <w:sz w:val="20"/>
          <w:szCs w:val="20"/>
        </w:rPr>
        <w:t>Journal of Hospice &amp; Palliative Nursing</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24</w:t>
      </w:r>
      <w:r w:rsidRPr="001256EA">
        <w:rPr>
          <w:rFonts w:ascii="Times New Roman" w:hAnsi="Times New Roman" w:cs="Times New Roman"/>
          <w:sz w:val="20"/>
          <w:szCs w:val="20"/>
        </w:rPr>
        <w:t xml:space="preserve">(4), E117–E125. </w:t>
      </w:r>
      <w:hyperlink r:id="rId224" w:history="1">
        <w:r w:rsidR="00C66B34" w:rsidRPr="001256EA">
          <w:rPr>
            <w:rStyle w:val="Hyperlink"/>
            <w:rFonts w:ascii="Times New Roman" w:hAnsi="Times New Roman" w:cs="Times New Roman"/>
            <w:sz w:val="20"/>
            <w:szCs w:val="20"/>
          </w:rPr>
          <w:t>https://journals.lww.com/jhpn/fulltext/2022/08000/Exploring_Hospice_Nurses__Viewpoints_on.8.aspx</w:t>
        </w:r>
      </w:hyperlink>
      <w:r w:rsidR="00C66B34" w:rsidRPr="001256EA">
        <w:rPr>
          <w:rFonts w:ascii="Times New Roman" w:hAnsi="Times New Roman" w:cs="Times New Roman"/>
          <w:sz w:val="20"/>
          <w:szCs w:val="20"/>
        </w:rPr>
        <w:t xml:space="preserve"> </w:t>
      </w:r>
    </w:p>
    <w:p w14:paraId="0CBEA267" w14:textId="005A001C"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proofErr w:type="spellStart"/>
      <w:r w:rsidRPr="001256EA">
        <w:rPr>
          <w:rFonts w:ascii="Times New Roman" w:hAnsi="Times New Roman" w:cs="Times New Roman"/>
          <w:sz w:val="20"/>
          <w:szCs w:val="20"/>
        </w:rPr>
        <w:t>Wreen</w:t>
      </w:r>
      <w:proofErr w:type="spellEnd"/>
      <w:r w:rsidRPr="001256EA">
        <w:rPr>
          <w:rFonts w:ascii="Times New Roman" w:hAnsi="Times New Roman" w:cs="Times New Roman"/>
          <w:sz w:val="20"/>
          <w:szCs w:val="20"/>
        </w:rPr>
        <w:t xml:space="preserve">, M. (1988). The definition of euthanasia. </w:t>
      </w:r>
      <w:r w:rsidRPr="001256EA">
        <w:rPr>
          <w:rFonts w:ascii="Times New Roman" w:hAnsi="Times New Roman" w:cs="Times New Roman"/>
          <w:i/>
          <w:iCs/>
          <w:sz w:val="20"/>
          <w:szCs w:val="20"/>
        </w:rPr>
        <w:t>Philosophy and Phenomenological Research</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48</w:t>
      </w:r>
      <w:r w:rsidRPr="001256EA">
        <w:rPr>
          <w:rFonts w:ascii="Times New Roman" w:hAnsi="Times New Roman" w:cs="Times New Roman"/>
          <w:sz w:val="20"/>
          <w:szCs w:val="20"/>
        </w:rPr>
        <w:t xml:space="preserve">(4), 637–653. </w:t>
      </w:r>
      <w:hyperlink r:id="rId225" w:history="1">
        <w:r w:rsidR="00C66B34" w:rsidRPr="001256EA">
          <w:rPr>
            <w:rStyle w:val="Hyperlink"/>
            <w:rFonts w:ascii="Times New Roman" w:hAnsi="Times New Roman" w:cs="Times New Roman"/>
            <w:sz w:val="20"/>
            <w:szCs w:val="20"/>
          </w:rPr>
          <w:t>https://www.jstor.org/stable/2108012</w:t>
        </w:r>
      </w:hyperlink>
      <w:r w:rsidR="00C66B34" w:rsidRPr="001256EA">
        <w:rPr>
          <w:rFonts w:ascii="Times New Roman" w:hAnsi="Times New Roman" w:cs="Times New Roman"/>
          <w:sz w:val="20"/>
          <w:szCs w:val="20"/>
        </w:rPr>
        <w:t xml:space="preserve"> </w:t>
      </w:r>
    </w:p>
    <w:p w14:paraId="4E8CBC4C" w14:textId="7F6575E9" w:rsidR="00342C72" w:rsidRPr="001256EA" w:rsidRDefault="00342C72" w:rsidP="000753F3">
      <w:pPr>
        <w:pStyle w:val="ListParagraph"/>
        <w:numPr>
          <w:ilvl w:val="0"/>
          <w:numId w:val="34"/>
        </w:numPr>
        <w:spacing w:line="276" w:lineRule="auto"/>
        <w:ind w:left="270"/>
        <w:jc w:val="both"/>
        <w:rPr>
          <w:rFonts w:ascii="Times New Roman" w:hAnsi="Times New Roman" w:cs="Times New Roman"/>
          <w:sz w:val="20"/>
          <w:szCs w:val="20"/>
        </w:rPr>
      </w:pPr>
      <w:r w:rsidRPr="001256EA">
        <w:rPr>
          <w:rFonts w:ascii="Times New Roman" w:hAnsi="Times New Roman" w:cs="Times New Roman"/>
          <w:sz w:val="20"/>
          <w:szCs w:val="20"/>
        </w:rPr>
        <w:t xml:space="preserve">Zannoni, D. (2020). Right or duty to live? Euthanasia and assisted suicide from the perspective of the European Convention on Human Rights. </w:t>
      </w:r>
      <w:r w:rsidRPr="001256EA">
        <w:rPr>
          <w:rFonts w:ascii="Times New Roman" w:hAnsi="Times New Roman" w:cs="Times New Roman"/>
          <w:i/>
          <w:iCs/>
          <w:sz w:val="20"/>
          <w:szCs w:val="20"/>
        </w:rPr>
        <w:t>Eur. J. Legal Stud.</w:t>
      </w:r>
      <w:r w:rsidRPr="001256EA">
        <w:rPr>
          <w:rFonts w:ascii="Times New Roman" w:hAnsi="Times New Roman" w:cs="Times New Roman"/>
          <w:sz w:val="20"/>
          <w:szCs w:val="20"/>
        </w:rPr>
        <w:t xml:space="preserve">, </w:t>
      </w:r>
      <w:r w:rsidRPr="001256EA">
        <w:rPr>
          <w:rFonts w:ascii="Times New Roman" w:hAnsi="Times New Roman" w:cs="Times New Roman"/>
          <w:i/>
          <w:iCs/>
          <w:sz w:val="20"/>
          <w:szCs w:val="20"/>
        </w:rPr>
        <w:t>12</w:t>
      </w:r>
      <w:r w:rsidRPr="001256EA">
        <w:rPr>
          <w:rFonts w:ascii="Times New Roman" w:hAnsi="Times New Roman" w:cs="Times New Roman"/>
          <w:sz w:val="20"/>
          <w:szCs w:val="20"/>
        </w:rPr>
        <w:t xml:space="preserve">, 181. </w:t>
      </w:r>
      <w:hyperlink r:id="rId226" w:history="1">
        <w:r w:rsidR="00C66B34" w:rsidRPr="001256EA">
          <w:rPr>
            <w:rStyle w:val="Hyperlink"/>
            <w:rFonts w:ascii="Times New Roman" w:hAnsi="Times New Roman" w:cs="Times New Roman"/>
            <w:sz w:val="20"/>
            <w:szCs w:val="20"/>
          </w:rPr>
          <w:t>https://heinonline.org/hol-cgi-bin/get_pdf.cgi?handle=hein.journals/ejls12&amp;section=22</w:t>
        </w:r>
      </w:hyperlink>
      <w:r w:rsidR="00C66B34" w:rsidRPr="001256EA">
        <w:rPr>
          <w:rFonts w:ascii="Times New Roman" w:hAnsi="Times New Roman" w:cs="Times New Roman"/>
          <w:sz w:val="20"/>
          <w:szCs w:val="20"/>
        </w:rPr>
        <w:t xml:space="preserve"> </w:t>
      </w:r>
    </w:p>
    <w:p w14:paraId="2B90571C" w14:textId="1D443152" w:rsidR="00F32265" w:rsidRPr="001256EA" w:rsidRDefault="00F32265" w:rsidP="001C255C">
      <w:pPr>
        <w:spacing w:line="240" w:lineRule="auto"/>
        <w:jc w:val="both"/>
        <w:rPr>
          <w:rFonts w:ascii="Times New Roman" w:hAnsi="Times New Roman" w:cs="Times New Roman"/>
          <w:b/>
          <w:bCs/>
          <w:sz w:val="28"/>
          <w:szCs w:val="28"/>
        </w:rPr>
      </w:pPr>
      <w:r w:rsidRPr="001256EA">
        <w:rPr>
          <w:rFonts w:ascii="Times New Roman" w:hAnsi="Times New Roman" w:cs="Times New Roman"/>
          <w:b/>
          <w:bCs/>
          <w:sz w:val="28"/>
          <w:szCs w:val="28"/>
        </w:rPr>
        <w:t>Case law</w:t>
      </w:r>
    </w:p>
    <w:p w14:paraId="4EB410E8" w14:textId="7547CD12" w:rsidR="00F32265" w:rsidRPr="001256EA" w:rsidRDefault="00F32265" w:rsidP="008E7E07">
      <w:pPr>
        <w:spacing w:line="240" w:lineRule="auto"/>
        <w:jc w:val="center"/>
        <w:rPr>
          <w:rFonts w:ascii="Times New Roman" w:hAnsi="Times New Roman" w:cs="Times New Roman"/>
          <w:b/>
          <w:bCs/>
          <w:sz w:val="24"/>
          <w:szCs w:val="24"/>
        </w:rPr>
      </w:pPr>
      <w:r w:rsidRPr="001256EA">
        <w:rPr>
          <w:rFonts w:ascii="Times New Roman" w:hAnsi="Times New Roman" w:cs="Times New Roman"/>
          <w:b/>
          <w:bCs/>
          <w:sz w:val="24"/>
          <w:szCs w:val="24"/>
        </w:rPr>
        <w:t>European Court of Human Rights</w:t>
      </w:r>
    </w:p>
    <w:p w14:paraId="3D7DD701" w14:textId="77777777" w:rsidR="001C255C" w:rsidRPr="001256EA" w:rsidRDefault="009144D1"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Dániel Karsai v. Hungary, App. No. 32312/23, Eur. Ct. H.R. (Mar. 21, 2024). Retrieved 08.22.2025, From: </w:t>
      </w:r>
      <w:hyperlink r:id="rId227" w:anchor="%7B%22itemid%22:%5B%22001-234151%22%5D%7D" w:tgtFrame="_new" w:history="1">
        <w:r w:rsidRPr="001256EA">
          <w:rPr>
            <w:rStyle w:val="Hyperlink"/>
            <w:rFonts w:ascii="Times New Roman" w:hAnsi="Times New Roman" w:cs="Times New Roman"/>
            <w:sz w:val="20"/>
            <w:szCs w:val="20"/>
          </w:rPr>
          <w:t>https://hudoc.echr.coe.int/eng#{%22itemid%22:[%22001-234151%22]}</w:t>
        </w:r>
      </w:hyperlink>
    </w:p>
    <w:p w14:paraId="258C3C7A" w14:textId="77777777" w:rsidR="001C255C" w:rsidRPr="001256EA" w:rsidRDefault="009144D1"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Haas v. Switzerland, App. No. 31322/07, Eur. Ct. H.R. (Jan. 20, 2011). Retrieved 08.22.2025, From: </w:t>
      </w:r>
      <w:hyperlink r:id="rId228" w:anchor="%7B%22itemid%22:%5B%22001-102940%22%5D%7D" w:tgtFrame="_new" w:history="1">
        <w:r w:rsidRPr="001256EA">
          <w:rPr>
            <w:rStyle w:val="Hyperlink"/>
            <w:rFonts w:ascii="Times New Roman" w:hAnsi="Times New Roman" w:cs="Times New Roman"/>
            <w:sz w:val="20"/>
            <w:szCs w:val="20"/>
          </w:rPr>
          <w:t>https://hudoc.echr.coe.int/fre#{%22itemid%22:[%22001-102940%22]}</w:t>
        </w:r>
      </w:hyperlink>
    </w:p>
    <w:p w14:paraId="57AD5BCD" w14:textId="77777777" w:rsidR="001C255C" w:rsidRPr="00527722" w:rsidRDefault="009144D1"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Koch v. Germany, App. No. 497/09, Eur. Ct. H.R. (Dec.) (May 31, 2011)., 497/09 (ECtHR May 31, 2011). Retrieved 08.22.2025, From: </w:t>
      </w:r>
      <w:hyperlink r:id="rId229" w:anchor="%7B%22itemid%22:%5B%22001-105112%22%5D%7D" w:tgtFrame="_new" w:history="1">
        <w:r w:rsidRPr="001256EA">
          <w:rPr>
            <w:rStyle w:val="Hyperlink"/>
            <w:rFonts w:ascii="Times New Roman" w:hAnsi="Times New Roman" w:cs="Times New Roman"/>
            <w:sz w:val="20"/>
            <w:szCs w:val="20"/>
          </w:rPr>
          <w:t>https://hudoc.echr.coe.int/eng#{%22itemid%22:[%22001-105112%22]}</w:t>
        </w:r>
      </w:hyperlink>
    </w:p>
    <w:p w14:paraId="010E37CA" w14:textId="413EF2FF" w:rsidR="00527722" w:rsidRPr="00E74922" w:rsidRDefault="00527722" w:rsidP="001C255C">
      <w:pPr>
        <w:pStyle w:val="ListParagraph"/>
        <w:numPr>
          <w:ilvl w:val="0"/>
          <w:numId w:val="34"/>
        </w:numPr>
        <w:spacing w:line="240" w:lineRule="auto"/>
        <w:ind w:left="360"/>
        <w:jc w:val="both"/>
        <w:rPr>
          <w:rFonts w:ascii="Times New Roman" w:hAnsi="Times New Roman" w:cs="Times New Roman"/>
          <w:sz w:val="18"/>
          <w:szCs w:val="18"/>
        </w:rPr>
      </w:pPr>
      <w:r w:rsidRPr="00E74922">
        <w:rPr>
          <w:rFonts w:ascii="Times New Roman" w:hAnsi="Times New Roman" w:cs="Times New Roman"/>
          <w:sz w:val="20"/>
          <w:szCs w:val="20"/>
          <w:lang w:val="en-GB"/>
        </w:rPr>
        <w:t xml:space="preserve">Lambert and Others v France App. (2015). ECtHR, case No 46043/14 [GC].  </w:t>
      </w:r>
      <w:r w:rsidRPr="00E74922">
        <w:rPr>
          <w:rFonts w:ascii="Times New Roman" w:hAnsi="Times New Roman" w:cs="Times New Roman"/>
          <w:sz w:val="20"/>
          <w:szCs w:val="20"/>
        </w:rPr>
        <w:t xml:space="preserve">Retrieved 03/25/2026, From: </w:t>
      </w:r>
      <w:hyperlink r:id="rId230" w:anchor="{%22itemid%22:[%22001-155352%22]}" w:history="1">
        <w:r w:rsidR="00095984" w:rsidRPr="00E74922">
          <w:rPr>
            <w:rStyle w:val="Hyperlink"/>
            <w:rFonts w:ascii="Times New Roman" w:hAnsi="Times New Roman" w:cs="Times New Roman"/>
            <w:sz w:val="20"/>
            <w:szCs w:val="20"/>
          </w:rPr>
          <w:t>https://hudoc.echr.coe.int/eng#{%22itemid%22:[%22001-155352%22]}</w:t>
        </w:r>
      </w:hyperlink>
    </w:p>
    <w:p w14:paraId="1CA0C29A" w14:textId="4613C881" w:rsidR="00095984" w:rsidRPr="00E74922" w:rsidRDefault="00095984" w:rsidP="001C255C">
      <w:pPr>
        <w:pStyle w:val="ListParagraph"/>
        <w:numPr>
          <w:ilvl w:val="0"/>
          <w:numId w:val="34"/>
        </w:numPr>
        <w:spacing w:line="240" w:lineRule="auto"/>
        <w:ind w:left="360"/>
        <w:jc w:val="both"/>
        <w:rPr>
          <w:rFonts w:ascii="Times New Roman" w:hAnsi="Times New Roman" w:cs="Times New Roman"/>
          <w:sz w:val="18"/>
          <w:szCs w:val="18"/>
        </w:rPr>
      </w:pPr>
      <w:r w:rsidRPr="00E74922">
        <w:rPr>
          <w:rFonts w:ascii="Times New Roman" w:hAnsi="Times New Roman" w:cs="Times New Roman"/>
          <w:i/>
          <w:iCs/>
          <w:sz w:val="20"/>
          <w:szCs w:val="20"/>
        </w:rPr>
        <w:t>McCann and Others v the United Kingdom App no 18984/91 (ECtHR, 27 September 1995).</w:t>
      </w:r>
      <w:r w:rsidRPr="00E74922">
        <w:rPr>
          <w:rFonts w:ascii="Times New Roman" w:hAnsi="Times New Roman" w:cs="Times New Roman"/>
          <w:sz w:val="20"/>
          <w:szCs w:val="20"/>
          <w:lang w:val="en-GB"/>
        </w:rPr>
        <w:t xml:space="preserve"> </w:t>
      </w:r>
      <w:r w:rsidRPr="00E74922">
        <w:rPr>
          <w:rFonts w:ascii="Times New Roman" w:hAnsi="Times New Roman" w:cs="Times New Roman"/>
          <w:sz w:val="20"/>
          <w:szCs w:val="20"/>
        </w:rPr>
        <w:t xml:space="preserve">Retrieved 03.19.2026, From: </w:t>
      </w:r>
      <w:r w:rsidRPr="00E74922">
        <w:rPr>
          <w:rFonts w:ascii="Times New Roman" w:hAnsi="Times New Roman" w:cs="Times New Roman"/>
          <w:i/>
          <w:iCs/>
          <w:sz w:val="20"/>
          <w:szCs w:val="20"/>
        </w:rPr>
        <w:t>https://hudoc.echr.coe.int/eng#{%22itemid%</w:t>
      </w:r>
      <w:proofErr w:type="gramStart"/>
      <w:r w:rsidRPr="00E74922">
        <w:rPr>
          <w:rFonts w:ascii="Times New Roman" w:hAnsi="Times New Roman" w:cs="Times New Roman"/>
          <w:i/>
          <w:iCs/>
          <w:sz w:val="20"/>
          <w:szCs w:val="20"/>
        </w:rPr>
        <w:t>22:[</w:t>
      </w:r>
      <w:proofErr w:type="gramEnd"/>
      <w:r w:rsidRPr="00E74922">
        <w:rPr>
          <w:rFonts w:ascii="Times New Roman" w:hAnsi="Times New Roman" w:cs="Times New Roman"/>
          <w:i/>
          <w:iCs/>
          <w:sz w:val="20"/>
          <w:szCs w:val="20"/>
        </w:rPr>
        <w:t>%22001-57943%22]}</w:t>
      </w:r>
    </w:p>
    <w:p w14:paraId="256F0799" w14:textId="5757A04C" w:rsidR="009144D1" w:rsidRPr="001256EA" w:rsidRDefault="009144D1"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Pretty v. the United Kingdom, App. No. 2346/02, Eur. Ct. H.R. (Apr. 29, 2002). Retrieved 08.22.2025, From: </w:t>
      </w:r>
      <w:hyperlink r:id="rId231" w:anchor="%7B%22itemid%22:%5B%22002-5380%22%5D%7D" w:tgtFrame="_new" w:history="1">
        <w:r w:rsidRPr="001256EA">
          <w:rPr>
            <w:rStyle w:val="Hyperlink"/>
            <w:rFonts w:ascii="Times New Roman" w:hAnsi="Times New Roman" w:cs="Times New Roman"/>
            <w:sz w:val="20"/>
            <w:szCs w:val="20"/>
          </w:rPr>
          <w:t>https://hudoc.echr.coe.int/eng#{%22itemid%22:[%22002-5380%22]}</w:t>
        </w:r>
      </w:hyperlink>
    </w:p>
    <w:p w14:paraId="2DD204EC" w14:textId="429FFF41" w:rsidR="00F32265" w:rsidRPr="001256EA" w:rsidRDefault="00F32265" w:rsidP="008E7E07">
      <w:pPr>
        <w:spacing w:line="240" w:lineRule="auto"/>
        <w:jc w:val="center"/>
        <w:rPr>
          <w:rFonts w:ascii="Times New Roman" w:hAnsi="Times New Roman" w:cs="Times New Roman"/>
          <w:b/>
          <w:bCs/>
          <w:sz w:val="24"/>
          <w:szCs w:val="24"/>
        </w:rPr>
      </w:pPr>
      <w:r w:rsidRPr="001256EA">
        <w:rPr>
          <w:rFonts w:ascii="Times New Roman" w:hAnsi="Times New Roman" w:cs="Times New Roman"/>
          <w:b/>
          <w:bCs/>
          <w:sz w:val="24"/>
          <w:szCs w:val="24"/>
        </w:rPr>
        <w:lastRenderedPageBreak/>
        <w:t>Legislative enactments</w:t>
      </w:r>
    </w:p>
    <w:p w14:paraId="17CF8142" w14:textId="432C6CB5" w:rsidR="006D2836" w:rsidRPr="001256EA" w:rsidRDefault="006D2836" w:rsidP="001C255C">
      <w:pPr>
        <w:pStyle w:val="ListParagraph"/>
        <w:numPr>
          <w:ilvl w:val="0"/>
          <w:numId w:val="34"/>
        </w:numPr>
        <w:spacing w:line="240" w:lineRule="auto"/>
        <w:ind w:left="360"/>
        <w:jc w:val="both"/>
        <w:rPr>
          <w:rFonts w:ascii="Times New Roman" w:hAnsi="Times New Roman" w:cs="Times New Roman"/>
          <w:sz w:val="20"/>
          <w:szCs w:val="20"/>
        </w:rPr>
      </w:pPr>
      <w:proofErr w:type="spellStart"/>
      <w:r w:rsidRPr="001256EA">
        <w:rPr>
          <w:rFonts w:ascii="Times New Roman" w:hAnsi="Times New Roman" w:cs="Times New Roman"/>
          <w:sz w:val="20"/>
          <w:szCs w:val="20"/>
          <w:lang w:val="fr-FR"/>
        </w:rPr>
        <w:t>Belgio</w:t>
      </w:r>
      <w:proofErr w:type="spellEnd"/>
      <w:r w:rsidRPr="001256EA">
        <w:rPr>
          <w:rFonts w:ascii="Times New Roman" w:hAnsi="Times New Roman" w:cs="Times New Roman"/>
          <w:sz w:val="20"/>
          <w:szCs w:val="20"/>
          <w:lang w:val="fr-FR"/>
        </w:rPr>
        <w:t>–Cour Constitutionnelle—Sent. 153/</w:t>
      </w:r>
      <w:proofErr w:type="gramStart"/>
      <w:r w:rsidRPr="001256EA">
        <w:rPr>
          <w:rFonts w:ascii="Times New Roman" w:hAnsi="Times New Roman" w:cs="Times New Roman"/>
          <w:sz w:val="20"/>
          <w:szCs w:val="20"/>
          <w:lang w:val="fr-FR"/>
        </w:rPr>
        <w:t>2015:</w:t>
      </w:r>
      <w:proofErr w:type="gram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Decisione</w:t>
      </w:r>
      <w:proofErr w:type="spellEnd"/>
      <w:r w:rsidRPr="001256EA">
        <w:rPr>
          <w:rFonts w:ascii="Times New Roman" w:hAnsi="Times New Roman" w:cs="Times New Roman"/>
          <w:sz w:val="20"/>
          <w:szCs w:val="20"/>
          <w:lang w:val="fr-FR"/>
        </w:rPr>
        <w:t xml:space="preserve"> Della Corte </w:t>
      </w:r>
      <w:proofErr w:type="spellStart"/>
      <w:r w:rsidRPr="001256EA">
        <w:rPr>
          <w:rFonts w:ascii="Times New Roman" w:hAnsi="Times New Roman" w:cs="Times New Roman"/>
          <w:sz w:val="20"/>
          <w:szCs w:val="20"/>
          <w:lang w:val="fr-FR"/>
        </w:rPr>
        <w:t>Costituzionale</w:t>
      </w:r>
      <w:proofErr w:type="spellEnd"/>
      <w:r w:rsidRPr="001256EA">
        <w:rPr>
          <w:rFonts w:ascii="Times New Roman" w:hAnsi="Times New Roman" w:cs="Times New Roman"/>
          <w:sz w:val="20"/>
          <w:szCs w:val="20"/>
          <w:lang w:val="fr-FR"/>
        </w:rPr>
        <w:t xml:space="preserve"> Sulla Legge </w:t>
      </w:r>
      <w:proofErr w:type="spellStart"/>
      <w:r w:rsidRPr="001256EA">
        <w:rPr>
          <w:rFonts w:ascii="Times New Roman" w:hAnsi="Times New Roman" w:cs="Times New Roman"/>
          <w:sz w:val="20"/>
          <w:szCs w:val="20"/>
          <w:lang w:val="fr-FR"/>
        </w:rPr>
        <w:t>che</w:t>
      </w:r>
      <w:proofErr w:type="spell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Estende</w:t>
      </w:r>
      <w:proofErr w:type="spellEnd"/>
      <w:r w:rsidRPr="001256EA">
        <w:rPr>
          <w:rFonts w:ascii="Times New Roman" w:hAnsi="Times New Roman" w:cs="Times New Roman"/>
          <w:sz w:val="20"/>
          <w:szCs w:val="20"/>
          <w:lang w:val="fr-FR"/>
        </w:rPr>
        <w:t xml:space="preserve"> L’</w:t>
      </w:r>
      <w:proofErr w:type="spellStart"/>
      <w:r w:rsidRPr="001256EA">
        <w:rPr>
          <w:rFonts w:ascii="Times New Roman" w:hAnsi="Times New Roman" w:cs="Times New Roman"/>
          <w:sz w:val="20"/>
          <w:szCs w:val="20"/>
          <w:lang w:val="fr-FR"/>
        </w:rPr>
        <w:t>eutanasia</w:t>
      </w:r>
      <w:proofErr w:type="spellEnd"/>
      <w:r w:rsidRPr="001256EA">
        <w:rPr>
          <w:rFonts w:ascii="Times New Roman" w:hAnsi="Times New Roman" w:cs="Times New Roman"/>
          <w:sz w:val="20"/>
          <w:szCs w:val="20"/>
          <w:lang w:val="fr-FR"/>
        </w:rPr>
        <w:t xml:space="preserve"> ai Minori. </w:t>
      </w:r>
      <w:r w:rsidRPr="001256EA">
        <w:rPr>
          <w:rFonts w:ascii="Times New Roman" w:hAnsi="Times New Roman" w:cs="Times New Roman"/>
          <w:sz w:val="20"/>
          <w:szCs w:val="20"/>
          <w:lang w:val="en-GB"/>
        </w:rPr>
        <w:t xml:space="preserve">Retrieved 08.22.2025, From: </w:t>
      </w:r>
      <w:hyperlink r:id="rId232" w:history="1">
        <w:r w:rsidRPr="001256EA">
          <w:rPr>
            <w:rStyle w:val="Hyperlink"/>
            <w:rFonts w:ascii="Times New Roman" w:hAnsi="Times New Roman" w:cs="Times New Roman"/>
            <w:sz w:val="20"/>
            <w:szCs w:val="20"/>
            <w:lang w:val="en-GB"/>
          </w:rPr>
          <w:t>https://www.biodiritto.org/Biolaw-pedia/Giurisprudenza/Belgio-Cour-constitutionnelle-sent.-153-2015-decisione-della-Corte-costituzionale-sulla-legge-che-estende-l-eutanasia-ai-minori</w:t>
        </w:r>
      </w:hyperlink>
    </w:p>
    <w:p w14:paraId="2FFAEA9B" w14:textId="4DBD5063" w:rsidR="00EF7B45" w:rsidRPr="001256EA" w:rsidRDefault="00EF7B45"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bCs/>
          <w:sz w:val="20"/>
          <w:szCs w:val="20"/>
        </w:rPr>
        <w:t xml:space="preserve">Carter v. Canada (February 6, 2015). Retrieved 07.23/2025, From: </w:t>
      </w:r>
      <w:hyperlink r:id="rId233" w:tgtFrame="_new" w:history="1">
        <w:r w:rsidRPr="001256EA">
          <w:rPr>
            <w:rStyle w:val="Hyperlink"/>
            <w:rFonts w:ascii="Times New Roman" w:hAnsi="Times New Roman" w:cs="Times New Roman"/>
            <w:bCs/>
            <w:sz w:val="20"/>
            <w:szCs w:val="20"/>
          </w:rPr>
          <w:t>https://decisions.scc-csc.ca/scc-csc/scc-csc/en/item/14637/index.do</w:t>
        </w:r>
      </w:hyperlink>
    </w:p>
    <w:p w14:paraId="5CFC50D0" w14:textId="179F3C58" w:rsidR="00EF7B45" w:rsidRPr="001256EA" w:rsidRDefault="00EF7B45"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Constitutional Court case</w:t>
      </w:r>
      <w:r w:rsidR="006A1F2F">
        <w:rPr>
          <w:rFonts w:ascii="Times New Roman" w:hAnsi="Times New Roman" w:cs="Times New Roman"/>
          <w:sz w:val="20"/>
          <w:szCs w:val="20"/>
        </w:rPr>
        <w:t xml:space="preserve"> of </w:t>
      </w:r>
      <w:r w:rsidR="006A1F2F" w:rsidRPr="00E74922">
        <w:rPr>
          <w:rFonts w:ascii="Times New Roman" w:hAnsi="Times New Roman" w:cs="Times New Roman"/>
          <w:sz w:val="20"/>
          <w:szCs w:val="20"/>
        </w:rPr>
        <w:t>Columbia</w:t>
      </w:r>
      <w:r w:rsidRPr="001256EA">
        <w:rPr>
          <w:rFonts w:ascii="Times New Roman" w:hAnsi="Times New Roman" w:cs="Times New Roman"/>
          <w:sz w:val="20"/>
          <w:szCs w:val="20"/>
        </w:rPr>
        <w:t xml:space="preserve"> (2014) No. T-4.067.849. Retrieved 08.22.2025, From:  </w:t>
      </w:r>
      <w:hyperlink r:id="rId234" w:history="1">
        <w:r w:rsidRPr="001256EA">
          <w:rPr>
            <w:rStyle w:val="Hyperlink"/>
            <w:rFonts w:ascii="Times New Roman" w:hAnsi="Times New Roman" w:cs="Times New Roman"/>
            <w:sz w:val="20"/>
            <w:szCs w:val="20"/>
          </w:rPr>
          <w:t>https://www.minsalud.gov.co/sites/rid/Lists/BibliotecaDigital/RIDE/INEC/IGUB/Sentencia-T-970-14.pdf</w:t>
        </w:r>
      </w:hyperlink>
    </w:p>
    <w:p w14:paraId="045986AF" w14:textId="3B1FFDDE" w:rsidR="00EF7B45" w:rsidRPr="00095984" w:rsidRDefault="00EF7B45"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lang w:val="es-ES"/>
        </w:rPr>
        <w:t xml:space="preserve">Corte </w:t>
      </w:r>
      <w:proofErr w:type="spellStart"/>
      <w:r w:rsidRPr="001256EA">
        <w:rPr>
          <w:rFonts w:ascii="Times New Roman" w:hAnsi="Times New Roman" w:cs="Times New Roman"/>
          <w:sz w:val="20"/>
          <w:szCs w:val="20"/>
          <w:lang w:val="es-ES"/>
        </w:rPr>
        <w:t>Costituzionale</w:t>
      </w:r>
      <w:proofErr w:type="spellEnd"/>
      <w:r w:rsidRPr="001256EA">
        <w:rPr>
          <w:rFonts w:ascii="Times New Roman" w:hAnsi="Times New Roman" w:cs="Times New Roman"/>
          <w:sz w:val="20"/>
          <w:szCs w:val="20"/>
          <w:lang w:val="es-ES"/>
        </w:rPr>
        <w:t xml:space="preserve">. (2019, 22 de noviembre). </w:t>
      </w:r>
      <w:proofErr w:type="spellStart"/>
      <w:r w:rsidRPr="001256EA">
        <w:rPr>
          <w:rFonts w:ascii="Times New Roman" w:hAnsi="Times New Roman" w:cs="Times New Roman"/>
          <w:sz w:val="20"/>
          <w:szCs w:val="20"/>
          <w:lang w:val="es-ES"/>
        </w:rPr>
        <w:t>Sentenza</w:t>
      </w:r>
      <w:proofErr w:type="spellEnd"/>
      <w:r w:rsidRPr="001256EA">
        <w:rPr>
          <w:rFonts w:ascii="Times New Roman" w:hAnsi="Times New Roman" w:cs="Times New Roman"/>
          <w:sz w:val="20"/>
          <w:szCs w:val="20"/>
          <w:lang w:val="es-ES"/>
        </w:rPr>
        <w:t xml:space="preserve"> n. 242/2019 (ECLI:</w:t>
      </w:r>
      <w:proofErr w:type="gramStart"/>
      <w:r w:rsidRPr="001256EA">
        <w:rPr>
          <w:rFonts w:ascii="Times New Roman" w:hAnsi="Times New Roman" w:cs="Times New Roman"/>
          <w:sz w:val="20"/>
          <w:szCs w:val="20"/>
          <w:lang w:val="es-ES"/>
        </w:rPr>
        <w:t>IT:COST</w:t>
      </w:r>
      <w:proofErr w:type="gramEnd"/>
      <w:r w:rsidRPr="001256EA">
        <w:rPr>
          <w:rFonts w:ascii="Times New Roman" w:hAnsi="Times New Roman" w:cs="Times New Roman"/>
          <w:sz w:val="20"/>
          <w:szCs w:val="20"/>
          <w:lang w:val="es-ES"/>
        </w:rPr>
        <w:t xml:space="preserve">:2019:242): </w:t>
      </w:r>
      <w:proofErr w:type="spellStart"/>
      <w:r w:rsidRPr="001256EA">
        <w:rPr>
          <w:rFonts w:ascii="Times New Roman" w:hAnsi="Times New Roman" w:cs="Times New Roman"/>
          <w:sz w:val="20"/>
          <w:szCs w:val="20"/>
          <w:lang w:val="es-ES"/>
        </w:rPr>
        <w:t>Giudizio</w:t>
      </w:r>
      <w:proofErr w:type="spellEnd"/>
      <w:r w:rsidRPr="001256EA">
        <w:rPr>
          <w:rFonts w:ascii="Times New Roman" w:hAnsi="Times New Roman" w:cs="Times New Roman"/>
          <w:sz w:val="20"/>
          <w:szCs w:val="20"/>
          <w:lang w:val="es-ES"/>
        </w:rPr>
        <w:t xml:space="preserve"> di </w:t>
      </w:r>
      <w:proofErr w:type="spellStart"/>
      <w:r w:rsidRPr="001256EA">
        <w:rPr>
          <w:rFonts w:ascii="Times New Roman" w:hAnsi="Times New Roman" w:cs="Times New Roman"/>
          <w:sz w:val="20"/>
          <w:szCs w:val="20"/>
          <w:lang w:val="es-ES"/>
        </w:rPr>
        <w:t>legittimità</w:t>
      </w:r>
      <w:proofErr w:type="spellEnd"/>
      <w:r w:rsidRPr="001256EA">
        <w:rPr>
          <w:rFonts w:ascii="Times New Roman" w:hAnsi="Times New Roman" w:cs="Times New Roman"/>
          <w:sz w:val="20"/>
          <w:szCs w:val="20"/>
          <w:lang w:val="es-ES"/>
        </w:rPr>
        <w:t xml:space="preserve"> </w:t>
      </w:r>
      <w:proofErr w:type="spellStart"/>
      <w:r w:rsidRPr="001256EA">
        <w:rPr>
          <w:rFonts w:ascii="Times New Roman" w:hAnsi="Times New Roman" w:cs="Times New Roman"/>
          <w:sz w:val="20"/>
          <w:szCs w:val="20"/>
          <w:lang w:val="es-ES"/>
        </w:rPr>
        <w:t>costituzionale</w:t>
      </w:r>
      <w:proofErr w:type="spellEnd"/>
      <w:r w:rsidRPr="001256EA">
        <w:rPr>
          <w:rFonts w:ascii="Times New Roman" w:hAnsi="Times New Roman" w:cs="Times New Roman"/>
          <w:sz w:val="20"/>
          <w:szCs w:val="20"/>
          <w:lang w:val="es-ES"/>
        </w:rPr>
        <w:t xml:space="preserve"> in </w:t>
      </w:r>
      <w:proofErr w:type="spellStart"/>
      <w:r w:rsidRPr="001256EA">
        <w:rPr>
          <w:rFonts w:ascii="Times New Roman" w:hAnsi="Times New Roman" w:cs="Times New Roman"/>
          <w:sz w:val="20"/>
          <w:szCs w:val="20"/>
          <w:lang w:val="es-ES"/>
        </w:rPr>
        <w:t>via</w:t>
      </w:r>
      <w:proofErr w:type="spellEnd"/>
      <w:r w:rsidRPr="001256EA">
        <w:rPr>
          <w:rFonts w:ascii="Times New Roman" w:hAnsi="Times New Roman" w:cs="Times New Roman"/>
          <w:sz w:val="20"/>
          <w:szCs w:val="20"/>
          <w:lang w:val="es-ES"/>
        </w:rPr>
        <w:t xml:space="preserve"> </w:t>
      </w:r>
      <w:proofErr w:type="spellStart"/>
      <w:r w:rsidRPr="001256EA">
        <w:rPr>
          <w:rFonts w:ascii="Times New Roman" w:hAnsi="Times New Roman" w:cs="Times New Roman"/>
          <w:sz w:val="20"/>
          <w:szCs w:val="20"/>
          <w:lang w:val="es-ES"/>
        </w:rPr>
        <w:t>incidentale</w:t>
      </w:r>
      <w:proofErr w:type="spellEnd"/>
      <w:r w:rsidRPr="001256EA">
        <w:rPr>
          <w:rFonts w:ascii="Times New Roman" w:hAnsi="Times New Roman" w:cs="Times New Roman"/>
          <w:sz w:val="20"/>
          <w:szCs w:val="20"/>
          <w:lang w:val="es-ES"/>
        </w:rPr>
        <w:t xml:space="preserve">. Deposito: 22 de noviembre de 2019; </w:t>
      </w:r>
      <w:proofErr w:type="spellStart"/>
      <w:r w:rsidRPr="001256EA">
        <w:rPr>
          <w:rFonts w:ascii="Times New Roman" w:hAnsi="Times New Roman" w:cs="Times New Roman"/>
          <w:sz w:val="20"/>
          <w:szCs w:val="20"/>
          <w:lang w:val="es-ES"/>
        </w:rPr>
        <w:t>pubblicazione</w:t>
      </w:r>
      <w:proofErr w:type="spellEnd"/>
      <w:r w:rsidRPr="001256EA">
        <w:rPr>
          <w:rFonts w:ascii="Times New Roman" w:hAnsi="Times New Roman" w:cs="Times New Roman"/>
          <w:sz w:val="20"/>
          <w:szCs w:val="20"/>
          <w:lang w:val="es-ES"/>
        </w:rPr>
        <w:t xml:space="preserve"> in </w:t>
      </w:r>
      <w:proofErr w:type="spellStart"/>
      <w:r w:rsidRPr="001256EA">
        <w:rPr>
          <w:rFonts w:ascii="Times New Roman" w:hAnsi="Times New Roman" w:cs="Times New Roman"/>
          <w:sz w:val="20"/>
          <w:szCs w:val="20"/>
          <w:lang w:val="es-ES"/>
        </w:rPr>
        <w:t>Gazzetta</w:t>
      </w:r>
      <w:proofErr w:type="spellEnd"/>
      <w:r w:rsidRPr="001256EA">
        <w:rPr>
          <w:rFonts w:ascii="Times New Roman" w:hAnsi="Times New Roman" w:cs="Times New Roman"/>
          <w:sz w:val="20"/>
          <w:szCs w:val="20"/>
          <w:lang w:val="es-ES"/>
        </w:rPr>
        <w:t xml:space="preserve"> </w:t>
      </w:r>
      <w:proofErr w:type="spellStart"/>
      <w:r w:rsidRPr="001256EA">
        <w:rPr>
          <w:rFonts w:ascii="Times New Roman" w:hAnsi="Times New Roman" w:cs="Times New Roman"/>
          <w:sz w:val="20"/>
          <w:szCs w:val="20"/>
          <w:lang w:val="es-ES"/>
        </w:rPr>
        <w:t>Ufficiale</w:t>
      </w:r>
      <w:proofErr w:type="spellEnd"/>
      <w:r w:rsidRPr="001256EA">
        <w:rPr>
          <w:rFonts w:ascii="Times New Roman" w:hAnsi="Times New Roman" w:cs="Times New Roman"/>
          <w:sz w:val="20"/>
          <w:szCs w:val="20"/>
          <w:lang w:val="es-ES"/>
        </w:rPr>
        <w:t>: 27 de noviembre de 2019 (</w:t>
      </w:r>
      <w:proofErr w:type="spellStart"/>
      <w:r w:rsidRPr="001256EA">
        <w:rPr>
          <w:rFonts w:ascii="Times New Roman" w:hAnsi="Times New Roman" w:cs="Times New Roman"/>
          <w:sz w:val="20"/>
          <w:szCs w:val="20"/>
          <w:lang w:val="es-ES"/>
        </w:rPr>
        <w:t>Gazzetta</w:t>
      </w:r>
      <w:proofErr w:type="spellEnd"/>
      <w:r w:rsidRPr="001256EA">
        <w:rPr>
          <w:rFonts w:ascii="Times New Roman" w:hAnsi="Times New Roman" w:cs="Times New Roman"/>
          <w:sz w:val="20"/>
          <w:szCs w:val="20"/>
          <w:lang w:val="es-ES"/>
        </w:rPr>
        <w:t xml:space="preserve"> </w:t>
      </w:r>
      <w:proofErr w:type="spellStart"/>
      <w:r w:rsidRPr="001256EA">
        <w:rPr>
          <w:rFonts w:ascii="Times New Roman" w:hAnsi="Times New Roman" w:cs="Times New Roman"/>
          <w:sz w:val="20"/>
          <w:szCs w:val="20"/>
          <w:lang w:val="es-ES"/>
        </w:rPr>
        <w:t>Ufficiale</w:t>
      </w:r>
      <w:proofErr w:type="spellEnd"/>
      <w:r w:rsidRPr="001256EA">
        <w:rPr>
          <w:rFonts w:ascii="Times New Roman" w:hAnsi="Times New Roman" w:cs="Times New Roman"/>
          <w:sz w:val="20"/>
          <w:szCs w:val="20"/>
          <w:lang w:val="es-ES"/>
        </w:rPr>
        <w:t xml:space="preserve"> n. 48). </w:t>
      </w:r>
      <w:r w:rsidRPr="001256EA">
        <w:rPr>
          <w:rFonts w:ascii="Times New Roman" w:hAnsi="Times New Roman" w:cs="Times New Roman"/>
          <w:sz w:val="20"/>
          <w:szCs w:val="20"/>
        </w:rPr>
        <w:t xml:space="preserve">Retrieved 08.22.2025, From: </w:t>
      </w:r>
      <w:hyperlink r:id="rId235" w:history="1">
        <w:r w:rsidRPr="001256EA">
          <w:rPr>
            <w:rStyle w:val="Hyperlink"/>
            <w:rFonts w:ascii="Times New Roman" w:hAnsi="Times New Roman" w:cs="Times New Roman"/>
            <w:sz w:val="20"/>
            <w:szCs w:val="20"/>
          </w:rPr>
          <w:t>https://www.cortecostituzionale.it/actionSchedaPronuncia.do?param_ecli=ECLI%3AIT%3ACOST%3A2019%3A242&amp;utm</w:t>
        </w:r>
      </w:hyperlink>
    </w:p>
    <w:p w14:paraId="489F4032" w14:textId="206E8A25" w:rsidR="00095984" w:rsidRPr="00E74922" w:rsidRDefault="00095984" w:rsidP="001C255C">
      <w:pPr>
        <w:pStyle w:val="ListParagraph"/>
        <w:numPr>
          <w:ilvl w:val="0"/>
          <w:numId w:val="34"/>
        </w:numPr>
        <w:spacing w:line="240" w:lineRule="auto"/>
        <w:ind w:left="360"/>
        <w:jc w:val="both"/>
        <w:rPr>
          <w:rFonts w:ascii="Times New Roman" w:hAnsi="Times New Roman" w:cs="Times New Roman"/>
          <w:sz w:val="18"/>
          <w:szCs w:val="18"/>
        </w:rPr>
      </w:pPr>
      <w:r w:rsidRPr="00E74922">
        <w:rPr>
          <w:rFonts w:ascii="Times New Roman" w:hAnsi="Times New Roman" w:cs="Times New Roman"/>
          <w:sz w:val="20"/>
          <w:szCs w:val="20"/>
        </w:rPr>
        <w:t xml:space="preserve">Council of Europe. (1950). </w:t>
      </w:r>
      <w:r w:rsidRPr="00E74922">
        <w:rPr>
          <w:rFonts w:ascii="Times New Roman" w:hAnsi="Times New Roman" w:cs="Times New Roman"/>
          <w:i/>
          <w:iCs/>
          <w:sz w:val="20"/>
          <w:szCs w:val="20"/>
        </w:rPr>
        <w:t>European Convention on Human Rights</w:t>
      </w:r>
      <w:r w:rsidRPr="00E74922">
        <w:rPr>
          <w:rFonts w:ascii="Times New Roman" w:hAnsi="Times New Roman" w:cs="Times New Roman"/>
          <w:sz w:val="20"/>
          <w:szCs w:val="20"/>
        </w:rPr>
        <w:t>. Retrieved 03.19.2026, From: https://www.echr.coe.int/documents/d/echr/convention_ENG</w:t>
      </w:r>
    </w:p>
    <w:p w14:paraId="4C286D1E" w14:textId="7582038F" w:rsidR="00E0464F" w:rsidRPr="001256EA" w:rsidRDefault="00E0464F"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CRC. (1989, November 20). Convention on the Rights of the Child (CRC). Retrieved 07.24.2024, From: </w:t>
      </w:r>
      <w:hyperlink r:id="rId236" w:tgtFrame="_new" w:history="1">
        <w:r w:rsidRPr="001256EA">
          <w:rPr>
            <w:rStyle w:val="Hyperlink"/>
            <w:rFonts w:ascii="Times New Roman" w:hAnsi="Times New Roman" w:cs="Times New Roman"/>
            <w:sz w:val="20"/>
            <w:szCs w:val="20"/>
          </w:rPr>
          <w:t>https://www.ohchr.org/en/instruments-mechanisms/instruments/convention-rights-child</w:t>
        </w:r>
      </w:hyperlink>
    </w:p>
    <w:p w14:paraId="79FA7772" w14:textId="77777777" w:rsidR="00E0464F" w:rsidRPr="001256EA" w:rsidRDefault="00E0464F"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CRPD. (2006, December 13). Convention on the Rights of Persons with Disabilities (CRPD) | Division for Inclusive Social Development (DISD). Retrieved 07/23/2025, From: </w:t>
      </w:r>
      <w:hyperlink r:id="rId237" w:tgtFrame="_new" w:history="1">
        <w:r w:rsidRPr="001256EA">
          <w:rPr>
            <w:rStyle w:val="Hyperlink"/>
            <w:rFonts w:ascii="Times New Roman" w:hAnsi="Times New Roman" w:cs="Times New Roman"/>
            <w:sz w:val="20"/>
            <w:szCs w:val="20"/>
          </w:rPr>
          <w:t>https://social.desa.un.org/issues/disability/crpd/convention-on-the-rights-of-persons-with-disabilities-crpd</w:t>
        </w:r>
      </w:hyperlink>
    </w:p>
    <w:p w14:paraId="5CF3C9EA" w14:textId="77777777" w:rsidR="00E0464F" w:rsidRPr="001256EA" w:rsidRDefault="00E0464F"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ICCPR. (1966, December 16). International Covenant on Civil and Political Rights (ICCPR). Retrieved 07/23/2025, From: </w:t>
      </w:r>
      <w:hyperlink r:id="rId238" w:tgtFrame="_new" w:history="1">
        <w:r w:rsidRPr="001256EA">
          <w:rPr>
            <w:rStyle w:val="Hyperlink"/>
            <w:rFonts w:ascii="Times New Roman" w:hAnsi="Times New Roman" w:cs="Times New Roman"/>
            <w:sz w:val="20"/>
            <w:szCs w:val="20"/>
          </w:rPr>
          <w:t>https://www.ohchr.org/en/instruments-mechanisms/instruments/international-covenant-civil-and-political-rights</w:t>
        </w:r>
      </w:hyperlink>
    </w:p>
    <w:p w14:paraId="172280C5" w14:textId="60B9896F" w:rsidR="006D2836" w:rsidRPr="001256EA" w:rsidRDefault="006D2836" w:rsidP="001C255C">
      <w:pPr>
        <w:pStyle w:val="ListParagraph"/>
        <w:numPr>
          <w:ilvl w:val="0"/>
          <w:numId w:val="34"/>
        </w:numPr>
        <w:spacing w:line="240" w:lineRule="auto"/>
        <w:ind w:left="360"/>
        <w:jc w:val="both"/>
        <w:rPr>
          <w:rFonts w:ascii="Times New Roman" w:hAnsi="Times New Roman" w:cs="Times New Roman"/>
          <w:sz w:val="20"/>
          <w:szCs w:val="20"/>
        </w:rPr>
      </w:pPr>
      <w:r w:rsidRPr="00902F03">
        <w:rPr>
          <w:rFonts w:ascii="Times New Roman" w:hAnsi="Times New Roman" w:cs="Times New Roman"/>
          <w:sz w:val="20"/>
          <w:szCs w:val="20"/>
          <w:lang w:val="es-ES"/>
        </w:rPr>
        <w:t xml:space="preserve">Lei n.º 22/2023, de 25 de </w:t>
      </w:r>
      <w:proofErr w:type="spellStart"/>
      <w:r w:rsidRPr="00902F03">
        <w:rPr>
          <w:rFonts w:ascii="Times New Roman" w:hAnsi="Times New Roman" w:cs="Times New Roman"/>
          <w:sz w:val="20"/>
          <w:szCs w:val="20"/>
          <w:lang w:val="es-ES"/>
        </w:rPr>
        <w:t>maio</w:t>
      </w:r>
      <w:proofErr w:type="spellEnd"/>
      <w:r w:rsidRPr="00902F03">
        <w:rPr>
          <w:rFonts w:ascii="Times New Roman" w:hAnsi="Times New Roman" w:cs="Times New Roman"/>
          <w:sz w:val="20"/>
          <w:szCs w:val="20"/>
          <w:lang w:val="es-ES"/>
        </w:rPr>
        <w:t xml:space="preserve">: Regula as </w:t>
      </w:r>
      <w:proofErr w:type="spellStart"/>
      <w:r w:rsidRPr="00902F03">
        <w:rPr>
          <w:rFonts w:ascii="Times New Roman" w:hAnsi="Times New Roman" w:cs="Times New Roman"/>
          <w:sz w:val="20"/>
          <w:szCs w:val="20"/>
          <w:lang w:val="es-ES"/>
        </w:rPr>
        <w:t>condições</w:t>
      </w:r>
      <w:proofErr w:type="spellEnd"/>
      <w:r w:rsidRPr="00902F03">
        <w:rPr>
          <w:rFonts w:ascii="Times New Roman" w:hAnsi="Times New Roman" w:cs="Times New Roman"/>
          <w:sz w:val="20"/>
          <w:szCs w:val="20"/>
          <w:lang w:val="es-ES"/>
        </w:rPr>
        <w:t xml:space="preserve"> em que a </w:t>
      </w:r>
      <w:proofErr w:type="spellStart"/>
      <w:r w:rsidRPr="00902F03">
        <w:rPr>
          <w:rFonts w:ascii="Times New Roman" w:hAnsi="Times New Roman" w:cs="Times New Roman"/>
          <w:sz w:val="20"/>
          <w:szCs w:val="20"/>
          <w:lang w:val="es-ES"/>
        </w:rPr>
        <w:t>morte</w:t>
      </w:r>
      <w:proofErr w:type="spellEnd"/>
      <w:r w:rsidRPr="00902F03">
        <w:rPr>
          <w:rFonts w:ascii="Times New Roman" w:hAnsi="Times New Roman" w:cs="Times New Roman"/>
          <w:sz w:val="20"/>
          <w:szCs w:val="20"/>
          <w:lang w:val="es-ES"/>
        </w:rPr>
        <w:t xml:space="preserve"> medicamente </w:t>
      </w:r>
      <w:proofErr w:type="spellStart"/>
      <w:r w:rsidRPr="00902F03">
        <w:rPr>
          <w:rFonts w:ascii="Times New Roman" w:hAnsi="Times New Roman" w:cs="Times New Roman"/>
          <w:sz w:val="20"/>
          <w:szCs w:val="20"/>
          <w:lang w:val="es-ES"/>
        </w:rPr>
        <w:t>assistida</w:t>
      </w:r>
      <w:proofErr w:type="spellEnd"/>
      <w:r w:rsidRPr="00902F03">
        <w:rPr>
          <w:rFonts w:ascii="Times New Roman" w:hAnsi="Times New Roman" w:cs="Times New Roman"/>
          <w:sz w:val="20"/>
          <w:szCs w:val="20"/>
          <w:lang w:val="es-ES"/>
        </w:rPr>
        <w:t xml:space="preserve"> </w:t>
      </w:r>
      <w:proofErr w:type="spellStart"/>
      <w:r w:rsidRPr="00902F03">
        <w:rPr>
          <w:rFonts w:ascii="Times New Roman" w:hAnsi="Times New Roman" w:cs="Times New Roman"/>
          <w:sz w:val="20"/>
          <w:szCs w:val="20"/>
          <w:lang w:val="es-ES"/>
        </w:rPr>
        <w:t>não</w:t>
      </w:r>
      <w:proofErr w:type="spellEnd"/>
      <w:r w:rsidRPr="00902F03">
        <w:rPr>
          <w:rFonts w:ascii="Times New Roman" w:hAnsi="Times New Roman" w:cs="Times New Roman"/>
          <w:sz w:val="20"/>
          <w:szCs w:val="20"/>
          <w:lang w:val="es-ES"/>
        </w:rPr>
        <w:t xml:space="preserve"> é </w:t>
      </w:r>
      <w:proofErr w:type="spellStart"/>
      <w:r w:rsidRPr="00902F03">
        <w:rPr>
          <w:rFonts w:ascii="Times New Roman" w:hAnsi="Times New Roman" w:cs="Times New Roman"/>
          <w:sz w:val="20"/>
          <w:szCs w:val="20"/>
          <w:lang w:val="es-ES"/>
        </w:rPr>
        <w:t>punível</w:t>
      </w:r>
      <w:proofErr w:type="spellEnd"/>
      <w:r w:rsidRPr="00902F03">
        <w:rPr>
          <w:rFonts w:ascii="Times New Roman" w:hAnsi="Times New Roman" w:cs="Times New Roman"/>
          <w:sz w:val="20"/>
          <w:szCs w:val="20"/>
          <w:lang w:val="es-ES"/>
        </w:rPr>
        <w:t xml:space="preserve"> e altera o Código Penal (</w:t>
      </w:r>
      <w:proofErr w:type="spellStart"/>
      <w:r w:rsidRPr="00902F03">
        <w:rPr>
          <w:rFonts w:ascii="Times New Roman" w:hAnsi="Times New Roman" w:cs="Times New Roman"/>
          <w:sz w:val="20"/>
          <w:szCs w:val="20"/>
          <w:lang w:val="es-ES"/>
        </w:rPr>
        <w:t>Diário</w:t>
      </w:r>
      <w:proofErr w:type="spellEnd"/>
      <w:r w:rsidRPr="00902F03">
        <w:rPr>
          <w:rFonts w:ascii="Times New Roman" w:hAnsi="Times New Roman" w:cs="Times New Roman"/>
          <w:sz w:val="20"/>
          <w:szCs w:val="20"/>
          <w:lang w:val="es-ES"/>
        </w:rPr>
        <w:t xml:space="preserve"> da República, 1.ª </w:t>
      </w:r>
      <w:proofErr w:type="spellStart"/>
      <w:r w:rsidRPr="00902F03">
        <w:rPr>
          <w:rFonts w:ascii="Times New Roman" w:hAnsi="Times New Roman" w:cs="Times New Roman"/>
          <w:sz w:val="20"/>
          <w:szCs w:val="20"/>
          <w:lang w:val="es-ES"/>
        </w:rPr>
        <w:t>série</w:t>
      </w:r>
      <w:proofErr w:type="spellEnd"/>
      <w:r w:rsidRPr="00902F03">
        <w:rPr>
          <w:rFonts w:ascii="Times New Roman" w:hAnsi="Times New Roman" w:cs="Times New Roman"/>
          <w:sz w:val="20"/>
          <w:szCs w:val="20"/>
          <w:lang w:val="es-ES"/>
        </w:rPr>
        <w:t xml:space="preserve">, n.º 101, pp. 10–20). </w:t>
      </w:r>
      <w:proofErr w:type="spellStart"/>
      <w:r w:rsidRPr="001256EA">
        <w:rPr>
          <w:rFonts w:ascii="Times New Roman" w:hAnsi="Times New Roman" w:cs="Times New Roman"/>
          <w:sz w:val="20"/>
          <w:szCs w:val="20"/>
          <w:lang w:val="es-ES"/>
        </w:rPr>
        <w:t>Assembleia</w:t>
      </w:r>
      <w:proofErr w:type="spellEnd"/>
      <w:r w:rsidRPr="001256EA">
        <w:rPr>
          <w:rFonts w:ascii="Times New Roman" w:hAnsi="Times New Roman" w:cs="Times New Roman"/>
          <w:sz w:val="20"/>
          <w:szCs w:val="20"/>
          <w:lang w:val="es-ES"/>
        </w:rPr>
        <w:t xml:space="preserve"> da República. (2023).  </w:t>
      </w:r>
      <w:proofErr w:type="spellStart"/>
      <w:r w:rsidRPr="001256EA">
        <w:rPr>
          <w:rFonts w:ascii="Times New Roman" w:hAnsi="Times New Roman" w:cs="Times New Roman"/>
          <w:sz w:val="20"/>
          <w:szCs w:val="20"/>
          <w:lang w:val="es-ES"/>
        </w:rPr>
        <w:t>Retrieved</w:t>
      </w:r>
      <w:proofErr w:type="spellEnd"/>
      <w:r w:rsidRPr="001256EA">
        <w:rPr>
          <w:rFonts w:ascii="Times New Roman" w:hAnsi="Times New Roman" w:cs="Times New Roman"/>
          <w:sz w:val="20"/>
          <w:szCs w:val="20"/>
          <w:lang w:val="es-ES"/>
        </w:rPr>
        <w:t xml:space="preserve"> 08.22.2025, From: </w:t>
      </w:r>
      <w:hyperlink r:id="rId239" w:history="1">
        <w:r w:rsidRPr="001256EA">
          <w:rPr>
            <w:rStyle w:val="Hyperlink"/>
            <w:rFonts w:ascii="Times New Roman" w:hAnsi="Times New Roman" w:cs="Times New Roman"/>
            <w:sz w:val="20"/>
            <w:szCs w:val="20"/>
            <w:lang w:val="es-ES"/>
          </w:rPr>
          <w:t>https://diariodarepublica.pt/dr/detalhe/lei/22-2023-213498831?utm</w:t>
        </w:r>
      </w:hyperlink>
    </w:p>
    <w:p w14:paraId="2EC2182B" w14:textId="6725F4D9" w:rsidR="006D2836" w:rsidRPr="00902F03" w:rsidRDefault="006D2836" w:rsidP="001C255C">
      <w:pPr>
        <w:pStyle w:val="ListParagraph"/>
        <w:numPr>
          <w:ilvl w:val="0"/>
          <w:numId w:val="34"/>
        </w:numPr>
        <w:spacing w:line="240" w:lineRule="auto"/>
        <w:ind w:left="360"/>
        <w:jc w:val="both"/>
        <w:rPr>
          <w:rFonts w:ascii="Times New Roman" w:hAnsi="Times New Roman" w:cs="Times New Roman"/>
          <w:sz w:val="20"/>
          <w:szCs w:val="20"/>
          <w:lang w:val="es-ES"/>
        </w:rPr>
      </w:pPr>
      <w:r w:rsidRPr="001256EA">
        <w:rPr>
          <w:rFonts w:ascii="Times New Roman" w:hAnsi="Times New Roman" w:cs="Times New Roman"/>
          <w:sz w:val="20"/>
          <w:szCs w:val="20"/>
          <w:lang w:val="fr-FR"/>
        </w:rPr>
        <w:t xml:space="preserve">Ley </w:t>
      </w:r>
      <w:proofErr w:type="spellStart"/>
      <w:r w:rsidRPr="001256EA">
        <w:rPr>
          <w:rFonts w:ascii="Times New Roman" w:hAnsi="Times New Roman" w:cs="Times New Roman"/>
          <w:sz w:val="20"/>
          <w:szCs w:val="20"/>
          <w:lang w:val="fr-FR"/>
        </w:rPr>
        <w:t>Orgánica</w:t>
      </w:r>
      <w:proofErr w:type="spellEnd"/>
      <w:r w:rsidRPr="001256EA">
        <w:rPr>
          <w:rFonts w:ascii="Times New Roman" w:hAnsi="Times New Roman" w:cs="Times New Roman"/>
          <w:sz w:val="20"/>
          <w:szCs w:val="20"/>
          <w:lang w:val="fr-FR"/>
        </w:rPr>
        <w:t xml:space="preserve"> 3/2021, de 24 de Marzo, de </w:t>
      </w:r>
      <w:proofErr w:type="spellStart"/>
      <w:r w:rsidRPr="001256EA">
        <w:rPr>
          <w:rFonts w:ascii="Times New Roman" w:hAnsi="Times New Roman" w:cs="Times New Roman"/>
          <w:sz w:val="20"/>
          <w:szCs w:val="20"/>
          <w:lang w:val="fr-FR"/>
        </w:rPr>
        <w:t>Regulación</w:t>
      </w:r>
      <w:proofErr w:type="spellEnd"/>
      <w:r w:rsidRPr="001256EA">
        <w:rPr>
          <w:rFonts w:ascii="Times New Roman" w:hAnsi="Times New Roman" w:cs="Times New Roman"/>
          <w:sz w:val="20"/>
          <w:szCs w:val="20"/>
          <w:lang w:val="fr-FR"/>
        </w:rPr>
        <w:t xml:space="preserve"> de La </w:t>
      </w:r>
      <w:proofErr w:type="spellStart"/>
      <w:r w:rsidRPr="001256EA">
        <w:rPr>
          <w:rFonts w:ascii="Times New Roman" w:hAnsi="Times New Roman" w:cs="Times New Roman"/>
          <w:sz w:val="20"/>
          <w:szCs w:val="20"/>
          <w:lang w:val="fr-FR"/>
        </w:rPr>
        <w:t>Eutanasia</w:t>
      </w:r>
      <w:proofErr w:type="spellEnd"/>
      <w:r w:rsidRPr="001256EA">
        <w:rPr>
          <w:rFonts w:ascii="Times New Roman" w:hAnsi="Times New Roman" w:cs="Times New Roman"/>
          <w:sz w:val="20"/>
          <w:szCs w:val="20"/>
          <w:lang w:val="fr-FR"/>
        </w:rPr>
        <w:t xml:space="preserve">, Pub. L. No. </w:t>
      </w:r>
      <w:r w:rsidRPr="001256EA">
        <w:rPr>
          <w:rFonts w:ascii="Times New Roman" w:hAnsi="Times New Roman" w:cs="Times New Roman"/>
          <w:sz w:val="20"/>
          <w:szCs w:val="20"/>
          <w:lang w:val="es-ES"/>
        </w:rPr>
        <w:t xml:space="preserve">Ley Orgánica 3/2021, BOE-A-2021-4628 34037 (2021). From: </w:t>
      </w:r>
      <w:hyperlink r:id="rId240" w:history="1">
        <w:r w:rsidRPr="001256EA">
          <w:rPr>
            <w:rStyle w:val="Hyperlink"/>
            <w:rFonts w:ascii="Times New Roman" w:hAnsi="Times New Roman" w:cs="Times New Roman"/>
            <w:sz w:val="20"/>
            <w:szCs w:val="20"/>
            <w:lang w:val="es-ES"/>
          </w:rPr>
          <w:t>https://www.boe.es/eli/es/lo/2021/03/24/3</w:t>
        </w:r>
      </w:hyperlink>
    </w:p>
    <w:p w14:paraId="7280277D" w14:textId="77777777" w:rsidR="006D2836" w:rsidRPr="001256EA" w:rsidRDefault="00E0464F"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OHCHR. (1966). International Covenant on Civil and Political Rights. Retrieved 08.22.2025, From: </w:t>
      </w:r>
      <w:hyperlink r:id="rId241" w:tgtFrame="_new" w:history="1">
        <w:r w:rsidRPr="001256EA">
          <w:rPr>
            <w:rStyle w:val="Hyperlink"/>
            <w:rFonts w:ascii="Times New Roman" w:hAnsi="Times New Roman" w:cs="Times New Roman"/>
            <w:sz w:val="20"/>
            <w:szCs w:val="20"/>
          </w:rPr>
          <w:t>https://www.ohchr.org/en/instruments-mechanisms/instruments/international-covenant-civil-and-political-rights</w:t>
        </w:r>
      </w:hyperlink>
    </w:p>
    <w:p w14:paraId="65BF9BEB" w14:textId="02CD8468" w:rsidR="00EF7B45" w:rsidRPr="001256EA" w:rsidRDefault="00EF7B45" w:rsidP="001C255C">
      <w:pPr>
        <w:pStyle w:val="ListParagraph"/>
        <w:numPr>
          <w:ilvl w:val="0"/>
          <w:numId w:val="34"/>
        </w:numPr>
        <w:spacing w:line="240" w:lineRule="auto"/>
        <w:ind w:left="360"/>
        <w:jc w:val="both"/>
        <w:rPr>
          <w:rFonts w:ascii="Times New Roman" w:hAnsi="Times New Roman" w:cs="Times New Roman"/>
          <w:sz w:val="20"/>
          <w:szCs w:val="20"/>
        </w:rPr>
      </w:pPr>
      <w:proofErr w:type="spellStart"/>
      <w:r w:rsidRPr="00902F03">
        <w:rPr>
          <w:rFonts w:ascii="Times New Roman" w:hAnsi="Times New Roman" w:cs="Times New Roman"/>
          <w:bCs/>
          <w:sz w:val="20"/>
          <w:szCs w:val="20"/>
          <w:lang w:val="es-ES"/>
        </w:rPr>
        <w:t>Regione</w:t>
      </w:r>
      <w:proofErr w:type="spellEnd"/>
      <w:r w:rsidRPr="00902F03">
        <w:rPr>
          <w:rFonts w:ascii="Times New Roman" w:hAnsi="Times New Roman" w:cs="Times New Roman"/>
          <w:bCs/>
          <w:sz w:val="20"/>
          <w:szCs w:val="20"/>
          <w:lang w:val="es-ES"/>
        </w:rPr>
        <w:t xml:space="preserve"> Toscana. </w:t>
      </w:r>
      <w:r w:rsidRPr="001256EA">
        <w:rPr>
          <w:rFonts w:ascii="Times New Roman" w:hAnsi="Times New Roman" w:cs="Times New Roman"/>
          <w:bCs/>
          <w:sz w:val="20"/>
          <w:szCs w:val="20"/>
          <w:lang w:val="es-ES"/>
        </w:rPr>
        <w:t xml:space="preserve">(2025). Legge </w:t>
      </w:r>
      <w:proofErr w:type="spellStart"/>
      <w:r w:rsidRPr="001256EA">
        <w:rPr>
          <w:rFonts w:ascii="Times New Roman" w:hAnsi="Times New Roman" w:cs="Times New Roman"/>
          <w:bCs/>
          <w:sz w:val="20"/>
          <w:szCs w:val="20"/>
          <w:lang w:val="es-ES"/>
        </w:rPr>
        <w:t>regionale</w:t>
      </w:r>
      <w:proofErr w:type="spellEnd"/>
      <w:r w:rsidRPr="001256EA">
        <w:rPr>
          <w:rFonts w:ascii="Times New Roman" w:hAnsi="Times New Roman" w:cs="Times New Roman"/>
          <w:bCs/>
          <w:sz w:val="20"/>
          <w:szCs w:val="20"/>
          <w:lang w:val="es-ES"/>
        </w:rPr>
        <w:t xml:space="preserve"> 14 marzo 2025, n. 16: </w:t>
      </w:r>
      <w:proofErr w:type="spellStart"/>
      <w:r w:rsidRPr="001256EA">
        <w:rPr>
          <w:rFonts w:ascii="Times New Roman" w:hAnsi="Times New Roman" w:cs="Times New Roman"/>
          <w:bCs/>
          <w:sz w:val="20"/>
          <w:szCs w:val="20"/>
          <w:lang w:val="es-ES"/>
        </w:rPr>
        <w:t>Modalità</w:t>
      </w:r>
      <w:proofErr w:type="spellEnd"/>
      <w:r w:rsidRPr="001256EA">
        <w:rPr>
          <w:rFonts w:ascii="Times New Roman" w:hAnsi="Times New Roman" w:cs="Times New Roman"/>
          <w:bCs/>
          <w:sz w:val="20"/>
          <w:szCs w:val="20"/>
          <w:lang w:val="es-ES"/>
        </w:rPr>
        <w:t xml:space="preserve"> </w:t>
      </w:r>
      <w:proofErr w:type="spellStart"/>
      <w:r w:rsidRPr="001256EA">
        <w:rPr>
          <w:rFonts w:ascii="Times New Roman" w:hAnsi="Times New Roman" w:cs="Times New Roman"/>
          <w:bCs/>
          <w:sz w:val="20"/>
          <w:szCs w:val="20"/>
          <w:lang w:val="es-ES"/>
        </w:rPr>
        <w:t>organizzative</w:t>
      </w:r>
      <w:proofErr w:type="spellEnd"/>
      <w:r w:rsidRPr="001256EA">
        <w:rPr>
          <w:rFonts w:ascii="Times New Roman" w:hAnsi="Times New Roman" w:cs="Times New Roman"/>
          <w:bCs/>
          <w:sz w:val="20"/>
          <w:szCs w:val="20"/>
          <w:lang w:val="es-ES"/>
        </w:rPr>
        <w:t xml:space="preserve"> per </w:t>
      </w:r>
      <w:proofErr w:type="spellStart"/>
      <w:r w:rsidRPr="001256EA">
        <w:rPr>
          <w:rFonts w:ascii="Times New Roman" w:hAnsi="Times New Roman" w:cs="Times New Roman"/>
          <w:bCs/>
          <w:sz w:val="20"/>
          <w:szCs w:val="20"/>
          <w:lang w:val="es-ES"/>
        </w:rPr>
        <w:t>l’attuazione</w:t>
      </w:r>
      <w:proofErr w:type="spellEnd"/>
      <w:r w:rsidRPr="001256EA">
        <w:rPr>
          <w:rFonts w:ascii="Times New Roman" w:hAnsi="Times New Roman" w:cs="Times New Roman"/>
          <w:bCs/>
          <w:sz w:val="20"/>
          <w:szCs w:val="20"/>
          <w:lang w:val="es-ES"/>
        </w:rPr>
        <w:t xml:space="preserve"> </w:t>
      </w:r>
      <w:proofErr w:type="spellStart"/>
      <w:r w:rsidRPr="001256EA">
        <w:rPr>
          <w:rFonts w:ascii="Times New Roman" w:hAnsi="Times New Roman" w:cs="Times New Roman"/>
          <w:bCs/>
          <w:sz w:val="20"/>
          <w:szCs w:val="20"/>
          <w:lang w:val="es-ES"/>
        </w:rPr>
        <w:t>delle</w:t>
      </w:r>
      <w:proofErr w:type="spellEnd"/>
      <w:r w:rsidRPr="001256EA">
        <w:rPr>
          <w:rFonts w:ascii="Times New Roman" w:hAnsi="Times New Roman" w:cs="Times New Roman"/>
          <w:bCs/>
          <w:sz w:val="20"/>
          <w:szCs w:val="20"/>
          <w:lang w:val="es-ES"/>
        </w:rPr>
        <w:t xml:space="preserve"> </w:t>
      </w:r>
      <w:proofErr w:type="spellStart"/>
      <w:r w:rsidRPr="001256EA">
        <w:rPr>
          <w:rFonts w:ascii="Times New Roman" w:hAnsi="Times New Roman" w:cs="Times New Roman"/>
          <w:bCs/>
          <w:sz w:val="20"/>
          <w:szCs w:val="20"/>
          <w:lang w:val="es-ES"/>
        </w:rPr>
        <w:t>sentenze</w:t>
      </w:r>
      <w:proofErr w:type="spellEnd"/>
      <w:r w:rsidRPr="001256EA">
        <w:rPr>
          <w:rFonts w:ascii="Times New Roman" w:hAnsi="Times New Roman" w:cs="Times New Roman"/>
          <w:bCs/>
          <w:sz w:val="20"/>
          <w:szCs w:val="20"/>
          <w:lang w:val="es-ES"/>
        </w:rPr>
        <w:t xml:space="preserve"> </w:t>
      </w:r>
      <w:proofErr w:type="spellStart"/>
      <w:r w:rsidRPr="001256EA">
        <w:rPr>
          <w:rFonts w:ascii="Times New Roman" w:hAnsi="Times New Roman" w:cs="Times New Roman"/>
          <w:bCs/>
          <w:sz w:val="20"/>
          <w:szCs w:val="20"/>
          <w:lang w:val="es-ES"/>
        </w:rPr>
        <w:t>della</w:t>
      </w:r>
      <w:proofErr w:type="spellEnd"/>
      <w:r w:rsidRPr="001256EA">
        <w:rPr>
          <w:rFonts w:ascii="Times New Roman" w:hAnsi="Times New Roman" w:cs="Times New Roman"/>
          <w:bCs/>
          <w:sz w:val="20"/>
          <w:szCs w:val="20"/>
          <w:lang w:val="es-ES"/>
        </w:rPr>
        <w:t xml:space="preserve"> Corte </w:t>
      </w:r>
      <w:proofErr w:type="spellStart"/>
      <w:r w:rsidRPr="001256EA">
        <w:rPr>
          <w:rFonts w:ascii="Times New Roman" w:hAnsi="Times New Roman" w:cs="Times New Roman"/>
          <w:bCs/>
          <w:sz w:val="20"/>
          <w:szCs w:val="20"/>
          <w:lang w:val="es-ES"/>
        </w:rPr>
        <w:t>costituzionale</w:t>
      </w:r>
      <w:proofErr w:type="spellEnd"/>
      <w:r w:rsidRPr="001256EA">
        <w:rPr>
          <w:rFonts w:ascii="Times New Roman" w:hAnsi="Times New Roman" w:cs="Times New Roman"/>
          <w:bCs/>
          <w:sz w:val="20"/>
          <w:szCs w:val="20"/>
          <w:lang w:val="es-ES"/>
        </w:rPr>
        <w:t xml:space="preserve"> 242/2019 e 135/2024. </w:t>
      </w:r>
      <w:r w:rsidRPr="001256EA">
        <w:rPr>
          <w:rFonts w:ascii="Times New Roman" w:hAnsi="Times New Roman" w:cs="Times New Roman"/>
          <w:bCs/>
          <w:sz w:val="20"/>
          <w:szCs w:val="20"/>
        </w:rPr>
        <w:t xml:space="preserve">(n.d.). Retrieved 08.22.2025, From: </w:t>
      </w:r>
      <w:hyperlink r:id="rId242" w:tgtFrame="_new" w:history="1">
        <w:r w:rsidRPr="001256EA">
          <w:rPr>
            <w:rStyle w:val="Hyperlink"/>
            <w:rFonts w:ascii="Times New Roman" w:hAnsi="Times New Roman" w:cs="Times New Roman"/>
            <w:bCs/>
            <w:sz w:val="20"/>
            <w:szCs w:val="20"/>
          </w:rPr>
          <w:t>https://raccoltanormativa.consiglio.regione.toscana.it/articolo?urndoc=urn%3Anir%3Aregione.toscana%3Alegge%3A2025-03-14%3B16&amp;utm</w:t>
        </w:r>
      </w:hyperlink>
    </w:p>
    <w:p w14:paraId="4B54DD03" w14:textId="7570F772" w:rsidR="00EF7B45" w:rsidRPr="001256EA" w:rsidRDefault="00EF7B45" w:rsidP="00EF7B45">
      <w:pPr>
        <w:pStyle w:val="ListParagraph"/>
        <w:numPr>
          <w:ilvl w:val="0"/>
          <w:numId w:val="34"/>
        </w:numPr>
        <w:spacing w:line="240" w:lineRule="auto"/>
        <w:ind w:left="360"/>
        <w:jc w:val="both"/>
        <w:rPr>
          <w:rFonts w:ascii="Times New Roman" w:hAnsi="Times New Roman" w:cs="Times New Roman"/>
          <w:sz w:val="20"/>
          <w:szCs w:val="20"/>
          <w:lang w:val="en-GB"/>
        </w:rPr>
      </w:pPr>
      <w:r w:rsidRPr="001256EA">
        <w:rPr>
          <w:rFonts w:ascii="Times New Roman" w:hAnsi="Times New Roman" w:cs="Times New Roman"/>
          <w:sz w:val="20"/>
          <w:szCs w:val="20"/>
          <w:lang w:val="fr-FR"/>
        </w:rPr>
        <w:t xml:space="preserve">Tribunal </w:t>
      </w:r>
      <w:proofErr w:type="spellStart"/>
      <w:r w:rsidRPr="001256EA">
        <w:rPr>
          <w:rFonts w:ascii="Times New Roman" w:hAnsi="Times New Roman" w:cs="Times New Roman"/>
          <w:sz w:val="20"/>
          <w:szCs w:val="20"/>
          <w:lang w:val="fr-FR"/>
        </w:rPr>
        <w:t>Constitucional</w:t>
      </w:r>
      <w:proofErr w:type="spellEnd"/>
      <w:r w:rsidRPr="001256EA">
        <w:rPr>
          <w:rFonts w:ascii="Times New Roman" w:hAnsi="Times New Roman" w:cs="Times New Roman"/>
          <w:sz w:val="20"/>
          <w:szCs w:val="20"/>
          <w:lang w:val="fr-FR"/>
        </w:rPr>
        <w:t xml:space="preserve">. (2025). </w:t>
      </w:r>
      <w:proofErr w:type="spellStart"/>
      <w:r w:rsidRPr="001256EA">
        <w:rPr>
          <w:rFonts w:ascii="Times New Roman" w:hAnsi="Times New Roman" w:cs="Times New Roman"/>
          <w:sz w:val="20"/>
          <w:szCs w:val="20"/>
          <w:lang w:val="fr-FR"/>
        </w:rPr>
        <w:t>Acórdão</w:t>
      </w:r>
      <w:proofErr w:type="spellEnd"/>
      <w:r w:rsidRPr="001256EA">
        <w:rPr>
          <w:rFonts w:ascii="Times New Roman" w:hAnsi="Times New Roman" w:cs="Times New Roman"/>
          <w:sz w:val="20"/>
          <w:szCs w:val="20"/>
          <w:lang w:val="fr-FR"/>
        </w:rPr>
        <w:t xml:space="preserve"> </w:t>
      </w:r>
      <w:proofErr w:type="gramStart"/>
      <w:r w:rsidRPr="001256EA">
        <w:rPr>
          <w:rFonts w:ascii="Times New Roman" w:hAnsi="Times New Roman" w:cs="Times New Roman"/>
          <w:sz w:val="20"/>
          <w:szCs w:val="20"/>
          <w:lang w:val="fr-FR"/>
        </w:rPr>
        <w:t>n.º</w:t>
      </w:r>
      <w:proofErr w:type="gramEnd"/>
      <w:r w:rsidRPr="001256EA">
        <w:rPr>
          <w:rFonts w:ascii="Times New Roman" w:hAnsi="Times New Roman" w:cs="Times New Roman"/>
          <w:sz w:val="20"/>
          <w:szCs w:val="20"/>
          <w:lang w:val="fr-FR"/>
        </w:rPr>
        <w:t xml:space="preserve"> 307/</w:t>
      </w:r>
      <w:proofErr w:type="gramStart"/>
      <w:r w:rsidRPr="001256EA">
        <w:rPr>
          <w:rFonts w:ascii="Times New Roman" w:hAnsi="Times New Roman" w:cs="Times New Roman"/>
          <w:sz w:val="20"/>
          <w:szCs w:val="20"/>
          <w:lang w:val="fr-FR"/>
        </w:rPr>
        <w:t>2025:</w:t>
      </w:r>
      <w:proofErr w:type="gram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Comunicação</w:t>
      </w:r>
      <w:proofErr w:type="spellEnd"/>
      <w:r w:rsidRPr="001256EA">
        <w:rPr>
          <w:rFonts w:ascii="Times New Roman" w:hAnsi="Times New Roman" w:cs="Times New Roman"/>
          <w:sz w:val="20"/>
          <w:szCs w:val="20"/>
          <w:lang w:val="fr-FR"/>
        </w:rPr>
        <w:t xml:space="preserve"> sobre a </w:t>
      </w:r>
      <w:proofErr w:type="spellStart"/>
      <w:r w:rsidRPr="001256EA">
        <w:rPr>
          <w:rFonts w:ascii="Times New Roman" w:hAnsi="Times New Roman" w:cs="Times New Roman"/>
          <w:sz w:val="20"/>
          <w:szCs w:val="20"/>
          <w:lang w:val="fr-FR"/>
        </w:rPr>
        <w:t>declaração</w:t>
      </w:r>
      <w:proofErr w:type="spellEnd"/>
      <w:r w:rsidRPr="001256EA">
        <w:rPr>
          <w:rFonts w:ascii="Times New Roman" w:hAnsi="Times New Roman" w:cs="Times New Roman"/>
          <w:sz w:val="20"/>
          <w:szCs w:val="20"/>
          <w:lang w:val="fr-FR"/>
        </w:rPr>
        <w:t xml:space="preserve"> de </w:t>
      </w:r>
      <w:proofErr w:type="spellStart"/>
      <w:r w:rsidRPr="001256EA">
        <w:rPr>
          <w:rFonts w:ascii="Times New Roman" w:hAnsi="Times New Roman" w:cs="Times New Roman"/>
          <w:sz w:val="20"/>
          <w:szCs w:val="20"/>
          <w:lang w:val="fr-FR"/>
        </w:rPr>
        <w:t>inconstitucionalidade</w:t>
      </w:r>
      <w:proofErr w:type="spellEnd"/>
      <w:r w:rsidRPr="001256EA">
        <w:rPr>
          <w:rFonts w:ascii="Times New Roman" w:hAnsi="Times New Roman" w:cs="Times New Roman"/>
          <w:sz w:val="20"/>
          <w:szCs w:val="20"/>
          <w:lang w:val="fr-FR"/>
        </w:rPr>
        <w:t xml:space="preserve"> de </w:t>
      </w:r>
      <w:proofErr w:type="spellStart"/>
      <w:r w:rsidRPr="001256EA">
        <w:rPr>
          <w:rFonts w:ascii="Times New Roman" w:hAnsi="Times New Roman" w:cs="Times New Roman"/>
          <w:sz w:val="20"/>
          <w:szCs w:val="20"/>
          <w:lang w:val="fr-FR"/>
        </w:rPr>
        <w:t>várias</w:t>
      </w:r>
      <w:proofErr w:type="spellEnd"/>
      <w:r w:rsidRPr="001256EA">
        <w:rPr>
          <w:rFonts w:ascii="Times New Roman" w:hAnsi="Times New Roman" w:cs="Times New Roman"/>
          <w:sz w:val="20"/>
          <w:szCs w:val="20"/>
          <w:lang w:val="fr-FR"/>
        </w:rPr>
        <w:t xml:space="preserve"> normas da Lei da Morte </w:t>
      </w:r>
      <w:proofErr w:type="spellStart"/>
      <w:r w:rsidRPr="001256EA">
        <w:rPr>
          <w:rFonts w:ascii="Times New Roman" w:hAnsi="Times New Roman" w:cs="Times New Roman"/>
          <w:sz w:val="20"/>
          <w:szCs w:val="20"/>
          <w:lang w:val="fr-FR"/>
        </w:rPr>
        <w:t>Medicamente</w:t>
      </w:r>
      <w:proofErr w:type="spell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Assistida</w:t>
      </w:r>
      <w:proofErr w:type="spell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Comunicado</w:t>
      </w:r>
      <w:proofErr w:type="spellEnd"/>
      <w:r w:rsidRPr="001256EA">
        <w:rPr>
          <w:rFonts w:ascii="Times New Roman" w:hAnsi="Times New Roman" w:cs="Times New Roman"/>
          <w:sz w:val="20"/>
          <w:szCs w:val="20"/>
          <w:lang w:val="fr-FR"/>
        </w:rPr>
        <w:t xml:space="preserve">]. </w:t>
      </w:r>
      <w:r w:rsidRPr="001256EA">
        <w:rPr>
          <w:rFonts w:ascii="Times New Roman" w:hAnsi="Times New Roman" w:cs="Times New Roman"/>
          <w:sz w:val="20"/>
          <w:szCs w:val="20"/>
        </w:rPr>
        <w:t xml:space="preserve">Retrieved 08.22.2025, From: </w:t>
      </w:r>
      <w:hyperlink r:id="rId243" w:history="1">
        <w:r w:rsidRPr="001256EA">
          <w:rPr>
            <w:rStyle w:val="Hyperlink"/>
            <w:rFonts w:ascii="Times New Roman" w:hAnsi="Times New Roman" w:cs="Times New Roman"/>
            <w:sz w:val="20"/>
            <w:szCs w:val="20"/>
          </w:rPr>
          <w:t>https://www.tribunalconstitucional.pt/tc/imprensa0200-bd8632.html?utm</w:t>
        </w:r>
      </w:hyperlink>
    </w:p>
    <w:p w14:paraId="1F0E0BFC" w14:textId="36ABA906" w:rsidR="00E0464F" w:rsidRPr="001256EA" w:rsidRDefault="00E0464F" w:rsidP="001C255C">
      <w:pPr>
        <w:pStyle w:val="ListParagraph"/>
        <w:numPr>
          <w:ilvl w:val="0"/>
          <w:numId w:val="34"/>
        </w:numPr>
        <w:spacing w:line="240"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UDHR. (1948, December 10). Universal Declaration of Human Rights (UDHR). United Nations. Retrieved 07/23/2025, From: </w:t>
      </w:r>
      <w:hyperlink r:id="rId244" w:history="1">
        <w:r w:rsidR="009144D1" w:rsidRPr="001256EA">
          <w:rPr>
            <w:rStyle w:val="Hyperlink"/>
            <w:rFonts w:ascii="Times New Roman" w:hAnsi="Times New Roman" w:cs="Times New Roman"/>
            <w:sz w:val="20"/>
            <w:szCs w:val="20"/>
          </w:rPr>
          <w:t>https://www.un.org/en/about-us/uiversal-declaration-of-human-rights</w:t>
        </w:r>
      </w:hyperlink>
    </w:p>
    <w:p w14:paraId="470DD737" w14:textId="24605A40" w:rsidR="001C255C" w:rsidRPr="001256EA" w:rsidRDefault="00F32265" w:rsidP="00922395">
      <w:pPr>
        <w:spacing w:line="240" w:lineRule="auto"/>
        <w:jc w:val="both"/>
        <w:rPr>
          <w:rFonts w:ascii="Times New Roman" w:hAnsi="Times New Roman" w:cs="Times New Roman"/>
          <w:sz w:val="24"/>
          <w:szCs w:val="24"/>
        </w:rPr>
      </w:pPr>
      <w:r w:rsidRPr="001256EA">
        <w:rPr>
          <w:rFonts w:ascii="Times New Roman" w:hAnsi="Times New Roman" w:cs="Times New Roman"/>
          <w:sz w:val="24"/>
          <w:szCs w:val="24"/>
        </w:rPr>
        <w:t>National (Lithuanian)</w:t>
      </w:r>
    </w:p>
    <w:p w14:paraId="7D48D50A"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Constitution of the Republic of Lithuania. </w:t>
      </w:r>
      <w:proofErr w:type="spellStart"/>
      <w:r w:rsidRPr="001256EA">
        <w:rPr>
          <w:rFonts w:ascii="Times New Roman" w:hAnsi="Times New Roman" w:cs="Times New Roman"/>
          <w:sz w:val="20"/>
          <w:szCs w:val="20"/>
        </w:rPr>
        <w:t>Valstybės</w:t>
      </w:r>
      <w:proofErr w:type="spellEnd"/>
      <w:r w:rsidRPr="001256EA">
        <w:rPr>
          <w:rFonts w:ascii="Times New Roman" w:hAnsi="Times New Roman" w:cs="Times New Roman"/>
          <w:sz w:val="20"/>
          <w:szCs w:val="20"/>
        </w:rPr>
        <w:t xml:space="preserve"> Žinios, 1992, Nr. 33-1014. (Constitution of the Republic of Lithuania 1992). Retrieved 08.22.2025, From: </w:t>
      </w:r>
      <w:hyperlink r:id="rId245" w:tgtFrame="_new" w:history="1">
        <w:r w:rsidRPr="001256EA">
          <w:rPr>
            <w:rStyle w:val="Hyperlink"/>
            <w:rFonts w:ascii="Times New Roman" w:hAnsi="Times New Roman" w:cs="Times New Roman"/>
            <w:sz w:val="20"/>
            <w:szCs w:val="20"/>
          </w:rPr>
          <w:t>https://www.lrs.lt/home/Konstitucija/Konstitucija20220522.htm</w:t>
        </w:r>
      </w:hyperlink>
    </w:p>
    <w:p w14:paraId="210C3DDC"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Criminal Code of the Republic of Lithuania. VIII-1968 Law on the Approval and Entry into Force of the Criminal Code of the Republic of Lithuania. (2000). Retrieved 08.22.2025, From: </w:t>
      </w:r>
      <w:hyperlink r:id="rId246" w:tgtFrame="_new" w:history="1">
        <w:r w:rsidRPr="001256EA">
          <w:rPr>
            <w:rStyle w:val="Hyperlink"/>
            <w:rFonts w:ascii="Times New Roman" w:hAnsi="Times New Roman" w:cs="Times New Roman"/>
            <w:sz w:val="20"/>
            <w:szCs w:val="20"/>
          </w:rPr>
          <w:t>https://www.e-tar.lt/portal/lt/legalAct/TAR.2B866DFF7D43/asr</w:t>
        </w:r>
      </w:hyperlink>
    </w:p>
    <w:p w14:paraId="2ADE7639"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Euthanasia Bill, 2015-02-20, No. XIIP-2071(2). (2015, February 20). Retrieved 08.22.2025, From: </w:t>
      </w:r>
      <w:hyperlink r:id="rId247" w:tgtFrame="_new" w:history="1">
        <w:r w:rsidRPr="001256EA">
          <w:rPr>
            <w:rStyle w:val="Hyperlink"/>
            <w:rFonts w:ascii="Times New Roman" w:hAnsi="Times New Roman" w:cs="Times New Roman"/>
            <w:sz w:val="20"/>
            <w:szCs w:val="20"/>
          </w:rPr>
          <w:t>https://e-seimas.lrs.lt/portal/legalAct/lt/TAP/447e4060bb5011e4a939cd67303e5a1f?positionInSearchResults=0&amp;searchModelUUID=c9f16a4b-903e-48bd-a23d-c616e0e1b6da</w:t>
        </w:r>
      </w:hyperlink>
    </w:p>
    <w:p w14:paraId="3BB3976D"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XIIP-2071(2) </w:t>
      </w:r>
      <w:proofErr w:type="spellStart"/>
      <w:r w:rsidRPr="001256EA">
        <w:rPr>
          <w:rFonts w:ascii="Times New Roman" w:hAnsi="Times New Roman" w:cs="Times New Roman"/>
          <w:sz w:val="20"/>
          <w:szCs w:val="20"/>
        </w:rPr>
        <w:t>Eutanazijos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įstatymo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projekto</w:t>
      </w:r>
      <w:proofErr w:type="spellEnd"/>
      <w:r w:rsidRPr="001256EA">
        <w:rPr>
          <w:rFonts w:ascii="Times New Roman" w:hAnsi="Times New Roman" w:cs="Times New Roman"/>
          <w:sz w:val="20"/>
          <w:szCs w:val="20"/>
        </w:rPr>
        <w:t xml:space="preserve"> AIŠKINAMASIS RAŠTAS. (2015, February 20). Retrieved 08.22.2025, From: </w:t>
      </w:r>
      <w:hyperlink r:id="rId248" w:tgtFrame="_new" w:history="1">
        <w:r w:rsidRPr="001256EA">
          <w:rPr>
            <w:rStyle w:val="Hyperlink"/>
            <w:rFonts w:ascii="Times New Roman" w:hAnsi="Times New Roman" w:cs="Times New Roman"/>
            <w:sz w:val="20"/>
            <w:szCs w:val="20"/>
          </w:rPr>
          <w:t>https://e-seimas.lrs.lt/portal/legalAct/lt/TAK/883dd950bb5011e4a939cd67303e5a1f?jfwid=-txjh8zt0q</w:t>
        </w:r>
      </w:hyperlink>
    </w:p>
    <w:p w14:paraId="08F0D2F6"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V-14 </w:t>
      </w:r>
      <w:proofErr w:type="spellStart"/>
      <w:r w:rsidRPr="001256EA">
        <w:rPr>
          <w:rFonts w:ascii="Times New Roman" w:hAnsi="Times New Roman" w:cs="Times New Roman"/>
          <w:sz w:val="20"/>
          <w:szCs w:val="20"/>
        </w:rPr>
        <w:t>Dėl</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Stacionarinių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paliatyviosios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pagalbos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paslaugų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suaugusiesiems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vaikams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teikimo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reikalavimų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aprašo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Ambulatorinių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paliatyviosios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pagalbos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paslaugų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suaugusiesiems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vaikams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teikimo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reikalavimų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lastRenderedPageBreak/>
        <w:t>aprašo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Dienos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stacionaro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paliatyviosios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pagalbos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paslaugų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suaugusiesiems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vaikams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teikimo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reikalavimų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aprašo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ir</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Paliatyviosios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pagalbos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teikimo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pagrindų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mokymo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programos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reikalavimų</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aprašo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patvirtinimo</w:t>
      </w:r>
      <w:proofErr w:type="spellEnd"/>
      <w:r w:rsidRPr="001256EA">
        <w:rPr>
          <w:rFonts w:ascii="Times New Roman" w:hAnsi="Times New Roman" w:cs="Times New Roman"/>
          <w:sz w:val="20"/>
          <w:szCs w:val="20"/>
        </w:rPr>
        <w:t xml:space="preserve">. (2007, January 11). Retrieved 08.22.2025, From: </w:t>
      </w:r>
      <w:hyperlink r:id="rId249" w:tgtFrame="_new" w:history="1">
        <w:r w:rsidRPr="001256EA">
          <w:rPr>
            <w:rStyle w:val="Hyperlink"/>
            <w:rFonts w:ascii="Times New Roman" w:hAnsi="Times New Roman" w:cs="Times New Roman"/>
            <w:sz w:val="20"/>
            <w:szCs w:val="20"/>
          </w:rPr>
          <w:t>https://e-seimas.lrs.lt/portal/legalAct/lt/TAD/TAIS.291106/asr</w:t>
        </w:r>
      </w:hyperlink>
    </w:p>
    <w:p w14:paraId="21200833"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The Baltic Times. (1998, July 2). Vilniaus </w:t>
      </w:r>
      <w:proofErr w:type="spellStart"/>
      <w:r w:rsidRPr="001256EA">
        <w:rPr>
          <w:rFonts w:ascii="Times New Roman" w:hAnsi="Times New Roman" w:cs="Times New Roman"/>
          <w:sz w:val="20"/>
          <w:szCs w:val="20"/>
        </w:rPr>
        <w:t>miesto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apylinkės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prokuratūros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byla</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Valstybė</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prieš</w:t>
      </w:r>
      <w:proofErr w:type="spellEnd"/>
      <w:r w:rsidRPr="001256EA">
        <w:rPr>
          <w:rFonts w:ascii="Times New Roman" w:hAnsi="Times New Roman" w:cs="Times New Roman"/>
          <w:sz w:val="20"/>
          <w:szCs w:val="20"/>
        </w:rPr>
        <w:t xml:space="preserve"> </w:t>
      </w:r>
      <w:proofErr w:type="spellStart"/>
      <w:proofErr w:type="gramStart"/>
      <w:r w:rsidRPr="001256EA">
        <w:rPr>
          <w:rFonts w:ascii="Times New Roman" w:hAnsi="Times New Roman" w:cs="Times New Roman"/>
          <w:sz w:val="20"/>
          <w:szCs w:val="20"/>
        </w:rPr>
        <w:t>Ž.Slavinskienę</w:t>
      </w:r>
      <w:proofErr w:type="spellEnd"/>
      <w:proofErr w:type="gramEnd"/>
      <w:r w:rsidRPr="001256EA">
        <w:rPr>
          <w:rFonts w:ascii="Times New Roman" w:hAnsi="Times New Roman" w:cs="Times New Roman"/>
          <w:sz w:val="20"/>
          <w:szCs w:val="20"/>
        </w:rPr>
        <w:t xml:space="preserve"> [Vilnius City District Prosecutor’s Office case State v. Ž. </w:t>
      </w:r>
      <w:proofErr w:type="spellStart"/>
      <w:r w:rsidRPr="001256EA">
        <w:rPr>
          <w:rFonts w:ascii="Times New Roman" w:hAnsi="Times New Roman" w:cs="Times New Roman"/>
          <w:sz w:val="20"/>
          <w:szCs w:val="20"/>
        </w:rPr>
        <w:t>Slavinskienė</w:t>
      </w:r>
      <w:proofErr w:type="spellEnd"/>
      <w:r w:rsidRPr="001256EA">
        <w:rPr>
          <w:rFonts w:ascii="Times New Roman" w:hAnsi="Times New Roman" w:cs="Times New Roman"/>
          <w:sz w:val="20"/>
          <w:szCs w:val="20"/>
        </w:rPr>
        <w:t xml:space="preserve">]. Nr. 10-2-315-98. Retrieved 08.22.2025, From: </w:t>
      </w:r>
      <w:hyperlink r:id="rId250" w:tgtFrame="_new" w:history="1">
        <w:r w:rsidRPr="001256EA">
          <w:rPr>
            <w:rStyle w:val="Hyperlink"/>
            <w:rFonts w:ascii="Times New Roman" w:hAnsi="Times New Roman" w:cs="Times New Roman"/>
            <w:sz w:val="20"/>
            <w:szCs w:val="20"/>
          </w:rPr>
          <w:t>https://www.baltictimes.com/news/articles/4197/?utm</w:t>
        </w:r>
      </w:hyperlink>
    </w:p>
    <w:p w14:paraId="70FE42A0" w14:textId="54AD8DA6" w:rsidR="009144D1" w:rsidRPr="001256EA" w:rsidRDefault="009144D1" w:rsidP="001C255C">
      <w:pPr>
        <w:pStyle w:val="ListParagraph"/>
        <w:numPr>
          <w:ilvl w:val="0"/>
          <w:numId w:val="34"/>
        </w:numPr>
        <w:spacing w:line="276" w:lineRule="auto"/>
        <w:ind w:left="360"/>
        <w:jc w:val="both"/>
        <w:rPr>
          <w:rFonts w:ascii="Times New Roman" w:hAnsi="Times New Roman" w:cs="Times New Roman"/>
          <w:sz w:val="20"/>
          <w:szCs w:val="20"/>
        </w:rPr>
      </w:pPr>
      <w:r w:rsidRPr="001256EA">
        <w:rPr>
          <w:rFonts w:ascii="Times New Roman" w:hAnsi="Times New Roman" w:cs="Times New Roman"/>
          <w:sz w:val="20"/>
          <w:szCs w:val="20"/>
        </w:rPr>
        <w:t xml:space="preserve">The Constitutional Court of the Republic of Lithuania, Case No. 2/98. (1998). </w:t>
      </w:r>
      <w:proofErr w:type="spellStart"/>
      <w:r w:rsidRPr="001256EA">
        <w:rPr>
          <w:rFonts w:ascii="Times New Roman" w:hAnsi="Times New Roman" w:cs="Times New Roman"/>
          <w:sz w:val="20"/>
          <w:szCs w:val="20"/>
        </w:rPr>
        <w:t>Paieška</w:t>
      </w:r>
      <w:proofErr w:type="spellEnd"/>
      <w:r w:rsidRPr="001256EA">
        <w:rPr>
          <w:rFonts w:ascii="Times New Roman" w:hAnsi="Times New Roman" w:cs="Times New Roman"/>
          <w:sz w:val="20"/>
          <w:szCs w:val="20"/>
        </w:rPr>
        <w:t xml:space="preserve"> - Lietuvos </w:t>
      </w:r>
      <w:proofErr w:type="spellStart"/>
      <w:r w:rsidRPr="001256EA">
        <w:rPr>
          <w:rFonts w:ascii="Times New Roman" w:hAnsi="Times New Roman" w:cs="Times New Roman"/>
          <w:sz w:val="20"/>
          <w:szCs w:val="20"/>
        </w:rPr>
        <w:t>Respublikos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Konstitucinis</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Teismas</w:t>
      </w:r>
      <w:proofErr w:type="spellEnd"/>
      <w:r w:rsidRPr="001256EA">
        <w:rPr>
          <w:rFonts w:ascii="Times New Roman" w:hAnsi="Times New Roman" w:cs="Times New Roman"/>
          <w:sz w:val="20"/>
          <w:szCs w:val="20"/>
        </w:rPr>
        <w:t xml:space="preserve">. Retrieved 08.12.2025, From: </w:t>
      </w:r>
      <w:hyperlink r:id="rId251" w:tgtFrame="_new" w:history="1">
        <w:r w:rsidRPr="001256EA">
          <w:rPr>
            <w:rStyle w:val="Hyperlink"/>
            <w:rFonts w:ascii="Times New Roman" w:hAnsi="Times New Roman" w:cs="Times New Roman"/>
            <w:sz w:val="20"/>
            <w:szCs w:val="20"/>
          </w:rPr>
          <w:t>https://lrkt.lt/lt/teismo-aktai/paieska/135/ta385/content</w:t>
        </w:r>
      </w:hyperlink>
    </w:p>
    <w:p w14:paraId="24A51B62" w14:textId="26E5C798" w:rsidR="00F32265" w:rsidRPr="001256EA" w:rsidRDefault="00F32265" w:rsidP="008E7E07">
      <w:pPr>
        <w:spacing w:line="276" w:lineRule="auto"/>
        <w:jc w:val="center"/>
        <w:rPr>
          <w:rFonts w:ascii="Times New Roman" w:hAnsi="Times New Roman" w:cs="Times New Roman"/>
          <w:b/>
          <w:sz w:val="24"/>
          <w:szCs w:val="24"/>
        </w:rPr>
      </w:pPr>
      <w:r w:rsidRPr="001256EA">
        <w:rPr>
          <w:rFonts w:ascii="Times New Roman" w:hAnsi="Times New Roman" w:cs="Times New Roman"/>
          <w:b/>
          <w:sz w:val="24"/>
          <w:szCs w:val="24"/>
        </w:rPr>
        <w:t>Other sources</w:t>
      </w:r>
    </w:p>
    <w:p w14:paraId="737043AD" w14:textId="77777777" w:rsidR="009144D1"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Branch, L. S. (2025, April 8). Consolidated federal laws of Canada, Criminal Code. Retrieved 08.22.2025, From: </w:t>
      </w:r>
      <w:hyperlink r:id="rId252" w:tgtFrame="_new" w:history="1">
        <w:r w:rsidRPr="001256EA">
          <w:rPr>
            <w:rStyle w:val="Hyperlink"/>
            <w:rFonts w:ascii="Times New Roman" w:hAnsi="Times New Roman" w:cs="Times New Roman"/>
            <w:bCs/>
            <w:sz w:val="20"/>
            <w:szCs w:val="20"/>
          </w:rPr>
          <w:t>https://laws-lois.justice.gc.ca/eng/acts/c-46/section-241.2.html?utm</w:t>
        </w:r>
      </w:hyperlink>
    </w:p>
    <w:p w14:paraId="20F2DF04" w14:textId="77777777" w:rsidR="009144D1"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Britannica (2025). MAID: Medical Aid in Dying. Should medical aid in dying be legal? (n.d.). Retrieved 08.22.2025, From: </w:t>
      </w:r>
      <w:hyperlink r:id="rId253" w:tgtFrame="_new" w:history="1">
        <w:r w:rsidRPr="001256EA">
          <w:rPr>
            <w:rStyle w:val="Hyperlink"/>
            <w:rFonts w:ascii="Times New Roman" w:hAnsi="Times New Roman" w:cs="Times New Roman"/>
            <w:bCs/>
            <w:sz w:val="20"/>
            <w:szCs w:val="20"/>
          </w:rPr>
          <w:t>https://www.britannica.com/procon/MAID-medical-aid-in-dying-debate</w:t>
        </w:r>
      </w:hyperlink>
    </w:p>
    <w:p w14:paraId="69290707" w14:textId="77777777" w:rsidR="009144D1"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lang w:val="de-DE"/>
        </w:rPr>
      </w:pPr>
      <w:r w:rsidRPr="001256EA">
        <w:rPr>
          <w:rFonts w:ascii="Times New Roman" w:hAnsi="Times New Roman" w:cs="Times New Roman"/>
          <w:bCs/>
          <w:sz w:val="20"/>
          <w:szCs w:val="20"/>
          <w:lang w:val="de-DE"/>
        </w:rPr>
        <w:t xml:space="preserve">Bundesgesetz, </w:t>
      </w:r>
      <w:proofErr w:type="spellStart"/>
      <w:r w:rsidRPr="001256EA">
        <w:rPr>
          <w:rFonts w:ascii="Times New Roman" w:hAnsi="Times New Roman" w:cs="Times New Roman"/>
          <w:bCs/>
          <w:sz w:val="20"/>
          <w:szCs w:val="20"/>
          <w:lang w:val="de-DE"/>
        </w:rPr>
        <w:t>Mit</w:t>
      </w:r>
      <w:proofErr w:type="spellEnd"/>
      <w:r w:rsidRPr="001256EA">
        <w:rPr>
          <w:rFonts w:ascii="Times New Roman" w:hAnsi="Times New Roman" w:cs="Times New Roman"/>
          <w:bCs/>
          <w:sz w:val="20"/>
          <w:szCs w:val="20"/>
          <w:lang w:val="de-DE"/>
        </w:rPr>
        <w:t xml:space="preserve"> Dem Ein Sterbeverfügungsgesetz Erlassen Und Das Suchtmittelgesetz Sowie Das Strafgesetzbuch Geändert </w:t>
      </w:r>
      <w:proofErr w:type="spellStart"/>
      <w:r w:rsidRPr="001256EA">
        <w:rPr>
          <w:rFonts w:ascii="Times New Roman" w:hAnsi="Times New Roman" w:cs="Times New Roman"/>
          <w:bCs/>
          <w:sz w:val="20"/>
          <w:szCs w:val="20"/>
          <w:lang w:val="de-DE"/>
        </w:rPr>
        <w:t>Werden</w:t>
      </w:r>
      <w:proofErr w:type="spellEnd"/>
      <w:r w:rsidRPr="001256EA">
        <w:rPr>
          <w:rFonts w:ascii="Times New Roman" w:hAnsi="Times New Roman" w:cs="Times New Roman"/>
          <w:bCs/>
          <w:sz w:val="20"/>
          <w:szCs w:val="20"/>
          <w:lang w:val="de-DE"/>
        </w:rPr>
        <w:t xml:space="preserve"> (Ministerialentwurf). Parlament Der Republik Österreich. (2021). (2021). </w:t>
      </w:r>
      <w:proofErr w:type="spellStart"/>
      <w:r w:rsidRPr="001256EA">
        <w:rPr>
          <w:rFonts w:ascii="Times New Roman" w:hAnsi="Times New Roman" w:cs="Times New Roman"/>
          <w:bCs/>
          <w:sz w:val="20"/>
          <w:szCs w:val="20"/>
          <w:lang w:val="de-DE"/>
        </w:rPr>
        <w:t>Retrieved</w:t>
      </w:r>
      <w:proofErr w:type="spellEnd"/>
      <w:r w:rsidRPr="001256EA">
        <w:rPr>
          <w:rFonts w:ascii="Times New Roman" w:hAnsi="Times New Roman" w:cs="Times New Roman"/>
          <w:bCs/>
          <w:sz w:val="20"/>
          <w:szCs w:val="20"/>
          <w:lang w:val="de-DE"/>
        </w:rPr>
        <w:t xml:space="preserve"> 08.22.2025, From: </w:t>
      </w:r>
      <w:hyperlink r:id="rId254" w:tgtFrame="_new" w:history="1">
        <w:r w:rsidRPr="001256EA">
          <w:rPr>
            <w:rStyle w:val="Hyperlink"/>
            <w:rFonts w:ascii="Times New Roman" w:hAnsi="Times New Roman" w:cs="Times New Roman"/>
            <w:bCs/>
            <w:sz w:val="20"/>
            <w:szCs w:val="20"/>
            <w:lang w:val="de-DE"/>
          </w:rPr>
          <w:t>https://www.parlament.gv.at/dokument/XXVII/ME/150/imfname_1006947.pdf</w:t>
        </w:r>
      </w:hyperlink>
    </w:p>
    <w:p w14:paraId="0BD37D14" w14:textId="77777777" w:rsidR="009144D1"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de-DE"/>
        </w:rPr>
        <w:t xml:space="preserve">Bundesministerium für Justiz. (S. F.). Sterbehilfe [en </w:t>
      </w:r>
      <w:proofErr w:type="spellStart"/>
      <w:r w:rsidRPr="001256EA">
        <w:rPr>
          <w:rFonts w:ascii="Times New Roman" w:hAnsi="Times New Roman" w:cs="Times New Roman"/>
          <w:bCs/>
          <w:sz w:val="20"/>
          <w:szCs w:val="20"/>
          <w:lang w:val="de-DE"/>
        </w:rPr>
        <w:t>leicht¬er</w:t>
      </w:r>
      <w:proofErr w:type="spellEnd"/>
      <w:r w:rsidRPr="001256EA">
        <w:rPr>
          <w:rFonts w:ascii="Times New Roman" w:hAnsi="Times New Roman" w:cs="Times New Roman"/>
          <w:bCs/>
          <w:sz w:val="20"/>
          <w:szCs w:val="20"/>
          <w:lang w:val="de-DE"/>
        </w:rPr>
        <w:t xml:space="preserve"> Sprache]. </w:t>
      </w:r>
      <w:r w:rsidRPr="001256EA">
        <w:rPr>
          <w:rFonts w:ascii="Times New Roman" w:hAnsi="Times New Roman" w:cs="Times New Roman"/>
          <w:bCs/>
          <w:sz w:val="20"/>
          <w:szCs w:val="20"/>
        </w:rPr>
        <w:t xml:space="preserve">(2020, December 11). Retrieved 08.22.2025, From: </w:t>
      </w:r>
      <w:hyperlink r:id="rId255" w:tgtFrame="_new" w:history="1">
        <w:r w:rsidRPr="001256EA">
          <w:rPr>
            <w:rStyle w:val="Hyperlink"/>
            <w:rFonts w:ascii="Times New Roman" w:hAnsi="Times New Roman" w:cs="Times New Roman"/>
            <w:bCs/>
            <w:sz w:val="20"/>
            <w:szCs w:val="20"/>
          </w:rPr>
          <w:t>https://www.bmj.gv.at/service/Leichter-Lesen/Sterbehilfe.html?utm</w:t>
        </w:r>
      </w:hyperlink>
    </w:p>
    <w:p w14:paraId="0E3D8743" w14:textId="77777777" w:rsidR="009144D1"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Canada, H. (2024, December 11). Fifth Annual Report on Medical Assistance in Dying in Canada, 2023 [Report on plans and priorities]. Retrieved 08.22.2025, From: </w:t>
      </w:r>
      <w:hyperlink r:id="rId256" w:tgtFrame="_new" w:history="1">
        <w:r w:rsidRPr="001256EA">
          <w:rPr>
            <w:rStyle w:val="Hyperlink"/>
            <w:rFonts w:ascii="Times New Roman" w:hAnsi="Times New Roman" w:cs="Times New Roman"/>
            <w:bCs/>
            <w:sz w:val="20"/>
            <w:szCs w:val="20"/>
          </w:rPr>
          <w:t>https://www.canada.ca/en/health-canada/services/publications/health-system-services/annual-report-medical-assistance-dying-2023.html?utm</w:t>
        </w:r>
      </w:hyperlink>
    </w:p>
    <w:p w14:paraId="35FDF7B0" w14:textId="08BE1034" w:rsidR="001C255C" w:rsidRPr="001256EA" w:rsidRDefault="009144D1" w:rsidP="00EF7B45">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Canada to delay assisted death solely on mental illness until 2027. (2024, February 1). Reuters. Retrieved 08.22.2025, From: </w:t>
      </w:r>
      <w:hyperlink r:id="rId257" w:tgtFrame="_new" w:history="1">
        <w:r w:rsidRPr="001256EA">
          <w:rPr>
            <w:rStyle w:val="Hyperlink"/>
            <w:rFonts w:ascii="Times New Roman" w:hAnsi="Times New Roman" w:cs="Times New Roman"/>
            <w:bCs/>
            <w:sz w:val="20"/>
            <w:szCs w:val="20"/>
          </w:rPr>
          <w:t>https://www.reuters.com/world/americas/canada-delay-assisted-death-solely-mental-illness-until-2027-2024-02-01/?utm</w:t>
        </w:r>
      </w:hyperlink>
    </w:p>
    <w:p w14:paraId="78EF573C"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Criminal Code of the Kingdom of the Netherlands (</w:t>
      </w:r>
      <w:proofErr w:type="spellStart"/>
      <w:r w:rsidRPr="001256EA">
        <w:rPr>
          <w:rFonts w:ascii="Times New Roman" w:hAnsi="Times New Roman" w:cs="Times New Roman"/>
          <w:bCs/>
          <w:sz w:val="20"/>
          <w:szCs w:val="20"/>
        </w:rPr>
        <w:t>Wetboek</w:t>
      </w:r>
      <w:proofErr w:type="spellEnd"/>
      <w:r w:rsidRPr="001256EA">
        <w:rPr>
          <w:rFonts w:ascii="Times New Roman" w:hAnsi="Times New Roman" w:cs="Times New Roman"/>
          <w:bCs/>
          <w:sz w:val="20"/>
          <w:szCs w:val="20"/>
        </w:rPr>
        <w:t xml:space="preserve"> van </w:t>
      </w:r>
      <w:proofErr w:type="spellStart"/>
      <w:r w:rsidRPr="001256EA">
        <w:rPr>
          <w:rFonts w:ascii="Times New Roman" w:hAnsi="Times New Roman" w:cs="Times New Roman"/>
          <w:bCs/>
          <w:sz w:val="20"/>
          <w:szCs w:val="20"/>
        </w:rPr>
        <w:t>Strafrecht</w:t>
      </w:r>
      <w:proofErr w:type="spellEnd"/>
      <w:r w:rsidRPr="001256EA">
        <w:rPr>
          <w:rFonts w:ascii="Times New Roman" w:hAnsi="Times New Roman" w:cs="Times New Roman"/>
          <w:bCs/>
          <w:sz w:val="20"/>
          <w:szCs w:val="20"/>
        </w:rPr>
        <w:t xml:space="preserve">) (as amended up to 2012). </w:t>
      </w:r>
      <w:proofErr w:type="spellStart"/>
      <w:r w:rsidRPr="001256EA">
        <w:rPr>
          <w:rFonts w:ascii="Times New Roman" w:hAnsi="Times New Roman" w:cs="Times New Roman"/>
          <w:bCs/>
          <w:sz w:val="20"/>
          <w:szCs w:val="20"/>
        </w:rPr>
        <w:t>Legislationline</w:t>
      </w:r>
      <w:proofErr w:type="spellEnd"/>
      <w:r w:rsidRPr="001256EA">
        <w:rPr>
          <w:rFonts w:ascii="Times New Roman" w:hAnsi="Times New Roman" w:cs="Times New Roman"/>
          <w:bCs/>
          <w:sz w:val="20"/>
          <w:szCs w:val="20"/>
        </w:rPr>
        <w:t xml:space="preserve">. (2012). Retrieved 08.22.2025, From: </w:t>
      </w:r>
      <w:hyperlink r:id="rId258" w:tgtFrame="_new" w:history="1">
        <w:r w:rsidRPr="001256EA">
          <w:rPr>
            <w:rStyle w:val="Hyperlink"/>
            <w:rFonts w:ascii="Times New Roman" w:hAnsi="Times New Roman" w:cs="Times New Roman"/>
            <w:bCs/>
            <w:sz w:val="20"/>
            <w:szCs w:val="20"/>
          </w:rPr>
          <w:t>https://legislationline.org/Netherlands</w:t>
        </w:r>
      </w:hyperlink>
    </w:p>
    <w:p w14:paraId="48880DB8"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color w:val="000000" w:themeColor="text1"/>
          <w:sz w:val="20"/>
          <w:szCs w:val="20"/>
        </w:rPr>
      </w:pPr>
      <w:r w:rsidRPr="001256EA">
        <w:rPr>
          <w:rFonts w:ascii="Times New Roman" w:hAnsi="Times New Roman" w:cs="Times New Roman"/>
          <w:bCs/>
          <w:color w:val="000000" w:themeColor="text1"/>
          <w:sz w:val="20"/>
          <w:szCs w:val="20"/>
        </w:rPr>
        <w:t xml:space="preserve">CRPD. (2006, December 13). Convention on the Rights of Persons with Disabilities (CRPD) | Division for Inclusive Social Development (DISD). Retrieved 07/23/2025, From: </w:t>
      </w:r>
      <w:hyperlink r:id="rId259" w:tgtFrame="_new" w:history="1">
        <w:r w:rsidRPr="001256EA">
          <w:rPr>
            <w:rStyle w:val="Hyperlink"/>
            <w:rFonts w:ascii="Times New Roman" w:hAnsi="Times New Roman" w:cs="Times New Roman"/>
            <w:bCs/>
            <w:color w:val="000000" w:themeColor="text1"/>
            <w:sz w:val="20"/>
            <w:szCs w:val="20"/>
          </w:rPr>
          <w:t>https://social.desa.un.org/issues/disability/crpd/convention-on-the-rights-of-persons-with-disabilities-crpd</w:t>
        </w:r>
      </w:hyperlink>
    </w:p>
    <w:p w14:paraId="56E13115"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Dutch law on Termination of life on request and assisted suicide (2002). World federation right to die societies. (n.d.). Retrieved 08.22.2025, From: </w:t>
      </w:r>
      <w:hyperlink r:id="rId260" w:tgtFrame="_new" w:history="1">
        <w:r w:rsidRPr="001256EA">
          <w:rPr>
            <w:rStyle w:val="Hyperlink"/>
            <w:rFonts w:ascii="Times New Roman" w:hAnsi="Times New Roman" w:cs="Times New Roman"/>
            <w:bCs/>
            <w:sz w:val="20"/>
            <w:szCs w:val="20"/>
          </w:rPr>
          <w:t>https://wfrtds.org/dutch-law-on-termination-of-life-on-request-and-assisted-suicide-complete-text/?utm</w:t>
        </w:r>
      </w:hyperlink>
    </w:p>
    <w:p w14:paraId="3BAF681C"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Ecuador: Comprehensive Organic Criminal Code (2014). </w:t>
      </w:r>
      <w:proofErr w:type="spellStart"/>
      <w:r w:rsidRPr="001256EA">
        <w:rPr>
          <w:rFonts w:ascii="Times New Roman" w:hAnsi="Times New Roman" w:cs="Times New Roman"/>
          <w:bCs/>
          <w:sz w:val="20"/>
          <w:szCs w:val="20"/>
        </w:rPr>
        <w:t>Refworld</w:t>
      </w:r>
      <w:proofErr w:type="spellEnd"/>
      <w:r w:rsidRPr="001256EA">
        <w:rPr>
          <w:rFonts w:ascii="Times New Roman" w:hAnsi="Times New Roman" w:cs="Times New Roman"/>
          <w:bCs/>
          <w:sz w:val="20"/>
          <w:szCs w:val="20"/>
        </w:rPr>
        <w:t xml:space="preserve">. Global law and policy database. (n.d.). Retrieved 08.22.2025, From: </w:t>
      </w:r>
      <w:hyperlink r:id="rId261" w:tgtFrame="_new" w:history="1">
        <w:r w:rsidRPr="001256EA">
          <w:rPr>
            <w:rStyle w:val="Hyperlink"/>
            <w:rFonts w:ascii="Times New Roman" w:hAnsi="Times New Roman" w:cs="Times New Roman"/>
            <w:bCs/>
            <w:sz w:val="20"/>
            <w:szCs w:val="20"/>
          </w:rPr>
          <w:t>https://www.refworld.org/legal/legislation/natlegbod/2014/es/104133?utm</w:t>
        </w:r>
      </w:hyperlink>
    </w:p>
    <w:p w14:paraId="3ABDBA42"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Federal Commission for the Control and Evaluation of Euthanasia (2022). Federal public service. Health, food chain safety and environment. (2022, February 9). </w:t>
      </w:r>
      <w:proofErr w:type="spellStart"/>
      <w:r w:rsidRPr="001256EA">
        <w:rPr>
          <w:rFonts w:ascii="Times New Roman" w:hAnsi="Times New Roman" w:cs="Times New Roman"/>
          <w:bCs/>
          <w:sz w:val="20"/>
          <w:szCs w:val="20"/>
        </w:rPr>
        <w:t>Volksgezondheid</w:t>
      </w:r>
      <w:proofErr w:type="spellEnd"/>
      <w:r w:rsidRPr="001256EA">
        <w:rPr>
          <w:rFonts w:ascii="Times New Roman" w:hAnsi="Times New Roman" w:cs="Times New Roman"/>
          <w:bCs/>
          <w:sz w:val="20"/>
          <w:szCs w:val="20"/>
        </w:rPr>
        <w:t xml:space="preserve">. Retrieved 08.22.2025, From: </w:t>
      </w:r>
      <w:hyperlink r:id="rId262" w:tgtFrame="_new" w:history="1">
        <w:r w:rsidRPr="001256EA">
          <w:rPr>
            <w:rStyle w:val="Hyperlink"/>
            <w:rFonts w:ascii="Times New Roman" w:hAnsi="Times New Roman" w:cs="Times New Roman"/>
            <w:bCs/>
            <w:sz w:val="20"/>
            <w:szCs w:val="20"/>
          </w:rPr>
          <w:t>https://consultativebodies.health.belgium.be/en/advisory-and-consultative-bodies/federal-commission-control-and-evaluation-euthanasia?utm</w:t>
        </w:r>
      </w:hyperlink>
    </w:p>
    <w:p w14:paraId="72D22787"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French National Ethics Advisory Committee (Director). </w:t>
      </w:r>
      <w:r w:rsidRPr="001256EA">
        <w:rPr>
          <w:rFonts w:ascii="Times New Roman" w:hAnsi="Times New Roman" w:cs="Times New Roman"/>
          <w:bCs/>
          <w:sz w:val="20"/>
          <w:szCs w:val="20"/>
          <w:lang w:val="fr-FR"/>
        </w:rPr>
        <w:t xml:space="preserve">(2022). Avis 139 Questions éthiques relatives aux situations de fin de </w:t>
      </w:r>
      <w:proofErr w:type="gramStart"/>
      <w:r w:rsidRPr="001256EA">
        <w:rPr>
          <w:rFonts w:ascii="Times New Roman" w:hAnsi="Times New Roman" w:cs="Times New Roman"/>
          <w:bCs/>
          <w:sz w:val="20"/>
          <w:szCs w:val="20"/>
          <w:lang w:val="fr-FR"/>
        </w:rPr>
        <w:t>vie:</w:t>
      </w:r>
      <w:proofErr w:type="gramEnd"/>
      <w:r w:rsidRPr="001256EA">
        <w:rPr>
          <w:rFonts w:ascii="Times New Roman" w:hAnsi="Times New Roman" w:cs="Times New Roman"/>
          <w:bCs/>
          <w:sz w:val="20"/>
          <w:szCs w:val="20"/>
          <w:lang w:val="fr-FR"/>
        </w:rPr>
        <w:t xml:space="preserve"> Autonomie et solidarité | Comité Consultatif National d’Ethique [Broadcast]. </w:t>
      </w:r>
      <w:proofErr w:type="spellStart"/>
      <w:r w:rsidRPr="001256EA">
        <w:rPr>
          <w:rFonts w:ascii="Times New Roman" w:hAnsi="Times New Roman" w:cs="Times New Roman"/>
          <w:bCs/>
          <w:sz w:val="20"/>
          <w:szCs w:val="20"/>
          <w:lang w:val="de-DE"/>
        </w:rPr>
        <w:t>Retrieved</w:t>
      </w:r>
      <w:proofErr w:type="spellEnd"/>
      <w:r w:rsidRPr="001256EA">
        <w:rPr>
          <w:rFonts w:ascii="Times New Roman" w:hAnsi="Times New Roman" w:cs="Times New Roman"/>
          <w:bCs/>
          <w:sz w:val="20"/>
          <w:szCs w:val="20"/>
          <w:lang w:val="de-DE"/>
        </w:rPr>
        <w:t xml:space="preserve"> 08.12.2025, From: </w:t>
      </w:r>
      <w:hyperlink r:id="rId263" w:tgtFrame="_new" w:history="1">
        <w:r w:rsidRPr="001256EA">
          <w:rPr>
            <w:rStyle w:val="Hyperlink"/>
            <w:rFonts w:ascii="Times New Roman" w:hAnsi="Times New Roman" w:cs="Times New Roman"/>
            <w:bCs/>
            <w:sz w:val="20"/>
            <w:szCs w:val="20"/>
            <w:lang w:val="de-DE"/>
          </w:rPr>
          <w:t>https://www.ccne-ethique.fr/fr/publications/avis-139-questions-ethiques-relatives-aux-situations-de-fin-de-vie-autonomie-et</w:t>
        </w:r>
      </w:hyperlink>
      <w:r w:rsidRPr="001256EA">
        <w:rPr>
          <w:rFonts w:ascii="Times New Roman" w:hAnsi="Times New Roman" w:cs="Times New Roman"/>
          <w:bCs/>
          <w:sz w:val="20"/>
          <w:szCs w:val="20"/>
          <w:lang w:val="de-DE"/>
        </w:rPr>
        <w:br/>
        <w:t xml:space="preserve">Gesetzliche Regelung der Suizidhilfe in der Schweiz: Ein kurzer Überblick. </w:t>
      </w:r>
      <w:r w:rsidRPr="001256EA">
        <w:rPr>
          <w:rFonts w:ascii="Times New Roman" w:hAnsi="Times New Roman" w:cs="Times New Roman"/>
          <w:bCs/>
          <w:sz w:val="20"/>
          <w:szCs w:val="20"/>
        </w:rPr>
        <w:t xml:space="preserve">(2025, January 31). Retrieved 08.22.2025, From: </w:t>
      </w:r>
      <w:hyperlink r:id="rId264" w:tgtFrame="_new" w:history="1">
        <w:r w:rsidRPr="001256EA">
          <w:rPr>
            <w:rStyle w:val="Hyperlink"/>
            <w:rFonts w:ascii="Times New Roman" w:hAnsi="Times New Roman" w:cs="Times New Roman"/>
            <w:bCs/>
            <w:sz w:val="20"/>
            <w:szCs w:val="20"/>
          </w:rPr>
          <w:t>https://www.exit.ch/artikel/gesetzliche-regelung-der-suizidhilfe-in-der-schweiz-ein-kurzer-ueberblick/?utm</w:t>
        </w:r>
      </w:hyperlink>
    </w:p>
    <w:p w14:paraId="04E305A2"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es-ES"/>
        </w:rPr>
        <w:t xml:space="preserve">Gómez, R. (2024, June 11). Rocío Gómez (2024). </w:t>
      </w:r>
      <w:r w:rsidRPr="001256EA">
        <w:rPr>
          <w:rFonts w:ascii="Times New Roman" w:hAnsi="Times New Roman" w:cs="Times New Roman"/>
          <w:bCs/>
          <w:sz w:val="20"/>
          <w:szCs w:val="20"/>
        </w:rPr>
        <w:t xml:space="preserve">Ecuadorian Constitutional Court Legalizes Euthanasia. Americans united for life. Americans United for Life. Retrieved 08.22.2025, From: </w:t>
      </w:r>
      <w:hyperlink r:id="rId265" w:tgtFrame="_new" w:history="1">
        <w:r w:rsidRPr="001256EA">
          <w:rPr>
            <w:rStyle w:val="Hyperlink"/>
            <w:rFonts w:ascii="Times New Roman" w:hAnsi="Times New Roman" w:cs="Times New Roman"/>
            <w:bCs/>
            <w:sz w:val="20"/>
            <w:szCs w:val="20"/>
          </w:rPr>
          <w:t>https://aul.org/2024/06/11/ecuadorian-constitutional-court-legalizes-euthanasia/?utm</w:t>
        </w:r>
      </w:hyperlink>
    </w:p>
    <w:p w14:paraId="415D3DF8"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lastRenderedPageBreak/>
        <w:t xml:space="preserve">Government of Canada, D. of J. (2021, March 17). Canada’s medical assistance in dying (MAID) law (2024). Government of Canada. Retrieved 08.22.2025, From: </w:t>
      </w:r>
      <w:hyperlink r:id="rId266" w:tgtFrame="_new" w:history="1">
        <w:r w:rsidRPr="001256EA">
          <w:rPr>
            <w:rStyle w:val="Hyperlink"/>
            <w:rFonts w:ascii="Times New Roman" w:hAnsi="Times New Roman" w:cs="Times New Roman"/>
            <w:bCs/>
            <w:sz w:val="20"/>
            <w:szCs w:val="20"/>
          </w:rPr>
          <w:t>https://www.justice.gc.ca/eng/cj-jp/ad-am/bk-di.html?utm</w:t>
        </w:r>
      </w:hyperlink>
    </w:p>
    <w:p w14:paraId="758B532D"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BB574A">
        <w:rPr>
          <w:rFonts w:ascii="Times New Roman" w:hAnsi="Times New Roman" w:cs="Times New Roman"/>
          <w:bCs/>
          <w:sz w:val="20"/>
          <w:szCs w:val="20"/>
        </w:rPr>
        <w:t xml:space="preserve">Healthcare Denmark. (S. F.). Digital infrastructure. En </w:t>
      </w:r>
      <w:proofErr w:type="spellStart"/>
      <w:r w:rsidRPr="00BB574A">
        <w:rPr>
          <w:rFonts w:ascii="Times New Roman" w:hAnsi="Times New Roman" w:cs="Times New Roman"/>
          <w:bCs/>
          <w:sz w:val="20"/>
          <w:szCs w:val="20"/>
        </w:rPr>
        <w:t>Digitalisation</w:t>
      </w:r>
      <w:proofErr w:type="spellEnd"/>
      <w:r w:rsidRPr="00BB574A">
        <w:rPr>
          <w:rFonts w:ascii="Times New Roman" w:hAnsi="Times New Roman" w:cs="Times New Roman"/>
          <w:bCs/>
          <w:sz w:val="20"/>
          <w:szCs w:val="20"/>
        </w:rPr>
        <w:t xml:space="preserve">. </w:t>
      </w:r>
      <w:r w:rsidRPr="001256EA">
        <w:rPr>
          <w:rFonts w:ascii="Times New Roman" w:hAnsi="Times New Roman" w:cs="Times New Roman"/>
          <w:bCs/>
          <w:sz w:val="20"/>
          <w:szCs w:val="20"/>
        </w:rPr>
        <w:t xml:space="preserve">(n.d.). Healthcare Denmark. Retrieved 08.22.2025, From: </w:t>
      </w:r>
      <w:hyperlink r:id="rId267" w:tgtFrame="_new" w:history="1">
        <w:r w:rsidRPr="001256EA">
          <w:rPr>
            <w:rStyle w:val="Hyperlink"/>
            <w:rFonts w:ascii="Times New Roman" w:hAnsi="Times New Roman" w:cs="Times New Roman"/>
            <w:bCs/>
            <w:sz w:val="20"/>
            <w:szCs w:val="20"/>
          </w:rPr>
          <w:t>https://healthcaredenmark.dk/national-strongholds/digitalisation/digital-infrastructure/</w:t>
        </w:r>
      </w:hyperlink>
    </w:p>
    <w:p w14:paraId="29B986A2"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proofErr w:type="spellStart"/>
      <w:r w:rsidRPr="001256EA">
        <w:rPr>
          <w:rFonts w:ascii="Times New Roman" w:hAnsi="Times New Roman" w:cs="Times New Roman"/>
          <w:bCs/>
          <w:sz w:val="20"/>
          <w:szCs w:val="20"/>
          <w:lang w:val="en-GB"/>
        </w:rPr>
        <w:t>Koninkrijksrelaties</w:t>
      </w:r>
      <w:proofErr w:type="spellEnd"/>
      <w:r w:rsidRPr="001256EA">
        <w:rPr>
          <w:rFonts w:ascii="Times New Roman" w:hAnsi="Times New Roman" w:cs="Times New Roman"/>
          <w:bCs/>
          <w:sz w:val="20"/>
          <w:szCs w:val="20"/>
          <w:lang w:val="en-GB"/>
        </w:rPr>
        <w:t xml:space="preserve">, M. van B. Z. </w:t>
      </w:r>
      <w:proofErr w:type="spellStart"/>
      <w:r w:rsidRPr="001256EA">
        <w:rPr>
          <w:rFonts w:ascii="Times New Roman" w:hAnsi="Times New Roman" w:cs="Times New Roman"/>
          <w:bCs/>
          <w:sz w:val="20"/>
          <w:szCs w:val="20"/>
          <w:lang w:val="en-GB"/>
        </w:rPr>
        <w:t>en</w:t>
      </w:r>
      <w:proofErr w:type="spellEnd"/>
      <w:r w:rsidRPr="001256EA">
        <w:rPr>
          <w:rFonts w:ascii="Times New Roman" w:hAnsi="Times New Roman" w:cs="Times New Roman"/>
          <w:bCs/>
          <w:sz w:val="20"/>
          <w:szCs w:val="20"/>
          <w:lang w:val="en-GB"/>
        </w:rPr>
        <w:t xml:space="preserve">. </w:t>
      </w:r>
      <w:r w:rsidRPr="001256EA">
        <w:rPr>
          <w:rFonts w:ascii="Times New Roman" w:hAnsi="Times New Roman" w:cs="Times New Roman"/>
          <w:bCs/>
          <w:sz w:val="20"/>
          <w:szCs w:val="20"/>
        </w:rPr>
        <w:t xml:space="preserve">(2002). Termination of Life on Request and Assisted Suicide (Review Procedures) Act. Entered into force April 1, 2002, Netherlands [Wet]. Retrieved 08.22.2025, From: </w:t>
      </w:r>
      <w:hyperlink r:id="rId268" w:tgtFrame="_new" w:history="1">
        <w:r w:rsidRPr="001256EA">
          <w:rPr>
            <w:rStyle w:val="Hyperlink"/>
            <w:rFonts w:ascii="Times New Roman" w:hAnsi="Times New Roman" w:cs="Times New Roman"/>
            <w:bCs/>
            <w:sz w:val="20"/>
            <w:szCs w:val="20"/>
          </w:rPr>
          <w:t>https://wetten.overheid.nl/BWBR0012410/2021-10-01</w:t>
        </w:r>
      </w:hyperlink>
    </w:p>
    <w:p w14:paraId="061441B8"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Law on Euthanasia and Assisted Suicide (</w:t>
      </w:r>
      <w:proofErr w:type="spellStart"/>
      <w:r w:rsidRPr="001256EA">
        <w:rPr>
          <w:rFonts w:ascii="Times New Roman" w:hAnsi="Times New Roman" w:cs="Times New Roman"/>
          <w:bCs/>
          <w:sz w:val="20"/>
          <w:szCs w:val="20"/>
        </w:rPr>
        <w:t>Mémorial</w:t>
      </w:r>
      <w:proofErr w:type="spellEnd"/>
      <w:r w:rsidRPr="001256EA">
        <w:rPr>
          <w:rFonts w:ascii="Times New Roman" w:hAnsi="Times New Roman" w:cs="Times New Roman"/>
          <w:bCs/>
          <w:sz w:val="20"/>
          <w:szCs w:val="20"/>
        </w:rPr>
        <w:t xml:space="preserve"> A No 46). Luxembourg. (2009). (2009). Retrieved 08.22.2025, From: </w:t>
      </w:r>
      <w:hyperlink r:id="rId269" w:tgtFrame="_new" w:history="1">
        <w:r w:rsidRPr="001256EA">
          <w:rPr>
            <w:rStyle w:val="Hyperlink"/>
            <w:rFonts w:ascii="Times New Roman" w:hAnsi="Times New Roman" w:cs="Times New Roman"/>
            <w:bCs/>
            <w:sz w:val="20"/>
            <w:szCs w:val="20"/>
          </w:rPr>
          <w:t>https://legilux.public.lu/eli/etat/leg/loi/2009/03/16/n2/jo</w:t>
        </w:r>
      </w:hyperlink>
    </w:p>
    <w:p w14:paraId="63B5BF97"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Law on Euthanasia (Euthanasia Act). (2002). </w:t>
      </w:r>
      <w:proofErr w:type="spellStart"/>
      <w:r w:rsidRPr="001256EA">
        <w:rPr>
          <w:rFonts w:ascii="Times New Roman" w:hAnsi="Times New Roman" w:cs="Times New Roman"/>
          <w:bCs/>
          <w:sz w:val="20"/>
          <w:szCs w:val="20"/>
        </w:rPr>
        <w:t>Moniteur</w:t>
      </w:r>
      <w:proofErr w:type="spellEnd"/>
      <w:r w:rsidRPr="001256EA">
        <w:rPr>
          <w:rFonts w:ascii="Times New Roman" w:hAnsi="Times New Roman" w:cs="Times New Roman"/>
          <w:bCs/>
          <w:sz w:val="20"/>
          <w:szCs w:val="20"/>
        </w:rPr>
        <w:t xml:space="preserve"> Belge [Belgian Official Gazette]. (2002). Retrieved 08.22.2025, From: </w:t>
      </w:r>
      <w:hyperlink r:id="rId270" w:anchor="top" w:tgtFrame="_new" w:history="1">
        <w:r w:rsidRPr="001256EA">
          <w:rPr>
            <w:rStyle w:val="Hyperlink"/>
            <w:rFonts w:ascii="Times New Roman" w:hAnsi="Times New Roman" w:cs="Times New Roman"/>
            <w:bCs/>
            <w:sz w:val="20"/>
            <w:szCs w:val="20"/>
          </w:rPr>
          <w:t>https://www.ejustice.just.fgov.be/cgi/article_body.pl?language=nl&amp;caller=summary&amp;pub_date=2002-06-22&amp;numac=2002009590#top</w:t>
        </w:r>
      </w:hyperlink>
    </w:p>
    <w:p w14:paraId="784F053C"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902F03">
        <w:rPr>
          <w:rFonts w:ascii="Times New Roman" w:hAnsi="Times New Roman" w:cs="Times New Roman"/>
          <w:bCs/>
          <w:sz w:val="20"/>
          <w:szCs w:val="20"/>
          <w:lang w:val="es-ES"/>
        </w:rPr>
        <w:t xml:space="preserve">Lei </w:t>
      </w:r>
      <w:proofErr w:type="spellStart"/>
      <w:r w:rsidRPr="00902F03">
        <w:rPr>
          <w:rFonts w:ascii="Times New Roman" w:hAnsi="Times New Roman" w:cs="Times New Roman"/>
          <w:bCs/>
          <w:sz w:val="20"/>
          <w:szCs w:val="20"/>
          <w:lang w:val="es-ES"/>
        </w:rPr>
        <w:t>n.o</w:t>
      </w:r>
      <w:proofErr w:type="spellEnd"/>
      <w:r w:rsidRPr="00902F03">
        <w:rPr>
          <w:rFonts w:ascii="Times New Roman" w:hAnsi="Times New Roman" w:cs="Times New Roman"/>
          <w:bCs/>
          <w:sz w:val="20"/>
          <w:szCs w:val="20"/>
          <w:lang w:val="es-ES"/>
        </w:rPr>
        <w:t xml:space="preserve"> 22/2023, de 25 de Maio: Regula as </w:t>
      </w:r>
      <w:proofErr w:type="spellStart"/>
      <w:r w:rsidRPr="00902F03">
        <w:rPr>
          <w:rFonts w:ascii="Times New Roman" w:hAnsi="Times New Roman" w:cs="Times New Roman"/>
          <w:bCs/>
          <w:sz w:val="20"/>
          <w:szCs w:val="20"/>
          <w:lang w:val="es-ES"/>
        </w:rPr>
        <w:t>Condições</w:t>
      </w:r>
      <w:proofErr w:type="spellEnd"/>
      <w:r w:rsidRPr="00902F03">
        <w:rPr>
          <w:rFonts w:ascii="Times New Roman" w:hAnsi="Times New Roman" w:cs="Times New Roman"/>
          <w:bCs/>
          <w:sz w:val="20"/>
          <w:szCs w:val="20"/>
          <w:lang w:val="es-ES"/>
        </w:rPr>
        <w:t xml:space="preserve"> Em Que a Morte Medicamente </w:t>
      </w:r>
      <w:proofErr w:type="spellStart"/>
      <w:r w:rsidRPr="00902F03">
        <w:rPr>
          <w:rFonts w:ascii="Times New Roman" w:hAnsi="Times New Roman" w:cs="Times New Roman"/>
          <w:bCs/>
          <w:sz w:val="20"/>
          <w:szCs w:val="20"/>
          <w:lang w:val="es-ES"/>
        </w:rPr>
        <w:t>Assistida</w:t>
      </w:r>
      <w:proofErr w:type="spellEnd"/>
      <w:r w:rsidRPr="00902F03">
        <w:rPr>
          <w:rFonts w:ascii="Times New Roman" w:hAnsi="Times New Roman" w:cs="Times New Roman"/>
          <w:bCs/>
          <w:sz w:val="20"/>
          <w:szCs w:val="20"/>
          <w:lang w:val="es-ES"/>
        </w:rPr>
        <w:t xml:space="preserve"> </w:t>
      </w:r>
      <w:proofErr w:type="spellStart"/>
      <w:r w:rsidRPr="00902F03">
        <w:rPr>
          <w:rFonts w:ascii="Times New Roman" w:hAnsi="Times New Roman" w:cs="Times New Roman"/>
          <w:bCs/>
          <w:sz w:val="20"/>
          <w:szCs w:val="20"/>
          <w:lang w:val="es-ES"/>
        </w:rPr>
        <w:t>Não</w:t>
      </w:r>
      <w:proofErr w:type="spellEnd"/>
      <w:r w:rsidRPr="00902F03">
        <w:rPr>
          <w:rFonts w:ascii="Times New Roman" w:hAnsi="Times New Roman" w:cs="Times New Roman"/>
          <w:bCs/>
          <w:sz w:val="20"/>
          <w:szCs w:val="20"/>
          <w:lang w:val="es-ES"/>
        </w:rPr>
        <w:t xml:space="preserve"> é </w:t>
      </w:r>
      <w:proofErr w:type="spellStart"/>
      <w:r w:rsidRPr="00902F03">
        <w:rPr>
          <w:rFonts w:ascii="Times New Roman" w:hAnsi="Times New Roman" w:cs="Times New Roman"/>
          <w:bCs/>
          <w:sz w:val="20"/>
          <w:szCs w:val="20"/>
          <w:lang w:val="es-ES"/>
        </w:rPr>
        <w:t>Punível</w:t>
      </w:r>
      <w:proofErr w:type="spellEnd"/>
      <w:r w:rsidRPr="00902F03">
        <w:rPr>
          <w:rFonts w:ascii="Times New Roman" w:hAnsi="Times New Roman" w:cs="Times New Roman"/>
          <w:bCs/>
          <w:sz w:val="20"/>
          <w:szCs w:val="20"/>
          <w:lang w:val="es-ES"/>
        </w:rPr>
        <w:t xml:space="preserve"> e Altera o Código Penal (</w:t>
      </w:r>
      <w:proofErr w:type="spellStart"/>
      <w:r w:rsidRPr="00902F03">
        <w:rPr>
          <w:rFonts w:ascii="Times New Roman" w:hAnsi="Times New Roman" w:cs="Times New Roman"/>
          <w:bCs/>
          <w:sz w:val="20"/>
          <w:szCs w:val="20"/>
          <w:lang w:val="es-ES"/>
        </w:rPr>
        <w:t>Diário</w:t>
      </w:r>
      <w:proofErr w:type="spellEnd"/>
      <w:r w:rsidRPr="00902F03">
        <w:rPr>
          <w:rFonts w:ascii="Times New Roman" w:hAnsi="Times New Roman" w:cs="Times New Roman"/>
          <w:bCs/>
          <w:sz w:val="20"/>
          <w:szCs w:val="20"/>
          <w:lang w:val="es-ES"/>
        </w:rPr>
        <w:t xml:space="preserve"> Da República, 1.a Série, </w:t>
      </w:r>
      <w:proofErr w:type="spellStart"/>
      <w:r w:rsidRPr="00902F03">
        <w:rPr>
          <w:rFonts w:ascii="Times New Roman" w:hAnsi="Times New Roman" w:cs="Times New Roman"/>
          <w:bCs/>
          <w:sz w:val="20"/>
          <w:szCs w:val="20"/>
          <w:lang w:val="es-ES"/>
        </w:rPr>
        <w:t>n.o</w:t>
      </w:r>
      <w:proofErr w:type="spellEnd"/>
      <w:r w:rsidRPr="00902F03">
        <w:rPr>
          <w:rFonts w:ascii="Times New Roman" w:hAnsi="Times New Roman" w:cs="Times New Roman"/>
          <w:bCs/>
          <w:sz w:val="20"/>
          <w:szCs w:val="20"/>
          <w:lang w:val="es-ES"/>
        </w:rPr>
        <w:t xml:space="preserve"> 101, Pp. 10–20). </w:t>
      </w:r>
      <w:r w:rsidRPr="001256EA">
        <w:rPr>
          <w:rFonts w:ascii="Times New Roman" w:hAnsi="Times New Roman" w:cs="Times New Roman"/>
          <w:bCs/>
          <w:sz w:val="20"/>
          <w:szCs w:val="20"/>
        </w:rPr>
        <w:t xml:space="preserve">Assembleia Da República. (2023). (2023). Retrieved 08.22.2025, From: </w:t>
      </w:r>
      <w:hyperlink r:id="rId271" w:tgtFrame="_new" w:history="1">
        <w:r w:rsidRPr="001256EA">
          <w:rPr>
            <w:rStyle w:val="Hyperlink"/>
            <w:rFonts w:ascii="Times New Roman" w:hAnsi="Times New Roman" w:cs="Times New Roman"/>
            <w:bCs/>
            <w:sz w:val="20"/>
            <w:szCs w:val="20"/>
          </w:rPr>
          <w:t>https://diariodarepublica.pt/dr/detalhe/lei/22-2023-213498831?utm</w:t>
        </w:r>
      </w:hyperlink>
    </w:p>
    <w:p w14:paraId="644D5286"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Northern French seeking euthanasia find legal option in Belgium. (2022, December 13). Retrieved 08.22.2025, From: </w:t>
      </w:r>
      <w:hyperlink r:id="rId272" w:tgtFrame="_new" w:history="1">
        <w:r w:rsidRPr="001256EA">
          <w:rPr>
            <w:rStyle w:val="Hyperlink"/>
            <w:rFonts w:ascii="Times New Roman" w:hAnsi="Times New Roman" w:cs="Times New Roman"/>
            <w:bCs/>
            <w:sz w:val="20"/>
            <w:szCs w:val="20"/>
          </w:rPr>
          <w:t>https://www.lemonde.fr/en/france/article/2022/12/13/northern-french-seeking-euthanasia-find-legal-option-in-belgium_6007595_7.html</w:t>
        </w:r>
      </w:hyperlink>
    </w:p>
    <w:p w14:paraId="64A21C1F"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Oregon Health Authority (2024). Oregon death with dignity act data summary. (n.d.). Retrieved 08.22.2025, From: </w:t>
      </w:r>
      <w:hyperlink r:id="rId273" w:tgtFrame="_new" w:history="1">
        <w:r w:rsidRPr="001256EA">
          <w:rPr>
            <w:rStyle w:val="Hyperlink"/>
            <w:rFonts w:ascii="Times New Roman" w:hAnsi="Times New Roman" w:cs="Times New Roman"/>
            <w:bCs/>
            <w:sz w:val="20"/>
            <w:szCs w:val="20"/>
          </w:rPr>
          <w:t>https://www.oregon.gov/oha/PH/PROVIDERPARTNERRESOURCES/EVALUATIONRESEARCH/DEATHWITHDIGNITYACT/Documents/year27.pdf</w:t>
        </w:r>
      </w:hyperlink>
    </w:p>
    <w:p w14:paraId="2B9093DE"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es-ES"/>
        </w:rPr>
        <w:t xml:space="preserve">Penal Code No. 9155 (1933). Normativa y avisos legales del Uruguay. </w:t>
      </w:r>
      <w:r w:rsidRPr="001256EA">
        <w:rPr>
          <w:rFonts w:ascii="Times New Roman" w:hAnsi="Times New Roman" w:cs="Times New Roman"/>
          <w:bCs/>
          <w:sz w:val="20"/>
          <w:szCs w:val="20"/>
        </w:rPr>
        <w:t xml:space="preserve">(n.d.). Retrieved 08.22.2025, From: </w:t>
      </w:r>
      <w:hyperlink r:id="rId274" w:tgtFrame="_new" w:history="1">
        <w:r w:rsidRPr="001256EA">
          <w:rPr>
            <w:rStyle w:val="Hyperlink"/>
            <w:rFonts w:ascii="Times New Roman" w:hAnsi="Times New Roman" w:cs="Times New Roman"/>
            <w:bCs/>
            <w:sz w:val="20"/>
            <w:szCs w:val="20"/>
          </w:rPr>
          <w:t>https://www.impo.com.uy/bases/codigo-penal/9155-1933</w:t>
        </w:r>
      </w:hyperlink>
    </w:p>
    <w:p w14:paraId="1523DBC7" w14:textId="7106DBEE"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es-ES"/>
        </w:rPr>
        <w:t xml:space="preserve">Regio Decreto n. 1398: </w:t>
      </w:r>
      <w:proofErr w:type="spellStart"/>
      <w:r w:rsidRPr="001256EA">
        <w:rPr>
          <w:rFonts w:ascii="Times New Roman" w:hAnsi="Times New Roman" w:cs="Times New Roman"/>
          <w:bCs/>
          <w:sz w:val="20"/>
          <w:szCs w:val="20"/>
          <w:lang w:val="es-ES"/>
        </w:rPr>
        <w:t>Approvazione</w:t>
      </w:r>
      <w:proofErr w:type="spellEnd"/>
      <w:r w:rsidRPr="001256EA">
        <w:rPr>
          <w:rFonts w:ascii="Times New Roman" w:hAnsi="Times New Roman" w:cs="Times New Roman"/>
          <w:bCs/>
          <w:sz w:val="20"/>
          <w:szCs w:val="20"/>
          <w:lang w:val="es-ES"/>
        </w:rPr>
        <w:t xml:space="preserve"> del testo definitivo del </w:t>
      </w:r>
      <w:proofErr w:type="spellStart"/>
      <w:r w:rsidRPr="001256EA">
        <w:rPr>
          <w:rFonts w:ascii="Times New Roman" w:hAnsi="Times New Roman" w:cs="Times New Roman"/>
          <w:bCs/>
          <w:sz w:val="20"/>
          <w:szCs w:val="20"/>
          <w:lang w:val="es-ES"/>
        </w:rPr>
        <w:t>Codice</w:t>
      </w:r>
      <w:proofErr w:type="spellEnd"/>
      <w:r w:rsidRPr="001256EA">
        <w:rPr>
          <w:rFonts w:ascii="Times New Roman" w:hAnsi="Times New Roman" w:cs="Times New Roman"/>
          <w:bCs/>
          <w:sz w:val="20"/>
          <w:szCs w:val="20"/>
          <w:lang w:val="es-ES"/>
        </w:rPr>
        <w:t xml:space="preserve"> Penale (</w:t>
      </w:r>
      <w:proofErr w:type="spellStart"/>
      <w:r w:rsidRPr="001256EA">
        <w:rPr>
          <w:rFonts w:ascii="Times New Roman" w:hAnsi="Times New Roman" w:cs="Times New Roman"/>
          <w:bCs/>
          <w:sz w:val="20"/>
          <w:szCs w:val="20"/>
          <w:lang w:val="es-ES"/>
        </w:rPr>
        <w:t>Gazzetta</w:t>
      </w:r>
      <w:proofErr w:type="spellEnd"/>
      <w:r w:rsidRPr="001256EA">
        <w:rPr>
          <w:rFonts w:ascii="Times New Roman" w:hAnsi="Times New Roman" w:cs="Times New Roman"/>
          <w:bCs/>
          <w:sz w:val="20"/>
          <w:szCs w:val="20"/>
          <w:lang w:val="es-ES"/>
        </w:rPr>
        <w:t xml:space="preserve"> </w:t>
      </w:r>
      <w:proofErr w:type="spellStart"/>
      <w:r w:rsidRPr="001256EA">
        <w:rPr>
          <w:rFonts w:ascii="Times New Roman" w:hAnsi="Times New Roman" w:cs="Times New Roman"/>
          <w:bCs/>
          <w:sz w:val="20"/>
          <w:szCs w:val="20"/>
          <w:lang w:val="es-ES"/>
        </w:rPr>
        <w:t>Ufficiale</w:t>
      </w:r>
      <w:proofErr w:type="spellEnd"/>
      <w:r w:rsidRPr="001256EA">
        <w:rPr>
          <w:rFonts w:ascii="Times New Roman" w:hAnsi="Times New Roman" w:cs="Times New Roman"/>
          <w:bCs/>
          <w:sz w:val="20"/>
          <w:szCs w:val="20"/>
          <w:lang w:val="es-ES"/>
        </w:rPr>
        <w:t xml:space="preserve">, Serie Generale n. 251, 26 </w:t>
      </w:r>
      <w:proofErr w:type="spellStart"/>
      <w:r w:rsidRPr="001256EA">
        <w:rPr>
          <w:rFonts w:ascii="Times New Roman" w:hAnsi="Times New Roman" w:cs="Times New Roman"/>
          <w:bCs/>
          <w:sz w:val="20"/>
          <w:szCs w:val="20"/>
          <w:lang w:val="es-ES"/>
        </w:rPr>
        <w:t>ottobre</w:t>
      </w:r>
      <w:proofErr w:type="spellEnd"/>
      <w:r w:rsidRPr="001256EA">
        <w:rPr>
          <w:rFonts w:ascii="Times New Roman" w:hAnsi="Times New Roman" w:cs="Times New Roman"/>
          <w:bCs/>
          <w:sz w:val="20"/>
          <w:szCs w:val="20"/>
          <w:lang w:val="es-ES"/>
        </w:rPr>
        <w:t xml:space="preserve"> 1930). </w:t>
      </w:r>
      <w:r w:rsidRPr="001256EA">
        <w:rPr>
          <w:rFonts w:ascii="Times New Roman" w:hAnsi="Times New Roman" w:cs="Times New Roman"/>
          <w:bCs/>
          <w:sz w:val="20"/>
          <w:szCs w:val="20"/>
        </w:rPr>
        <w:t xml:space="preserve">Italia. (n.d.). Retrieved August 27, 2025, from Retrieved 08.22.2025, From: </w:t>
      </w:r>
      <w:hyperlink r:id="rId275" w:tgtFrame="_new" w:history="1">
        <w:r w:rsidRPr="001256EA">
          <w:rPr>
            <w:rStyle w:val="Hyperlink"/>
            <w:rFonts w:ascii="Times New Roman" w:hAnsi="Times New Roman" w:cs="Times New Roman"/>
            <w:bCs/>
            <w:sz w:val="20"/>
            <w:szCs w:val="20"/>
          </w:rPr>
          <w:t>https://www.gazzettaufficiale.it/sommario/codici/codicePenale</w:t>
        </w:r>
      </w:hyperlink>
    </w:p>
    <w:p w14:paraId="6376A105"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Review of the </w:t>
      </w:r>
      <w:proofErr w:type="gramStart"/>
      <w:r w:rsidRPr="001256EA">
        <w:rPr>
          <w:rFonts w:ascii="Times New Roman" w:hAnsi="Times New Roman" w:cs="Times New Roman"/>
          <w:bCs/>
          <w:sz w:val="20"/>
          <w:szCs w:val="20"/>
        </w:rPr>
        <w:t>End of Life</w:t>
      </w:r>
      <w:proofErr w:type="gramEnd"/>
      <w:r w:rsidRPr="001256EA">
        <w:rPr>
          <w:rFonts w:ascii="Times New Roman" w:hAnsi="Times New Roman" w:cs="Times New Roman"/>
          <w:bCs/>
          <w:sz w:val="20"/>
          <w:szCs w:val="20"/>
        </w:rPr>
        <w:t xml:space="preserve"> Choice Act 2019 (2024). Ministry of health. (2024, November 19). Retrieved 08.22.2025, From: </w:t>
      </w:r>
      <w:hyperlink r:id="rId276" w:tgtFrame="_new" w:history="1">
        <w:r w:rsidRPr="001256EA">
          <w:rPr>
            <w:rStyle w:val="Hyperlink"/>
            <w:rFonts w:ascii="Times New Roman" w:hAnsi="Times New Roman" w:cs="Times New Roman"/>
            <w:bCs/>
            <w:sz w:val="20"/>
            <w:szCs w:val="20"/>
          </w:rPr>
          <w:t>https://www.health.govt.nz/publications/review-of-the-end-of-life-choice-act-2019</w:t>
        </w:r>
      </w:hyperlink>
    </w:p>
    <w:p w14:paraId="70246BA1" w14:textId="40DC9A7F" w:rsidR="00DD7887" w:rsidRPr="001256EA" w:rsidRDefault="00DD7887"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de-DE"/>
        </w:rPr>
        <w:t xml:space="preserve">Raus, K., </w:t>
      </w:r>
      <w:proofErr w:type="spellStart"/>
      <w:r w:rsidRPr="001256EA">
        <w:rPr>
          <w:rFonts w:ascii="Times New Roman" w:hAnsi="Times New Roman" w:cs="Times New Roman"/>
          <w:bCs/>
          <w:sz w:val="20"/>
          <w:szCs w:val="20"/>
          <w:lang w:val="de-DE"/>
        </w:rPr>
        <w:t>Vanderhaegen</w:t>
      </w:r>
      <w:proofErr w:type="spellEnd"/>
      <w:r w:rsidRPr="001256EA">
        <w:rPr>
          <w:rFonts w:ascii="Times New Roman" w:hAnsi="Times New Roman" w:cs="Times New Roman"/>
          <w:bCs/>
          <w:sz w:val="20"/>
          <w:szCs w:val="20"/>
          <w:lang w:val="de-DE"/>
        </w:rPr>
        <w:t xml:space="preserve">, B., &amp; Sterckx, S. (2021, </w:t>
      </w:r>
      <w:proofErr w:type="spellStart"/>
      <w:r w:rsidRPr="001256EA">
        <w:rPr>
          <w:rFonts w:ascii="Times New Roman" w:hAnsi="Times New Roman" w:cs="Times New Roman"/>
          <w:bCs/>
          <w:sz w:val="20"/>
          <w:szCs w:val="20"/>
          <w:lang w:val="de-DE"/>
        </w:rPr>
        <w:t>February</w:t>
      </w:r>
      <w:proofErr w:type="spellEnd"/>
      <w:r w:rsidRPr="001256EA">
        <w:rPr>
          <w:rFonts w:ascii="Times New Roman" w:hAnsi="Times New Roman" w:cs="Times New Roman"/>
          <w:bCs/>
          <w:sz w:val="20"/>
          <w:szCs w:val="20"/>
          <w:lang w:val="de-DE"/>
        </w:rPr>
        <w:t xml:space="preserve">). </w:t>
      </w:r>
      <w:r w:rsidRPr="001256EA">
        <w:rPr>
          <w:rFonts w:ascii="Times New Roman" w:hAnsi="Times New Roman" w:cs="Times New Roman"/>
          <w:bCs/>
          <w:sz w:val="20"/>
          <w:szCs w:val="20"/>
        </w:rPr>
        <w:t>Euthanasia in Belgium: shortcomings of the law and its application and of the monitoring of practice. In </w:t>
      </w:r>
      <w:r w:rsidRPr="001256EA">
        <w:rPr>
          <w:rFonts w:ascii="Times New Roman" w:hAnsi="Times New Roman" w:cs="Times New Roman"/>
          <w:bCs/>
          <w:i/>
          <w:iCs/>
          <w:sz w:val="20"/>
          <w:szCs w:val="20"/>
        </w:rPr>
        <w:t>The Journal of Medicine and Philosophy: A Forum for Bioethics and Philosophy of Medicine</w:t>
      </w:r>
      <w:r w:rsidRPr="001256EA">
        <w:rPr>
          <w:rFonts w:ascii="Times New Roman" w:hAnsi="Times New Roman" w:cs="Times New Roman"/>
          <w:bCs/>
          <w:sz w:val="20"/>
          <w:szCs w:val="20"/>
        </w:rPr>
        <w:t> (Vol. 46, No. 1, pp. 80-107). US: Oxford University Press.</w:t>
      </w:r>
    </w:p>
    <w:p w14:paraId="0112E2CA" w14:textId="77777777" w:rsidR="001C255C" w:rsidRPr="00095984"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fr-FR"/>
        </w:rPr>
        <w:t xml:space="preserve">Scarl, O. (2015, October 29). </w:t>
      </w:r>
      <w:proofErr w:type="spellStart"/>
      <w:r w:rsidRPr="001256EA">
        <w:rPr>
          <w:rFonts w:ascii="Times New Roman" w:hAnsi="Times New Roman" w:cs="Times New Roman"/>
          <w:bCs/>
          <w:sz w:val="20"/>
          <w:szCs w:val="20"/>
          <w:lang w:val="fr-FR"/>
        </w:rPr>
        <w:t>Belgio</w:t>
      </w:r>
      <w:proofErr w:type="spellEnd"/>
      <w:r w:rsidRPr="001256EA">
        <w:rPr>
          <w:rFonts w:ascii="Times New Roman" w:hAnsi="Times New Roman" w:cs="Times New Roman"/>
          <w:bCs/>
          <w:sz w:val="20"/>
          <w:szCs w:val="20"/>
          <w:lang w:val="fr-FR"/>
        </w:rPr>
        <w:t xml:space="preserve"> – Cour constitutionnelle - sent. 153/</w:t>
      </w:r>
      <w:proofErr w:type="gramStart"/>
      <w:r w:rsidRPr="001256EA">
        <w:rPr>
          <w:rFonts w:ascii="Times New Roman" w:hAnsi="Times New Roman" w:cs="Times New Roman"/>
          <w:bCs/>
          <w:sz w:val="20"/>
          <w:szCs w:val="20"/>
          <w:lang w:val="fr-FR"/>
        </w:rPr>
        <w:t>2015:</w:t>
      </w:r>
      <w:proofErr w:type="gram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Decisione</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della</w:t>
      </w:r>
      <w:proofErr w:type="spellEnd"/>
      <w:r w:rsidRPr="001256EA">
        <w:rPr>
          <w:rFonts w:ascii="Times New Roman" w:hAnsi="Times New Roman" w:cs="Times New Roman"/>
          <w:bCs/>
          <w:sz w:val="20"/>
          <w:szCs w:val="20"/>
          <w:lang w:val="fr-FR"/>
        </w:rPr>
        <w:t xml:space="preserve"> Corte </w:t>
      </w:r>
      <w:proofErr w:type="spellStart"/>
      <w:r w:rsidRPr="001256EA">
        <w:rPr>
          <w:rFonts w:ascii="Times New Roman" w:hAnsi="Times New Roman" w:cs="Times New Roman"/>
          <w:bCs/>
          <w:sz w:val="20"/>
          <w:szCs w:val="20"/>
          <w:lang w:val="fr-FR"/>
        </w:rPr>
        <w:t>costituzionale</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sulla</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legge</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che</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estende</w:t>
      </w:r>
      <w:proofErr w:type="spellEnd"/>
      <w:r w:rsidRPr="001256EA">
        <w:rPr>
          <w:rFonts w:ascii="Times New Roman" w:hAnsi="Times New Roman" w:cs="Times New Roman"/>
          <w:bCs/>
          <w:sz w:val="20"/>
          <w:szCs w:val="20"/>
          <w:lang w:val="fr-FR"/>
        </w:rPr>
        <w:t xml:space="preserve"> l’</w:t>
      </w:r>
      <w:proofErr w:type="spellStart"/>
      <w:r w:rsidRPr="001256EA">
        <w:rPr>
          <w:rFonts w:ascii="Times New Roman" w:hAnsi="Times New Roman" w:cs="Times New Roman"/>
          <w:bCs/>
          <w:sz w:val="20"/>
          <w:szCs w:val="20"/>
          <w:lang w:val="fr-FR"/>
        </w:rPr>
        <w:t>eutanasia</w:t>
      </w:r>
      <w:proofErr w:type="spellEnd"/>
      <w:r w:rsidRPr="001256EA">
        <w:rPr>
          <w:rFonts w:ascii="Times New Roman" w:hAnsi="Times New Roman" w:cs="Times New Roman"/>
          <w:bCs/>
          <w:sz w:val="20"/>
          <w:szCs w:val="20"/>
          <w:lang w:val="fr-FR"/>
        </w:rPr>
        <w:t xml:space="preserve"> ai </w:t>
      </w:r>
      <w:proofErr w:type="spellStart"/>
      <w:r w:rsidRPr="001256EA">
        <w:rPr>
          <w:rFonts w:ascii="Times New Roman" w:hAnsi="Times New Roman" w:cs="Times New Roman"/>
          <w:bCs/>
          <w:sz w:val="20"/>
          <w:szCs w:val="20"/>
          <w:lang w:val="fr-FR"/>
        </w:rPr>
        <w:t>minori</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rPr>
        <w:t>Biodiritto</w:t>
      </w:r>
      <w:proofErr w:type="spellEnd"/>
      <w:r w:rsidRPr="001256EA">
        <w:rPr>
          <w:rFonts w:ascii="Times New Roman" w:hAnsi="Times New Roman" w:cs="Times New Roman"/>
          <w:bCs/>
          <w:sz w:val="20"/>
          <w:szCs w:val="20"/>
        </w:rPr>
        <w:t xml:space="preserve">. Retrieved 08.22.2025, From: </w:t>
      </w:r>
      <w:hyperlink r:id="rId277" w:tgtFrame="_new" w:history="1">
        <w:r w:rsidRPr="001256EA">
          <w:rPr>
            <w:rStyle w:val="Hyperlink"/>
            <w:rFonts w:ascii="Times New Roman" w:hAnsi="Times New Roman" w:cs="Times New Roman"/>
            <w:bCs/>
            <w:sz w:val="20"/>
            <w:szCs w:val="20"/>
          </w:rPr>
          <w:t>https://www.biodiritto.org/Biolaw-pedia/Giurisprudenza/Belgio-Cour-constitutionnelle-sent.-153-2015-decisione-della-Corte-costituzionale-sulla-legge-che-estende-l-eutanasia-ai-minori</w:t>
        </w:r>
      </w:hyperlink>
    </w:p>
    <w:p w14:paraId="51AEFA3C" w14:textId="40C2A5E4" w:rsidR="00095984" w:rsidRPr="00E74922" w:rsidRDefault="00095984" w:rsidP="001C255C">
      <w:pPr>
        <w:pStyle w:val="ListParagraph"/>
        <w:numPr>
          <w:ilvl w:val="0"/>
          <w:numId w:val="34"/>
        </w:numPr>
        <w:spacing w:line="276" w:lineRule="auto"/>
        <w:ind w:left="360"/>
        <w:jc w:val="both"/>
        <w:rPr>
          <w:rFonts w:ascii="Times New Roman" w:hAnsi="Times New Roman" w:cs="Times New Roman"/>
          <w:bCs/>
          <w:sz w:val="18"/>
          <w:szCs w:val="18"/>
        </w:rPr>
      </w:pPr>
      <w:r w:rsidRPr="00E74922">
        <w:rPr>
          <w:rFonts w:ascii="Times New Roman" w:hAnsi="Times New Roman" w:cs="Times New Roman"/>
          <w:sz w:val="20"/>
          <w:szCs w:val="20"/>
        </w:rPr>
        <w:t>Supreme Court of Lithuania. (2025). Civil case No e3K-3-201-611/2025. Retrieved 08.22.2025, From: https://www.lat.lt/lat-sprende-del-teises-i-neturtines-zalos-patirtos-del-sutuoktines-nestumo-nutraukimo-komplikaciju-atlyginima/2295</w:t>
      </w:r>
    </w:p>
    <w:p w14:paraId="29907F52"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Staff, Z. (2024, November 28). Colombian Constitutional Court Expands Euthanasia Access Amid Growing Controversy. ZENIT - English. Retrieved 08.22.2025, From: </w:t>
      </w:r>
      <w:hyperlink r:id="rId278" w:tgtFrame="_new" w:history="1">
        <w:r w:rsidRPr="001256EA">
          <w:rPr>
            <w:rStyle w:val="Hyperlink"/>
            <w:rFonts w:ascii="Times New Roman" w:hAnsi="Times New Roman" w:cs="Times New Roman"/>
            <w:bCs/>
            <w:sz w:val="20"/>
            <w:szCs w:val="20"/>
          </w:rPr>
          <w:t>https://zenit.org/2024/11/27/colombian-constitutional-court-expands-euthanasia-access-amid-growing-controversy/?utm</w:t>
        </w:r>
      </w:hyperlink>
    </w:p>
    <w:p w14:paraId="1DCB69E7" w14:textId="0DA12799" w:rsidR="00922395" w:rsidRPr="001256EA" w:rsidRDefault="00922395" w:rsidP="001C255C">
      <w:pPr>
        <w:pStyle w:val="ListParagraph"/>
        <w:numPr>
          <w:ilvl w:val="0"/>
          <w:numId w:val="34"/>
        </w:numPr>
        <w:spacing w:line="276" w:lineRule="auto"/>
        <w:ind w:left="360"/>
        <w:jc w:val="both"/>
        <w:rPr>
          <w:rFonts w:ascii="Times New Roman" w:hAnsi="Times New Roman" w:cs="Times New Roman"/>
          <w:bCs/>
          <w:sz w:val="20"/>
          <w:szCs w:val="20"/>
        </w:rPr>
      </w:pPr>
      <w:proofErr w:type="spellStart"/>
      <w:r w:rsidRPr="001256EA">
        <w:rPr>
          <w:rFonts w:ascii="Times New Roman" w:hAnsi="Times New Roman" w:cs="Times New Roman"/>
          <w:bCs/>
          <w:sz w:val="20"/>
          <w:szCs w:val="20"/>
        </w:rPr>
        <w:t>Stankevičiūtė</w:t>
      </w:r>
      <w:proofErr w:type="spellEnd"/>
      <w:r w:rsidRPr="001256EA">
        <w:rPr>
          <w:rFonts w:ascii="Times New Roman" w:hAnsi="Times New Roman" w:cs="Times New Roman"/>
          <w:bCs/>
          <w:sz w:val="20"/>
          <w:szCs w:val="20"/>
        </w:rPr>
        <w:t xml:space="preserve">, R. (2024). </w:t>
      </w:r>
      <w:proofErr w:type="spellStart"/>
      <w:r w:rsidRPr="001256EA">
        <w:rPr>
          <w:rFonts w:ascii="Times New Roman" w:hAnsi="Times New Roman" w:cs="Times New Roman"/>
          <w:bCs/>
          <w:sz w:val="20"/>
          <w:szCs w:val="20"/>
        </w:rPr>
        <w:t>Eutanazijos</w:t>
      </w:r>
      <w:proofErr w:type="spellEnd"/>
      <w:r w:rsidRPr="001256EA">
        <w:rPr>
          <w:rFonts w:ascii="Times New Roman" w:hAnsi="Times New Roman" w:cs="Times New Roman"/>
          <w:bCs/>
          <w:sz w:val="20"/>
          <w:szCs w:val="20"/>
        </w:rPr>
        <w:t xml:space="preserve"> </w:t>
      </w:r>
      <w:proofErr w:type="spellStart"/>
      <w:r w:rsidRPr="001256EA">
        <w:rPr>
          <w:rFonts w:ascii="Times New Roman" w:hAnsi="Times New Roman" w:cs="Times New Roman"/>
          <w:bCs/>
          <w:sz w:val="20"/>
          <w:szCs w:val="20"/>
        </w:rPr>
        <w:t>galimybė</w:t>
      </w:r>
      <w:proofErr w:type="spellEnd"/>
      <w:r w:rsidRPr="001256EA">
        <w:rPr>
          <w:rFonts w:ascii="Times New Roman" w:hAnsi="Times New Roman" w:cs="Times New Roman"/>
          <w:bCs/>
          <w:sz w:val="20"/>
          <w:szCs w:val="20"/>
        </w:rPr>
        <w:t xml:space="preserve"> </w:t>
      </w:r>
      <w:proofErr w:type="spellStart"/>
      <w:r w:rsidRPr="001256EA">
        <w:rPr>
          <w:rFonts w:ascii="Times New Roman" w:hAnsi="Times New Roman" w:cs="Times New Roman"/>
          <w:bCs/>
          <w:sz w:val="20"/>
          <w:szCs w:val="20"/>
        </w:rPr>
        <w:t>Lietuvoje</w:t>
      </w:r>
      <w:proofErr w:type="spellEnd"/>
      <w:r w:rsidRPr="001256EA">
        <w:rPr>
          <w:rFonts w:ascii="Times New Roman" w:hAnsi="Times New Roman" w:cs="Times New Roman"/>
          <w:bCs/>
          <w:sz w:val="20"/>
          <w:szCs w:val="20"/>
        </w:rPr>
        <w:t xml:space="preserve">: </w:t>
      </w:r>
      <w:proofErr w:type="spellStart"/>
      <w:r w:rsidRPr="001256EA">
        <w:rPr>
          <w:rFonts w:ascii="Times New Roman" w:hAnsi="Times New Roman" w:cs="Times New Roman"/>
          <w:bCs/>
          <w:sz w:val="20"/>
          <w:szCs w:val="20"/>
        </w:rPr>
        <w:t>etiniai</w:t>
      </w:r>
      <w:proofErr w:type="spellEnd"/>
      <w:r w:rsidRPr="001256EA">
        <w:rPr>
          <w:rFonts w:ascii="Times New Roman" w:hAnsi="Times New Roman" w:cs="Times New Roman"/>
          <w:bCs/>
          <w:sz w:val="20"/>
          <w:szCs w:val="20"/>
        </w:rPr>
        <w:t xml:space="preserve"> </w:t>
      </w:r>
      <w:proofErr w:type="spellStart"/>
      <w:r w:rsidRPr="001256EA">
        <w:rPr>
          <w:rFonts w:ascii="Times New Roman" w:hAnsi="Times New Roman" w:cs="Times New Roman"/>
          <w:bCs/>
          <w:sz w:val="20"/>
          <w:szCs w:val="20"/>
        </w:rPr>
        <w:t>aspektai</w:t>
      </w:r>
      <w:proofErr w:type="spellEnd"/>
      <w:r w:rsidRPr="001256EA">
        <w:rPr>
          <w:rFonts w:ascii="Times New Roman" w:hAnsi="Times New Roman" w:cs="Times New Roman"/>
          <w:bCs/>
          <w:sz w:val="20"/>
          <w:szCs w:val="20"/>
        </w:rPr>
        <w:t xml:space="preserve"> (Doctoral dissertation, Vilniaus </w:t>
      </w:r>
      <w:proofErr w:type="spellStart"/>
      <w:r w:rsidRPr="001256EA">
        <w:rPr>
          <w:rFonts w:ascii="Times New Roman" w:hAnsi="Times New Roman" w:cs="Times New Roman"/>
          <w:bCs/>
          <w:sz w:val="20"/>
          <w:szCs w:val="20"/>
        </w:rPr>
        <w:t>universitetas</w:t>
      </w:r>
      <w:proofErr w:type="spellEnd"/>
      <w:r w:rsidRPr="001256EA">
        <w:rPr>
          <w:rFonts w:ascii="Times New Roman" w:hAnsi="Times New Roman" w:cs="Times New Roman"/>
          <w:bCs/>
          <w:sz w:val="20"/>
          <w:szCs w:val="20"/>
        </w:rPr>
        <w:t>.). Retrieved 20.12.2025, From: https://epublications.vu.lt/object/elaba:210541406/</w:t>
      </w:r>
    </w:p>
    <w:p w14:paraId="3CC4A42E"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Swiss academies of arts and sciences (n.d.). Assisted suicide. (n.d.). SAMS. Retrieved 08.22.2025, From: </w:t>
      </w:r>
      <w:hyperlink r:id="rId279" w:tgtFrame="_new" w:history="1">
        <w:r w:rsidRPr="001256EA">
          <w:rPr>
            <w:rStyle w:val="Hyperlink"/>
            <w:rFonts w:ascii="Times New Roman" w:hAnsi="Times New Roman" w:cs="Times New Roman"/>
            <w:bCs/>
            <w:sz w:val="20"/>
            <w:szCs w:val="20"/>
          </w:rPr>
          <w:t>https://www.samw.ch/en/Ethics/Topics-A-to-Z/Dying-and-death/Assisted-suicide.html?utm</w:t>
        </w:r>
      </w:hyperlink>
    </w:p>
    <w:p w14:paraId="47B18F0F"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Swiss Criminal Code (1937). The Federal Assembly the Swiss Confederation. (n.d.). Retrieved 08.22.2025, from </w:t>
      </w:r>
      <w:hyperlink r:id="rId280" w:tgtFrame="_new" w:history="1">
        <w:r w:rsidRPr="001256EA">
          <w:rPr>
            <w:rStyle w:val="Hyperlink"/>
            <w:rFonts w:ascii="Times New Roman" w:hAnsi="Times New Roman" w:cs="Times New Roman"/>
            <w:bCs/>
            <w:sz w:val="20"/>
            <w:szCs w:val="20"/>
          </w:rPr>
          <w:t>https://www.fedlex.admin.ch/eli/cc/54/757_781_799/de?utm=</w:t>
        </w:r>
      </w:hyperlink>
    </w:p>
    <w:p w14:paraId="5C5AC25A"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The Oregon death with dignity acts Oregon revised statutes 127.800-127.995 (1994). (n.d.). Retrieved 08.22.2025, From: </w:t>
      </w:r>
      <w:hyperlink r:id="rId281" w:tgtFrame="_new" w:history="1">
        <w:r w:rsidRPr="001256EA">
          <w:rPr>
            <w:rStyle w:val="Hyperlink"/>
            <w:rFonts w:ascii="Times New Roman" w:hAnsi="Times New Roman" w:cs="Times New Roman"/>
            <w:bCs/>
            <w:sz w:val="20"/>
            <w:szCs w:val="20"/>
          </w:rPr>
          <w:t>https://www.oregon.gov/oha/PH/PROVIDERPARTNERRESOURCES/EVALUATIONRESEARCH/DEATHWITHDIGNITYACT/Documents/statute.pdf?utm</w:t>
        </w:r>
      </w:hyperlink>
    </w:p>
    <w:p w14:paraId="12C2EFB4"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lang w:val="fr-FR"/>
        </w:rPr>
        <w:t xml:space="preserve">Tribunal </w:t>
      </w:r>
      <w:proofErr w:type="spellStart"/>
      <w:r w:rsidRPr="001256EA">
        <w:rPr>
          <w:rFonts w:ascii="Times New Roman" w:hAnsi="Times New Roman" w:cs="Times New Roman"/>
          <w:bCs/>
          <w:sz w:val="20"/>
          <w:szCs w:val="20"/>
          <w:lang w:val="fr-FR"/>
        </w:rPr>
        <w:t>Constitucional</w:t>
      </w:r>
      <w:proofErr w:type="spellEnd"/>
      <w:r w:rsidRPr="001256EA">
        <w:rPr>
          <w:rFonts w:ascii="Times New Roman" w:hAnsi="Times New Roman" w:cs="Times New Roman"/>
          <w:bCs/>
          <w:sz w:val="20"/>
          <w:szCs w:val="20"/>
          <w:lang w:val="fr-FR"/>
        </w:rPr>
        <w:t xml:space="preserve">. (2025). </w:t>
      </w:r>
      <w:proofErr w:type="spellStart"/>
      <w:r w:rsidRPr="001256EA">
        <w:rPr>
          <w:rFonts w:ascii="Times New Roman" w:hAnsi="Times New Roman" w:cs="Times New Roman"/>
          <w:bCs/>
          <w:sz w:val="20"/>
          <w:szCs w:val="20"/>
          <w:lang w:val="fr-FR"/>
        </w:rPr>
        <w:t>Acórdão</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n.o</w:t>
      </w:r>
      <w:proofErr w:type="spellEnd"/>
      <w:r w:rsidRPr="001256EA">
        <w:rPr>
          <w:rFonts w:ascii="Times New Roman" w:hAnsi="Times New Roman" w:cs="Times New Roman"/>
          <w:bCs/>
          <w:sz w:val="20"/>
          <w:szCs w:val="20"/>
          <w:lang w:val="fr-FR"/>
        </w:rPr>
        <w:t xml:space="preserve"> 307/</w:t>
      </w:r>
      <w:proofErr w:type="gramStart"/>
      <w:r w:rsidRPr="001256EA">
        <w:rPr>
          <w:rFonts w:ascii="Times New Roman" w:hAnsi="Times New Roman" w:cs="Times New Roman"/>
          <w:bCs/>
          <w:sz w:val="20"/>
          <w:szCs w:val="20"/>
          <w:lang w:val="fr-FR"/>
        </w:rPr>
        <w:t>2025:</w:t>
      </w:r>
      <w:proofErr w:type="gram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Comunicação</w:t>
      </w:r>
      <w:proofErr w:type="spellEnd"/>
      <w:r w:rsidRPr="001256EA">
        <w:rPr>
          <w:rFonts w:ascii="Times New Roman" w:hAnsi="Times New Roman" w:cs="Times New Roman"/>
          <w:bCs/>
          <w:sz w:val="20"/>
          <w:szCs w:val="20"/>
          <w:lang w:val="fr-FR"/>
        </w:rPr>
        <w:t xml:space="preserve"> Sobre a </w:t>
      </w:r>
      <w:proofErr w:type="spellStart"/>
      <w:r w:rsidRPr="001256EA">
        <w:rPr>
          <w:rFonts w:ascii="Times New Roman" w:hAnsi="Times New Roman" w:cs="Times New Roman"/>
          <w:bCs/>
          <w:sz w:val="20"/>
          <w:szCs w:val="20"/>
          <w:lang w:val="fr-FR"/>
        </w:rPr>
        <w:t>Declaração</w:t>
      </w:r>
      <w:proofErr w:type="spellEnd"/>
      <w:r w:rsidRPr="001256EA">
        <w:rPr>
          <w:rFonts w:ascii="Times New Roman" w:hAnsi="Times New Roman" w:cs="Times New Roman"/>
          <w:bCs/>
          <w:sz w:val="20"/>
          <w:szCs w:val="20"/>
          <w:lang w:val="fr-FR"/>
        </w:rPr>
        <w:t xml:space="preserve"> de </w:t>
      </w:r>
      <w:proofErr w:type="spellStart"/>
      <w:r w:rsidRPr="001256EA">
        <w:rPr>
          <w:rFonts w:ascii="Times New Roman" w:hAnsi="Times New Roman" w:cs="Times New Roman"/>
          <w:bCs/>
          <w:sz w:val="20"/>
          <w:szCs w:val="20"/>
          <w:lang w:val="fr-FR"/>
        </w:rPr>
        <w:t>Inconstitucionalidade</w:t>
      </w:r>
      <w:proofErr w:type="spellEnd"/>
      <w:r w:rsidRPr="001256EA">
        <w:rPr>
          <w:rFonts w:ascii="Times New Roman" w:hAnsi="Times New Roman" w:cs="Times New Roman"/>
          <w:bCs/>
          <w:sz w:val="20"/>
          <w:szCs w:val="20"/>
          <w:lang w:val="fr-FR"/>
        </w:rPr>
        <w:t xml:space="preserve"> de </w:t>
      </w:r>
      <w:proofErr w:type="spellStart"/>
      <w:r w:rsidRPr="001256EA">
        <w:rPr>
          <w:rFonts w:ascii="Times New Roman" w:hAnsi="Times New Roman" w:cs="Times New Roman"/>
          <w:bCs/>
          <w:sz w:val="20"/>
          <w:szCs w:val="20"/>
          <w:lang w:val="fr-FR"/>
        </w:rPr>
        <w:t>Várias</w:t>
      </w:r>
      <w:proofErr w:type="spellEnd"/>
      <w:r w:rsidRPr="001256EA">
        <w:rPr>
          <w:rFonts w:ascii="Times New Roman" w:hAnsi="Times New Roman" w:cs="Times New Roman"/>
          <w:bCs/>
          <w:sz w:val="20"/>
          <w:szCs w:val="20"/>
          <w:lang w:val="fr-FR"/>
        </w:rPr>
        <w:t xml:space="preserve"> Normas Da Lei Da Morte </w:t>
      </w:r>
      <w:proofErr w:type="spellStart"/>
      <w:r w:rsidRPr="001256EA">
        <w:rPr>
          <w:rFonts w:ascii="Times New Roman" w:hAnsi="Times New Roman" w:cs="Times New Roman"/>
          <w:bCs/>
          <w:sz w:val="20"/>
          <w:szCs w:val="20"/>
          <w:lang w:val="fr-FR"/>
        </w:rPr>
        <w:t>Medicamente</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Assistida</w:t>
      </w:r>
      <w:proofErr w:type="spellEnd"/>
      <w:r w:rsidRPr="001256EA">
        <w:rPr>
          <w:rFonts w:ascii="Times New Roman" w:hAnsi="Times New Roman" w:cs="Times New Roman"/>
          <w:bCs/>
          <w:sz w:val="20"/>
          <w:szCs w:val="20"/>
          <w:lang w:val="fr-FR"/>
        </w:rPr>
        <w:t xml:space="preserve"> [</w:t>
      </w:r>
      <w:proofErr w:type="spellStart"/>
      <w:r w:rsidRPr="001256EA">
        <w:rPr>
          <w:rFonts w:ascii="Times New Roman" w:hAnsi="Times New Roman" w:cs="Times New Roman"/>
          <w:bCs/>
          <w:sz w:val="20"/>
          <w:szCs w:val="20"/>
          <w:lang w:val="fr-FR"/>
        </w:rPr>
        <w:t>Comunicado</w:t>
      </w:r>
      <w:proofErr w:type="spellEnd"/>
      <w:r w:rsidRPr="001256EA">
        <w:rPr>
          <w:rFonts w:ascii="Times New Roman" w:hAnsi="Times New Roman" w:cs="Times New Roman"/>
          <w:bCs/>
          <w:sz w:val="20"/>
          <w:szCs w:val="20"/>
          <w:lang w:val="fr-FR"/>
        </w:rPr>
        <w:t xml:space="preserve">]. </w:t>
      </w:r>
      <w:r w:rsidRPr="001256EA">
        <w:rPr>
          <w:rFonts w:ascii="Times New Roman" w:hAnsi="Times New Roman" w:cs="Times New Roman"/>
          <w:bCs/>
          <w:sz w:val="20"/>
          <w:szCs w:val="20"/>
        </w:rPr>
        <w:t xml:space="preserve">(Tribunal </w:t>
      </w:r>
      <w:proofErr w:type="spellStart"/>
      <w:r w:rsidRPr="001256EA">
        <w:rPr>
          <w:rFonts w:ascii="Times New Roman" w:hAnsi="Times New Roman" w:cs="Times New Roman"/>
          <w:bCs/>
          <w:sz w:val="20"/>
          <w:szCs w:val="20"/>
        </w:rPr>
        <w:t>Constitucional</w:t>
      </w:r>
      <w:proofErr w:type="spellEnd"/>
      <w:r w:rsidRPr="001256EA">
        <w:rPr>
          <w:rFonts w:ascii="Times New Roman" w:hAnsi="Times New Roman" w:cs="Times New Roman"/>
          <w:bCs/>
          <w:sz w:val="20"/>
          <w:szCs w:val="20"/>
        </w:rPr>
        <w:t xml:space="preserve"> 2023). Retrieved 08.22.2025, From: </w:t>
      </w:r>
      <w:hyperlink r:id="rId282" w:tgtFrame="_new" w:history="1">
        <w:r w:rsidRPr="001256EA">
          <w:rPr>
            <w:rStyle w:val="Hyperlink"/>
            <w:rFonts w:ascii="Times New Roman" w:hAnsi="Times New Roman" w:cs="Times New Roman"/>
            <w:bCs/>
            <w:sz w:val="20"/>
            <w:szCs w:val="20"/>
          </w:rPr>
          <w:t>https://www.tribunalconstitucional.pt/tc/imprensa0200-bd8632.html?utm</w:t>
        </w:r>
      </w:hyperlink>
    </w:p>
    <w:p w14:paraId="5F8CB663"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UDHR. (1948, December 10). Universal Declaration of Human Rights (UDHR). United Nations. Retrieved 07/23/2025, From: </w:t>
      </w:r>
      <w:hyperlink r:id="rId283" w:tgtFrame="_new" w:history="1">
        <w:r w:rsidRPr="001256EA">
          <w:rPr>
            <w:rStyle w:val="Hyperlink"/>
            <w:rFonts w:ascii="Times New Roman" w:hAnsi="Times New Roman" w:cs="Times New Roman"/>
            <w:bCs/>
            <w:sz w:val="20"/>
            <w:szCs w:val="20"/>
          </w:rPr>
          <w:t>https://www.un.org/en/about-us/universal-declaration-of-human-rights</w:t>
        </w:r>
      </w:hyperlink>
      <w:r w:rsidRPr="001256EA">
        <w:rPr>
          <w:rFonts w:ascii="Times New Roman" w:hAnsi="Times New Roman" w:cs="Times New Roman"/>
          <w:bCs/>
          <w:sz w:val="20"/>
          <w:szCs w:val="20"/>
        </w:rPr>
        <w:br/>
        <w:t xml:space="preserve">Voluntary Assisted Dying. (n.d.). Retrieved August 27, 2025, from Retrieved 08.22.2025, From: </w:t>
      </w:r>
      <w:hyperlink r:id="rId284" w:tgtFrame="_new" w:history="1">
        <w:r w:rsidRPr="001256EA">
          <w:rPr>
            <w:rStyle w:val="Hyperlink"/>
            <w:rFonts w:ascii="Times New Roman" w:hAnsi="Times New Roman" w:cs="Times New Roman"/>
            <w:bCs/>
            <w:sz w:val="20"/>
            <w:szCs w:val="20"/>
          </w:rPr>
          <w:t>https://www.health.wa.gov.au/voluntaryassisteddying?utm</w:t>
        </w:r>
      </w:hyperlink>
    </w:p>
    <w:p w14:paraId="1374AB99" w14:textId="77777777" w:rsidR="001C255C" w:rsidRPr="001256EA" w:rsidRDefault="009144D1" w:rsidP="001C255C">
      <w:pPr>
        <w:pStyle w:val="ListParagraph"/>
        <w:numPr>
          <w:ilvl w:val="0"/>
          <w:numId w:val="34"/>
        </w:numPr>
        <w:spacing w:line="276" w:lineRule="auto"/>
        <w:ind w:left="360"/>
        <w:jc w:val="both"/>
        <w:rPr>
          <w:rFonts w:ascii="Times New Roman" w:hAnsi="Times New Roman" w:cs="Times New Roman"/>
          <w:bCs/>
          <w:sz w:val="20"/>
          <w:szCs w:val="20"/>
        </w:rPr>
      </w:pPr>
      <w:r w:rsidRPr="001256EA">
        <w:rPr>
          <w:rFonts w:ascii="Times New Roman" w:hAnsi="Times New Roman" w:cs="Times New Roman"/>
          <w:bCs/>
          <w:sz w:val="20"/>
          <w:szCs w:val="20"/>
        </w:rPr>
        <w:t xml:space="preserve">Voluntary Assisted Dying (2025). End of Life Law in Australia. (n.d.). [General]. QUT; Queensland University of Technology. Retrieved August 27, 2025, from </w:t>
      </w:r>
      <w:proofErr w:type="spellStart"/>
      <w:proofErr w:type="gramStart"/>
      <w:r w:rsidRPr="001256EA">
        <w:rPr>
          <w:rFonts w:ascii="Times New Roman" w:hAnsi="Times New Roman" w:cs="Times New Roman"/>
          <w:bCs/>
          <w:sz w:val="20"/>
          <w:szCs w:val="20"/>
        </w:rPr>
        <w:t>From</w:t>
      </w:r>
      <w:proofErr w:type="spellEnd"/>
      <w:proofErr w:type="gramEnd"/>
      <w:r w:rsidRPr="001256EA">
        <w:rPr>
          <w:rFonts w:ascii="Times New Roman" w:hAnsi="Times New Roman" w:cs="Times New Roman"/>
          <w:bCs/>
          <w:sz w:val="20"/>
          <w:szCs w:val="20"/>
        </w:rPr>
        <w:t xml:space="preserve">: </w:t>
      </w:r>
      <w:hyperlink r:id="rId285" w:tgtFrame="_new" w:history="1">
        <w:r w:rsidRPr="001256EA">
          <w:rPr>
            <w:rStyle w:val="Hyperlink"/>
            <w:rFonts w:ascii="Times New Roman" w:hAnsi="Times New Roman" w:cs="Times New Roman"/>
            <w:bCs/>
            <w:sz w:val="20"/>
            <w:szCs w:val="20"/>
          </w:rPr>
          <w:t>https://end-of-life.qut.edu.au/assisteddying?utm</w:t>
        </w:r>
      </w:hyperlink>
    </w:p>
    <w:p w14:paraId="78A363CD" w14:textId="7DE7C0E1" w:rsidR="00F32265" w:rsidRPr="001256EA" w:rsidRDefault="009144D1" w:rsidP="001C255C">
      <w:pPr>
        <w:pStyle w:val="ListParagraph"/>
        <w:numPr>
          <w:ilvl w:val="0"/>
          <w:numId w:val="34"/>
        </w:numPr>
        <w:spacing w:line="276" w:lineRule="auto"/>
        <w:ind w:left="360"/>
        <w:jc w:val="both"/>
        <w:rPr>
          <w:rFonts w:ascii="Times New Roman" w:hAnsi="Times New Roman" w:cs="Times New Roman"/>
          <w:i/>
          <w:iCs/>
          <w:sz w:val="20"/>
          <w:szCs w:val="20"/>
        </w:rPr>
      </w:pPr>
      <w:r w:rsidRPr="001256EA">
        <w:rPr>
          <w:rFonts w:ascii="Times New Roman" w:hAnsi="Times New Roman" w:cs="Times New Roman"/>
          <w:bCs/>
          <w:sz w:val="20"/>
          <w:szCs w:val="20"/>
        </w:rPr>
        <w:t xml:space="preserve">World Map. (2024). World Map – The World Federation of Right to Die Societies. Retrieved 08.22.2025, From: </w:t>
      </w:r>
      <w:hyperlink r:id="rId286" w:tgtFrame="_new" w:history="1">
        <w:r w:rsidRPr="001256EA">
          <w:rPr>
            <w:rStyle w:val="Hyperlink"/>
            <w:rFonts w:ascii="Times New Roman" w:hAnsi="Times New Roman" w:cs="Times New Roman"/>
            <w:bCs/>
            <w:sz w:val="20"/>
            <w:szCs w:val="20"/>
          </w:rPr>
          <w:t>https://wfrtds.org/worldmap/</w:t>
        </w:r>
      </w:hyperlink>
    </w:p>
    <w:p w14:paraId="1CB438B2" w14:textId="450AB818" w:rsidR="00182536" w:rsidRPr="001256EA" w:rsidRDefault="00182536" w:rsidP="00CE5861">
      <w:pPr>
        <w:spacing w:line="360" w:lineRule="auto"/>
        <w:jc w:val="both"/>
        <w:rPr>
          <w:rFonts w:ascii="Times New Roman" w:hAnsi="Times New Roman" w:cs="Times New Roman"/>
        </w:rPr>
        <w:sectPr w:rsidR="00182536" w:rsidRPr="001256EA">
          <w:pgSz w:w="11906" w:h="16838"/>
          <w:pgMar w:top="1417" w:right="1417" w:bottom="1417" w:left="1417" w:header="720" w:footer="720" w:gutter="0"/>
          <w:cols w:space="720"/>
          <w:docGrid w:linePitch="360"/>
        </w:sectPr>
      </w:pPr>
    </w:p>
    <w:p w14:paraId="1F1CDA8A" w14:textId="0A9CC584" w:rsidR="007B42A5" w:rsidRDefault="007B42A5" w:rsidP="00B1409C">
      <w:pPr>
        <w:pStyle w:val="Heading1"/>
        <w:jc w:val="center"/>
        <w:rPr>
          <w:rFonts w:ascii="Times New Roman" w:hAnsi="Times New Roman" w:cs="Times New Roman"/>
          <w:b/>
          <w:bCs/>
          <w:iCs/>
          <w:color w:val="auto"/>
          <w:sz w:val="36"/>
          <w:szCs w:val="36"/>
          <w:lang w:val="en"/>
        </w:rPr>
      </w:pPr>
      <w:r w:rsidRPr="001256EA">
        <w:rPr>
          <w:rFonts w:ascii="Times New Roman" w:hAnsi="Times New Roman" w:cs="Times New Roman"/>
          <w:b/>
          <w:bCs/>
          <w:iCs/>
          <w:color w:val="auto"/>
          <w:sz w:val="36"/>
          <w:szCs w:val="36"/>
          <w:lang w:val="en"/>
        </w:rPr>
        <w:lastRenderedPageBreak/>
        <w:t>APPENDICES</w:t>
      </w:r>
    </w:p>
    <w:p w14:paraId="53B120C8" w14:textId="77777777" w:rsidR="00B1409C" w:rsidRPr="00B1409C" w:rsidRDefault="00B1409C" w:rsidP="00B1409C">
      <w:pPr>
        <w:rPr>
          <w:lang w:val="en"/>
        </w:rPr>
      </w:pPr>
    </w:p>
    <w:p w14:paraId="43F3D901" w14:textId="50B7BE7C" w:rsidR="00882CFC" w:rsidRPr="001256EA" w:rsidRDefault="003B709D" w:rsidP="009E184F">
      <w:pPr>
        <w:spacing w:line="240" w:lineRule="auto"/>
        <w:jc w:val="both"/>
        <w:rPr>
          <w:rFonts w:ascii="Times New Roman" w:hAnsi="Times New Roman" w:cs="Times New Roman"/>
          <w:sz w:val="24"/>
          <w:szCs w:val="24"/>
        </w:rPr>
      </w:pPr>
      <w:r w:rsidRPr="001256EA">
        <w:rPr>
          <w:rFonts w:ascii="Times New Roman" w:hAnsi="Times New Roman" w:cs="Times New Roman"/>
          <w:b/>
          <w:bCs/>
          <w:noProof/>
          <w:sz w:val="24"/>
          <w:szCs w:val="24"/>
        </w:rPr>
        <w:drawing>
          <wp:anchor distT="0" distB="0" distL="114300" distR="114300" simplePos="0" relativeHeight="251691008" behindDoc="0" locked="0" layoutInCell="1" allowOverlap="1" wp14:anchorId="66F49A1B" wp14:editId="179F4803">
            <wp:simplePos x="0" y="0"/>
            <wp:positionH relativeFrom="column">
              <wp:posOffset>0</wp:posOffset>
            </wp:positionH>
            <wp:positionV relativeFrom="paragraph">
              <wp:posOffset>501015</wp:posOffset>
            </wp:positionV>
            <wp:extent cx="5760720" cy="142430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760720" cy="1424305"/>
                    </a:xfrm>
                    <a:prstGeom prst="rect">
                      <a:avLst/>
                    </a:prstGeom>
                  </pic:spPr>
                </pic:pic>
              </a:graphicData>
            </a:graphic>
            <wp14:sizeRelH relativeFrom="margin">
              <wp14:pctWidth>0</wp14:pctWidth>
            </wp14:sizeRelH>
            <wp14:sizeRelV relativeFrom="margin">
              <wp14:pctHeight>0</wp14:pctHeight>
            </wp14:sizeRelV>
          </wp:anchor>
        </w:drawing>
      </w:r>
      <w:r w:rsidRPr="001256EA">
        <w:rPr>
          <w:rFonts w:ascii="Times New Roman" w:hAnsi="Times New Roman" w:cs="Times New Roman"/>
          <w:b/>
          <w:bCs/>
          <w:noProof/>
          <w:sz w:val="24"/>
          <w:szCs w:val="24"/>
        </w:rPr>
        <w:drawing>
          <wp:anchor distT="0" distB="0" distL="114300" distR="114300" simplePos="0" relativeHeight="251692032" behindDoc="0" locked="0" layoutInCell="1" allowOverlap="1" wp14:anchorId="49584FAD" wp14:editId="46C1E5F2">
            <wp:simplePos x="0" y="0"/>
            <wp:positionH relativeFrom="column">
              <wp:posOffset>0</wp:posOffset>
            </wp:positionH>
            <wp:positionV relativeFrom="paragraph">
              <wp:posOffset>1926590</wp:posOffset>
            </wp:positionV>
            <wp:extent cx="5760720" cy="14573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5760720" cy="1457325"/>
                    </a:xfrm>
                    <a:prstGeom prst="rect">
                      <a:avLst/>
                    </a:prstGeom>
                  </pic:spPr>
                </pic:pic>
              </a:graphicData>
            </a:graphic>
            <wp14:sizeRelH relativeFrom="margin">
              <wp14:pctWidth>0</wp14:pctWidth>
            </wp14:sizeRelH>
            <wp14:sizeRelV relativeFrom="margin">
              <wp14:pctHeight>0</wp14:pctHeight>
            </wp14:sizeRelV>
          </wp:anchor>
        </w:drawing>
      </w:r>
      <w:r w:rsidRPr="001256EA">
        <w:rPr>
          <w:rFonts w:ascii="Times New Roman" w:hAnsi="Times New Roman" w:cs="Times New Roman"/>
          <w:b/>
          <w:bCs/>
          <w:noProof/>
          <w:sz w:val="24"/>
          <w:szCs w:val="24"/>
        </w:rPr>
        <w:drawing>
          <wp:anchor distT="0" distB="0" distL="114300" distR="114300" simplePos="0" relativeHeight="251693056" behindDoc="0" locked="0" layoutInCell="1" allowOverlap="1" wp14:anchorId="73B1A1F3" wp14:editId="7D65D5A4">
            <wp:simplePos x="0" y="0"/>
            <wp:positionH relativeFrom="column">
              <wp:posOffset>0</wp:posOffset>
            </wp:positionH>
            <wp:positionV relativeFrom="paragraph">
              <wp:posOffset>3395345</wp:posOffset>
            </wp:positionV>
            <wp:extent cx="5760720" cy="14103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5760720" cy="1410335"/>
                    </a:xfrm>
                    <a:prstGeom prst="rect">
                      <a:avLst/>
                    </a:prstGeom>
                  </pic:spPr>
                </pic:pic>
              </a:graphicData>
            </a:graphic>
            <wp14:sizeRelH relativeFrom="margin">
              <wp14:pctWidth>0</wp14:pctWidth>
            </wp14:sizeRelH>
            <wp14:sizeRelV relativeFrom="margin">
              <wp14:pctHeight>0</wp14:pctHeight>
            </wp14:sizeRelV>
          </wp:anchor>
        </w:drawing>
      </w:r>
      <w:r w:rsidRPr="001256EA">
        <w:rPr>
          <w:rFonts w:ascii="Times New Roman" w:hAnsi="Times New Roman" w:cs="Times New Roman"/>
          <w:b/>
          <w:bCs/>
          <w:noProof/>
          <w:sz w:val="24"/>
          <w:szCs w:val="24"/>
        </w:rPr>
        <w:drawing>
          <wp:anchor distT="0" distB="0" distL="114300" distR="114300" simplePos="0" relativeHeight="251694080" behindDoc="0" locked="0" layoutInCell="1" allowOverlap="1" wp14:anchorId="6BD56369" wp14:editId="51030F11">
            <wp:simplePos x="0" y="0"/>
            <wp:positionH relativeFrom="column">
              <wp:posOffset>0</wp:posOffset>
            </wp:positionH>
            <wp:positionV relativeFrom="paragraph">
              <wp:posOffset>4806788</wp:posOffset>
            </wp:positionV>
            <wp:extent cx="5760720" cy="143637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760720" cy="1436370"/>
                    </a:xfrm>
                    <a:prstGeom prst="rect">
                      <a:avLst/>
                    </a:prstGeom>
                  </pic:spPr>
                </pic:pic>
              </a:graphicData>
            </a:graphic>
            <wp14:sizeRelH relativeFrom="margin">
              <wp14:pctWidth>0</wp14:pctWidth>
            </wp14:sizeRelH>
            <wp14:sizeRelV relativeFrom="margin">
              <wp14:pctHeight>0</wp14:pctHeight>
            </wp14:sizeRelV>
          </wp:anchor>
        </w:drawing>
      </w:r>
      <w:r w:rsidR="00882CFC" w:rsidRPr="001256EA">
        <w:rPr>
          <w:rFonts w:ascii="Times New Roman" w:hAnsi="Times New Roman" w:cs="Times New Roman"/>
          <w:b/>
          <w:bCs/>
          <w:sz w:val="24"/>
          <w:szCs w:val="24"/>
        </w:rPr>
        <w:t>Appendix 1</w:t>
      </w:r>
      <w:r w:rsidR="00882CFC" w:rsidRPr="001256EA">
        <w:rPr>
          <w:rFonts w:ascii="Times New Roman" w:hAnsi="Times New Roman" w:cs="Times New Roman"/>
          <w:sz w:val="24"/>
          <w:szCs w:val="24"/>
        </w:rPr>
        <w:t>.</w:t>
      </w:r>
      <w:r w:rsidRPr="001256EA">
        <w:rPr>
          <w:rFonts w:ascii="Times New Roman" w:hAnsi="Times New Roman" w:cs="Times New Roman"/>
          <w:sz w:val="24"/>
          <w:szCs w:val="24"/>
        </w:rPr>
        <w:t xml:space="preserve"> Distribution of subject areas related to euthanasia studies by field of science between 1986 and 2025 (created by the author). </w:t>
      </w:r>
    </w:p>
    <w:p w14:paraId="7FD8D911" w14:textId="1C3EE775" w:rsidR="00882CFC" w:rsidRPr="001256EA" w:rsidRDefault="00882CFC" w:rsidP="003B709D">
      <w:pPr>
        <w:tabs>
          <w:tab w:val="left" w:pos="1875"/>
        </w:tabs>
        <w:spacing w:line="360" w:lineRule="auto"/>
        <w:rPr>
          <w:rFonts w:ascii="Times New Roman" w:hAnsi="Times New Roman" w:cs="Times New Roman"/>
          <w:sz w:val="24"/>
          <w:szCs w:val="24"/>
        </w:rPr>
        <w:sectPr w:rsidR="00882CFC" w:rsidRPr="001256EA" w:rsidSect="00882CFC">
          <w:pgSz w:w="11906" w:h="16838"/>
          <w:pgMar w:top="1417" w:right="1417" w:bottom="1417" w:left="1417" w:header="720" w:footer="720" w:gutter="0"/>
          <w:pgNumType w:start="170"/>
          <w:cols w:space="720"/>
          <w:docGrid w:linePitch="360"/>
        </w:sectPr>
      </w:pPr>
      <w:r w:rsidRPr="001256EA">
        <w:rPr>
          <w:rFonts w:ascii="Times New Roman" w:hAnsi="Times New Roman" w:cs="Times New Roman"/>
          <w:sz w:val="24"/>
          <w:szCs w:val="24"/>
        </w:rPr>
        <w:tab/>
      </w:r>
    </w:p>
    <w:p w14:paraId="5CD09947" w14:textId="5A6DC601" w:rsidR="00474C3C" w:rsidRPr="001256EA" w:rsidRDefault="00474C3C" w:rsidP="00474C3C">
      <w:pPr>
        <w:spacing w:line="360" w:lineRule="auto"/>
        <w:rPr>
          <w:rFonts w:ascii="Times New Roman" w:hAnsi="Times New Roman" w:cs="Times New Roman"/>
          <w:sz w:val="24"/>
          <w:szCs w:val="24"/>
        </w:rPr>
      </w:pPr>
      <w:r w:rsidRPr="001256EA">
        <w:rPr>
          <w:rFonts w:ascii="Times New Roman" w:hAnsi="Times New Roman" w:cs="Times New Roman"/>
          <w:b/>
          <w:bCs/>
          <w:sz w:val="24"/>
          <w:szCs w:val="24"/>
        </w:rPr>
        <w:lastRenderedPageBreak/>
        <w:t xml:space="preserve">Appendix </w:t>
      </w:r>
      <w:r w:rsidR="00271DAE" w:rsidRPr="001256EA">
        <w:rPr>
          <w:rFonts w:ascii="Times New Roman" w:hAnsi="Times New Roman" w:cs="Times New Roman"/>
          <w:b/>
          <w:bCs/>
          <w:sz w:val="24"/>
          <w:szCs w:val="24"/>
        </w:rPr>
        <w:t>2</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Systematization of empirical and normative studies on euthanasia law</w:t>
      </w:r>
      <w:r w:rsidR="007B2F4F" w:rsidRPr="001256EA">
        <w:rPr>
          <w:rFonts w:ascii="Times New Roman" w:hAnsi="Times New Roman" w:cs="Times New Roman"/>
          <w:sz w:val="24"/>
          <w:szCs w:val="24"/>
        </w:rPr>
        <w:t xml:space="preserve"> (created by the author)</w:t>
      </w:r>
    </w:p>
    <w:tbl>
      <w:tblPr>
        <w:tblStyle w:val="PlainTable2"/>
        <w:tblW w:w="16020" w:type="dxa"/>
        <w:tblInd w:w="-990" w:type="dxa"/>
        <w:tblLayout w:type="fixed"/>
        <w:tblLook w:val="04A0" w:firstRow="1" w:lastRow="0" w:firstColumn="1" w:lastColumn="0" w:noHBand="0" w:noVBand="1"/>
      </w:tblPr>
      <w:tblGrid>
        <w:gridCol w:w="1508"/>
        <w:gridCol w:w="1282"/>
        <w:gridCol w:w="1108"/>
        <w:gridCol w:w="3122"/>
        <w:gridCol w:w="1440"/>
        <w:gridCol w:w="2970"/>
        <w:gridCol w:w="4590"/>
      </w:tblGrid>
      <w:tr w:rsidR="00474C3C" w:rsidRPr="001256EA" w14:paraId="0D6F9F53" w14:textId="77777777" w:rsidTr="00E04B7D">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7D676788" w14:textId="77777777" w:rsidR="00474C3C" w:rsidRPr="001256EA" w:rsidRDefault="00474C3C" w:rsidP="00E04B7D">
            <w:pPr>
              <w:jc w:val="center"/>
              <w:rPr>
                <w:rFonts w:ascii="Times New Roman" w:hAnsi="Times New Roman" w:cs="Times New Roman"/>
                <w:sz w:val="20"/>
                <w:szCs w:val="20"/>
              </w:rPr>
            </w:pPr>
            <w:r w:rsidRPr="001256EA">
              <w:rPr>
                <w:rFonts w:ascii="Times New Roman" w:hAnsi="Times New Roman" w:cs="Times New Roman"/>
                <w:sz w:val="20"/>
                <w:szCs w:val="20"/>
              </w:rPr>
              <w:t>Research axis</w:t>
            </w:r>
          </w:p>
        </w:tc>
        <w:tc>
          <w:tcPr>
            <w:tcW w:w="1282" w:type="dxa"/>
            <w:vAlign w:val="center"/>
          </w:tcPr>
          <w:p w14:paraId="02FBC246"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Topics </w:t>
            </w:r>
          </w:p>
        </w:tc>
        <w:tc>
          <w:tcPr>
            <w:tcW w:w="1108" w:type="dxa"/>
            <w:vAlign w:val="center"/>
          </w:tcPr>
          <w:p w14:paraId="0F58A045"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Authors</w:t>
            </w:r>
          </w:p>
        </w:tc>
        <w:tc>
          <w:tcPr>
            <w:tcW w:w="3122" w:type="dxa"/>
            <w:vAlign w:val="center"/>
          </w:tcPr>
          <w:p w14:paraId="56092A52"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Purpose</w:t>
            </w:r>
          </w:p>
        </w:tc>
        <w:tc>
          <w:tcPr>
            <w:tcW w:w="1440" w:type="dxa"/>
            <w:vAlign w:val="center"/>
          </w:tcPr>
          <w:p w14:paraId="38A95F8F"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Country</w:t>
            </w:r>
          </w:p>
        </w:tc>
        <w:tc>
          <w:tcPr>
            <w:tcW w:w="2970" w:type="dxa"/>
            <w:vAlign w:val="center"/>
          </w:tcPr>
          <w:p w14:paraId="54C3CDA2"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Methodology</w:t>
            </w:r>
          </w:p>
        </w:tc>
        <w:tc>
          <w:tcPr>
            <w:tcW w:w="4590" w:type="dxa"/>
            <w:vAlign w:val="center"/>
          </w:tcPr>
          <w:p w14:paraId="76B4B423" w14:textId="77777777" w:rsidR="00474C3C" w:rsidRPr="001256EA" w:rsidRDefault="00474C3C" w:rsidP="00E04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Key findings</w:t>
            </w:r>
          </w:p>
        </w:tc>
      </w:tr>
      <w:tr w:rsidR="00474C3C" w:rsidRPr="001256EA" w14:paraId="650E18D8" w14:textId="77777777" w:rsidTr="00E04B7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14:paraId="0E3FE954" w14:textId="77777777" w:rsidR="00474C3C" w:rsidRPr="001256EA" w:rsidRDefault="00474C3C" w:rsidP="00E04B7D">
            <w:pPr>
              <w:rPr>
                <w:rFonts w:ascii="Times New Roman" w:hAnsi="Times New Roman" w:cs="Times New Roman"/>
                <w:sz w:val="20"/>
                <w:szCs w:val="20"/>
              </w:rPr>
            </w:pPr>
            <w:r w:rsidRPr="001256EA">
              <w:rPr>
                <w:rFonts w:ascii="Times New Roman" w:hAnsi="Times New Roman" w:cs="Times New Roman"/>
                <w:sz w:val="20"/>
                <w:szCs w:val="20"/>
              </w:rPr>
              <w:t>Legal foundations and norm conflicts</w:t>
            </w:r>
          </w:p>
        </w:tc>
        <w:tc>
          <w:tcPr>
            <w:tcW w:w="1282" w:type="dxa"/>
            <w:vMerge w:val="restart"/>
            <w:vAlign w:val="center"/>
          </w:tcPr>
          <w:p w14:paraId="44E6FB81"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Legal regulation of assisted dying practices</w:t>
            </w:r>
          </w:p>
        </w:tc>
        <w:tc>
          <w:tcPr>
            <w:tcW w:w="1108" w:type="dxa"/>
            <w:vAlign w:val="center"/>
          </w:tcPr>
          <w:p w14:paraId="6C4B6258"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Onwuteaka</w:t>
            </w:r>
            <w:proofErr w:type="spellEnd"/>
            <w:r w:rsidRPr="001256EA">
              <w:rPr>
                <w:rFonts w:ascii="Times New Roman" w:hAnsi="Times New Roman" w:cs="Times New Roman"/>
                <w:sz w:val="20"/>
                <w:szCs w:val="20"/>
              </w:rPr>
              <w:t>-Philipsen et al.</w:t>
            </w:r>
            <w:r w:rsidRPr="001256EA">
              <w:rPr>
                <w:rFonts w:ascii="Times New Roman" w:hAnsi="Times New Roman" w:cs="Times New Roman"/>
                <w:sz w:val="20"/>
                <w:szCs w:val="20"/>
                <w:vertAlign w:val="superscript"/>
              </w:rPr>
              <w:footnoteReference w:id="412"/>
            </w:r>
          </w:p>
        </w:tc>
        <w:tc>
          <w:tcPr>
            <w:tcW w:w="3122" w:type="dxa"/>
            <w:vAlign w:val="center"/>
          </w:tcPr>
          <w:p w14:paraId="2308CC0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Assess frequency, characteristics, reporting, and trends of euthanasia and related end-of-life practices from 1990 to 2010</w:t>
            </w:r>
          </w:p>
        </w:tc>
        <w:tc>
          <w:tcPr>
            <w:tcW w:w="1440" w:type="dxa"/>
            <w:vAlign w:val="center"/>
          </w:tcPr>
          <w:p w14:paraId="2388A86D"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4CB21CB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Nationwide stratified sample death registry studies with mailed physician questionnaires (multiple years: 1990, 1995, 2001, 2005, 2010)</w:t>
            </w:r>
          </w:p>
        </w:tc>
        <w:tc>
          <w:tcPr>
            <w:tcW w:w="4590" w:type="dxa"/>
            <w:vAlign w:val="center"/>
          </w:tcPr>
          <w:p w14:paraId="6803638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 2010, euthanasia/physician-assisted suicide accounted for 28% of deaths, increased from 17% in 2005; 77% of cases were reported; life-ending without explicit request declined; continuous deep sedation increased; patient-requested stopping eating/drinking occurred in 0.4% of deaths; law enabled relatively transparent euthanasia practice</w:t>
            </w:r>
          </w:p>
        </w:tc>
      </w:tr>
      <w:tr w:rsidR="00474C3C" w:rsidRPr="001256EA" w14:paraId="4C403895" w14:textId="77777777" w:rsidTr="00E04B7D">
        <w:trPr>
          <w:trHeight w:val="345"/>
        </w:trPr>
        <w:tc>
          <w:tcPr>
            <w:cnfStyle w:val="001000000000" w:firstRow="0" w:lastRow="0" w:firstColumn="1" w:lastColumn="0" w:oddVBand="0" w:evenVBand="0" w:oddHBand="0" w:evenHBand="0" w:firstRowFirstColumn="0" w:firstRowLastColumn="0" w:lastRowFirstColumn="0" w:lastRowLastColumn="0"/>
            <w:tcW w:w="1508" w:type="dxa"/>
            <w:vMerge/>
          </w:tcPr>
          <w:p w14:paraId="68DBF866" w14:textId="77777777" w:rsidR="00474C3C" w:rsidRPr="001256EA" w:rsidRDefault="00474C3C" w:rsidP="00E04B7D">
            <w:pPr>
              <w:rPr>
                <w:rFonts w:ascii="Times New Roman" w:hAnsi="Times New Roman" w:cs="Times New Roman"/>
                <w:sz w:val="20"/>
                <w:szCs w:val="20"/>
              </w:rPr>
            </w:pPr>
          </w:p>
        </w:tc>
        <w:tc>
          <w:tcPr>
            <w:tcW w:w="1282" w:type="dxa"/>
            <w:vMerge/>
            <w:tcBorders>
              <w:top w:val="single" w:sz="4" w:space="0" w:color="7F7F7F" w:themeColor="text1" w:themeTint="80"/>
              <w:bottom w:val="single" w:sz="4" w:space="0" w:color="auto"/>
            </w:tcBorders>
          </w:tcPr>
          <w:p w14:paraId="59D54A67"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tcBorders>
              <w:top w:val="single" w:sz="4" w:space="0" w:color="7F7F7F" w:themeColor="text1" w:themeTint="80"/>
              <w:bottom w:val="single" w:sz="4" w:space="0" w:color="auto"/>
            </w:tcBorders>
            <w:vAlign w:val="center"/>
          </w:tcPr>
          <w:p w14:paraId="66943A17" w14:textId="77777777" w:rsidR="00474C3C" w:rsidRPr="00902F03"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a-DK"/>
              </w:rPr>
            </w:pPr>
            <w:r w:rsidRPr="00902F03">
              <w:rPr>
                <w:rFonts w:ascii="Times New Roman" w:hAnsi="Times New Roman" w:cs="Times New Roman"/>
                <w:sz w:val="20"/>
                <w:szCs w:val="20"/>
                <w:lang w:val="da-DK"/>
              </w:rPr>
              <w:t>Van den Ende et al.</w:t>
            </w:r>
            <w:r w:rsidRPr="001256EA">
              <w:rPr>
                <w:rFonts w:ascii="Times New Roman" w:hAnsi="Times New Roman" w:cs="Times New Roman"/>
                <w:sz w:val="20"/>
                <w:szCs w:val="20"/>
                <w:vertAlign w:val="superscript"/>
              </w:rPr>
              <w:footnoteReference w:id="413"/>
            </w:r>
          </w:p>
        </w:tc>
        <w:tc>
          <w:tcPr>
            <w:tcW w:w="3122" w:type="dxa"/>
            <w:tcBorders>
              <w:top w:val="single" w:sz="4" w:space="0" w:color="7F7F7F" w:themeColor="text1" w:themeTint="80"/>
              <w:bottom w:val="single" w:sz="4" w:space="0" w:color="auto"/>
            </w:tcBorders>
            <w:vAlign w:val="center"/>
          </w:tcPr>
          <w:p w14:paraId="5F857B0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Following patients over 1 year after PAD request denial by EEC to assess well-being, persistence of wish, and mortality</w:t>
            </w:r>
          </w:p>
        </w:tc>
        <w:tc>
          <w:tcPr>
            <w:tcW w:w="1440" w:type="dxa"/>
            <w:tcBorders>
              <w:top w:val="single" w:sz="4" w:space="0" w:color="7F7F7F" w:themeColor="text1" w:themeTint="80"/>
              <w:bottom w:val="single" w:sz="4" w:space="0" w:color="auto"/>
            </w:tcBorders>
            <w:vAlign w:val="center"/>
          </w:tcPr>
          <w:p w14:paraId="1ECE240C"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tcBorders>
              <w:top w:val="single" w:sz="4" w:space="0" w:color="7F7F7F" w:themeColor="text1" w:themeTint="80"/>
              <w:bottom w:val="single" w:sz="4" w:space="0" w:color="auto"/>
            </w:tcBorders>
            <w:vAlign w:val="center"/>
          </w:tcPr>
          <w:p w14:paraId="6549AC0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Prospective follow-up study (2016–2020) of 66 patients with questionnaires and medical record review</w:t>
            </w:r>
          </w:p>
        </w:tc>
        <w:tc>
          <w:tcPr>
            <w:tcW w:w="4590" w:type="dxa"/>
            <w:tcBorders>
              <w:top w:val="single" w:sz="4" w:space="0" w:color="7F7F7F" w:themeColor="text1" w:themeTint="80"/>
              <w:bottom w:val="single" w:sz="4" w:space="0" w:color="auto"/>
            </w:tcBorders>
            <w:vAlign w:val="center"/>
          </w:tcPr>
          <w:p w14:paraId="5659C0A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58% had multiple age-related complaints; 23% died within a year (3 suicides); most survivors persisted in wish for PAD; many were in poor health; aftercare is necessary for declined patients due to ongoing suffering</w:t>
            </w:r>
          </w:p>
        </w:tc>
      </w:tr>
      <w:tr w:rsidR="00474C3C" w:rsidRPr="001256EA" w14:paraId="6444C67C" w14:textId="77777777" w:rsidTr="00E04B7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508" w:type="dxa"/>
            <w:vMerge/>
          </w:tcPr>
          <w:p w14:paraId="56C78046" w14:textId="77777777" w:rsidR="00474C3C" w:rsidRPr="001256EA" w:rsidRDefault="00474C3C" w:rsidP="00E04B7D">
            <w:pPr>
              <w:rPr>
                <w:rFonts w:ascii="Times New Roman" w:hAnsi="Times New Roman" w:cs="Times New Roman"/>
                <w:sz w:val="20"/>
                <w:szCs w:val="20"/>
              </w:rPr>
            </w:pPr>
          </w:p>
        </w:tc>
        <w:tc>
          <w:tcPr>
            <w:tcW w:w="1282" w:type="dxa"/>
            <w:tcBorders>
              <w:top w:val="single" w:sz="4" w:space="0" w:color="auto"/>
            </w:tcBorders>
            <w:vAlign w:val="center"/>
          </w:tcPr>
          <w:p w14:paraId="3E90D698"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 xml:space="preserve">Cross-border legal norms on euthanasia </w:t>
            </w:r>
          </w:p>
        </w:tc>
        <w:tc>
          <w:tcPr>
            <w:tcW w:w="1108" w:type="dxa"/>
            <w:tcBorders>
              <w:top w:val="single" w:sz="4" w:space="0" w:color="auto"/>
            </w:tcBorders>
            <w:vAlign w:val="center"/>
          </w:tcPr>
          <w:p w14:paraId="558564E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Bernal &amp; Trejo-Gabriel-Galan</w:t>
            </w:r>
            <w:r w:rsidRPr="001256EA">
              <w:rPr>
                <w:rFonts w:ascii="Times New Roman" w:hAnsi="Times New Roman" w:cs="Times New Roman"/>
                <w:sz w:val="20"/>
                <w:szCs w:val="20"/>
                <w:vertAlign w:val="superscript"/>
              </w:rPr>
              <w:footnoteReference w:id="414"/>
            </w:r>
          </w:p>
        </w:tc>
        <w:tc>
          <w:tcPr>
            <w:tcW w:w="3122" w:type="dxa"/>
            <w:tcBorders>
              <w:top w:val="single" w:sz="4" w:space="0" w:color="auto"/>
            </w:tcBorders>
            <w:vAlign w:val="center"/>
          </w:tcPr>
          <w:p w14:paraId="797CCA0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Compare Spanish euthanasia and assisted suicide law with those of other countries</w:t>
            </w:r>
          </w:p>
        </w:tc>
        <w:tc>
          <w:tcPr>
            <w:tcW w:w="1440" w:type="dxa"/>
            <w:tcBorders>
              <w:top w:val="single" w:sz="4" w:space="0" w:color="auto"/>
            </w:tcBorders>
            <w:vAlign w:val="center"/>
          </w:tcPr>
          <w:p w14:paraId="435F861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 (focus) and international comparison</w:t>
            </w:r>
          </w:p>
        </w:tc>
        <w:tc>
          <w:tcPr>
            <w:tcW w:w="2970" w:type="dxa"/>
            <w:tcBorders>
              <w:top w:val="single" w:sz="4" w:space="0" w:color="auto"/>
            </w:tcBorders>
            <w:vAlign w:val="center"/>
          </w:tcPr>
          <w:p w14:paraId="42A93EC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Systematic literature review (2002–2020) of 30 selected studies from 1647 identified</w:t>
            </w:r>
          </w:p>
        </w:tc>
        <w:tc>
          <w:tcPr>
            <w:tcW w:w="4590" w:type="dxa"/>
            <w:tcBorders>
              <w:top w:val="single" w:sz="4" w:space="0" w:color="auto"/>
            </w:tcBorders>
            <w:vAlign w:val="center"/>
          </w:tcPr>
          <w:p w14:paraId="71DA719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Euthanasia laws fall into three groups: full euthanasia and assisted suicide (Netherlands, Belgium, some Australia states, New Zealand, Spain), assisted suicide only (USA), assisted suicide based on court decisions without specific laws (Switzerland, Germany); Spanish law closely resembles Netherlands and Belgium, so similar future case profiles are expected</w:t>
            </w:r>
          </w:p>
        </w:tc>
      </w:tr>
      <w:tr w:rsidR="00474C3C" w:rsidRPr="001256EA" w14:paraId="15AC32E0" w14:textId="77777777" w:rsidTr="00E04B7D">
        <w:trPr>
          <w:trHeight w:val="210"/>
        </w:trPr>
        <w:tc>
          <w:tcPr>
            <w:cnfStyle w:val="001000000000" w:firstRow="0" w:lastRow="0" w:firstColumn="1" w:lastColumn="0" w:oddVBand="0" w:evenVBand="0" w:oddHBand="0" w:evenHBand="0" w:firstRowFirstColumn="0" w:firstRowLastColumn="0" w:lastRowFirstColumn="0" w:lastRowLastColumn="0"/>
            <w:tcW w:w="1508" w:type="dxa"/>
            <w:vMerge/>
          </w:tcPr>
          <w:p w14:paraId="3D7F5D09"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5A2101E0"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Euthanasia and human rights conflict</w:t>
            </w:r>
          </w:p>
        </w:tc>
        <w:tc>
          <w:tcPr>
            <w:tcW w:w="1108" w:type="dxa"/>
            <w:vAlign w:val="center"/>
          </w:tcPr>
          <w:p w14:paraId="3F51E5E3"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Kadir et al.</w:t>
            </w:r>
            <w:r w:rsidRPr="001256EA">
              <w:rPr>
                <w:rFonts w:ascii="Times New Roman" w:hAnsi="Times New Roman" w:cs="Times New Roman"/>
                <w:sz w:val="20"/>
                <w:szCs w:val="20"/>
                <w:vertAlign w:val="superscript"/>
              </w:rPr>
              <w:footnoteReference w:id="415"/>
            </w:r>
          </w:p>
        </w:tc>
        <w:tc>
          <w:tcPr>
            <w:tcW w:w="3122" w:type="dxa"/>
            <w:vAlign w:val="center"/>
          </w:tcPr>
          <w:p w14:paraId="43ED0470"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Explain the absolute right to life under Indonesian Human Rights Law (Law No. 39 of 1999) and its incompatibility with euthanasia</w:t>
            </w:r>
          </w:p>
        </w:tc>
        <w:tc>
          <w:tcPr>
            <w:tcW w:w="1440" w:type="dxa"/>
            <w:vAlign w:val="center"/>
          </w:tcPr>
          <w:p w14:paraId="76D027C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Indonesia</w:t>
            </w:r>
          </w:p>
        </w:tc>
        <w:tc>
          <w:tcPr>
            <w:tcW w:w="2970" w:type="dxa"/>
            <w:vAlign w:val="center"/>
          </w:tcPr>
          <w:p w14:paraId="2A922CF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Legal/normative analysis of human rights law</w:t>
            </w:r>
          </w:p>
        </w:tc>
        <w:tc>
          <w:tcPr>
            <w:tcW w:w="4590" w:type="dxa"/>
            <w:vAlign w:val="center"/>
          </w:tcPr>
          <w:p w14:paraId="44D40AB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Euthanasia is not allowed under Indonesian law as it violates the absolute right to life and other fundamental rights; human rights cannot be reduced under any circumstances</w:t>
            </w:r>
          </w:p>
        </w:tc>
      </w:tr>
      <w:tr w:rsidR="00474C3C" w:rsidRPr="001256EA" w14:paraId="7EC038D5" w14:textId="77777777" w:rsidTr="00E04B7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08" w:type="dxa"/>
            <w:vMerge/>
          </w:tcPr>
          <w:p w14:paraId="0A2882C9" w14:textId="77777777" w:rsidR="00474C3C" w:rsidRPr="001256EA" w:rsidRDefault="00474C3C" w:rsidP="00E04B7D">
            <w:pPr>
              <w:rPr>
                <w:rFonts w:ascii="Times New Roman" w:hAnsi="Times New Roman" w:cs="Times New Roman"/>
                <w:sz w:val="20"/>
                <w:szCs w:val="20"/>
              </w:rPr>
            </w:pPr>
          </w:p>
        </w:tc>
        <w:tc>
          <w:tcPr>
            <w:tcW w:w="1282" w:type="dxa"/>
            <w:vMerge/>
          </w:tcPr>
          <w:p w14:paraId="4F2E107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353A8EF5"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Kamri</w:t>
            </w:r>
            <w:r w:rsidRPr="001256EA">
              <w:rPr>
                <w:rFonts w:ascii="Times New Roman" w:hAnsi="Times New Roman" w:cs="Times New Roman"/>
                <w:sz w:val="20"/>
                <w:szCs w:val="20"/>
                <w:vertAlign w:val="superscript"/>
              </w:rPr>
              <w:footnoteReference w:id="416"/>
            </w:r>
          </w:p>
        </w:tc>
        <w:tc>
          <w:tcPr>
            <w:tcW w:w="3122" w:type="dxa"/>
            <w:vAlign w:val="center"/>
          </w:tcPr>
          <w:p w14:paraId="228B0BC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euthanasia treatment by physicians from Islamic legal and human rights perspectives, exploring ethical and legal considerations</w:t>
            </w:r>
          </w:p>
        </w:tc>
        <w:tc>
          <w:tcPr>
            <w:tcW w:w="1440" w:type="dxa"/>
            <w:vAlign w:val="center"/>
          </w:tcPr>
          <w:p w14:paraId="4B504CD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Indonesia</w:t>
            </w:r>
          </w:p>
        </w:tc>
        <w:tc>
          <w:tcPr>
            <w:tcW w:w="2970" w:type="dxa"/>
            <w:vAlign w:val="center"/>
          </w:tcPr>
          <w:p w14:paraId="62A031F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Normative legal analysis of Islamic criminal law and Indonesian legal frameworks, including expert opinions</w:t>
            </w:r>
          </w:p>
        </w:tc>
        <w:tc>
          <w:tcPr>
            <w:tcW w:w="4590" w:type="dxa"/>
            <w:vAlign w:val="center"/>
          </w:tcPr>
          <w:p w14:paraId="36A8A49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Active euthanasia is illegal under Islamic law, equated with suicide; Indonesian law upholds right to life with legal consequences for violations; calls for ethical guidelines integrating Islamic principles and human rights in end-of-life care</w:t>
            </w:r>
          </w:p>
        </w:tc>
      </w:tr>
      <w:tr w:rsidR="00474C3C" w:rsidRPr="001256EA" w14:paraId="2977C717" w14:textId="77777777" w:rsidTr="00E04B7D">
        <w:trPr>
          <w:trHeight w:val="230"/>
        </w:trPr>
        <w:tc>
          <w:tcPr>
            <w:cnfStyle w:val="001000000000" w:firstRow="0" w:lastRow="0" w:firstColumn="1" w:lastColumn="0" w:oddVBand="0" w:evenVBand="0" w:oddHBand="0" w:evenHBand="0" w:firstRowFirstColumn="0" w:firstRowLastColumn="0" w:lastRowFirstColumn="0" w:lastRowLastColumn="0"/>
            <w:tcW w:w="1508" w:type="dxa"/>
            <w:vMerge/>
          </w:tcPr>
          <w:p w14:paraId="2F5131C0"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58EE5BA7"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Judicial scrutiny of end-of-life criteria</w:t>
            </w:r>
          </w:p>
        </w:tc>
        <w:tc>
          <w:tcPr>
            <w:tcW w:w="1108" w:type="dxa"/>
            <w:vAlign w:val="center"/>
          </w:tcPr>
          <w:p w14:paraId="4B3F0BC1"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Pope &amp; </w:t>
            </w:r>
            <w:proofErr w:type="spellStart"/>
            <w:r w:rsidRPr="001256EA">
              <w:rPr>
                <w:rFonts w:ascii="Times New Roman" w:hAnsi="Times New Roman" w:cs="Times New Roman"/>
                <w:sz w:val="20"/>
                <w:szCs w:val="20"/>
              </w:rPr>
              <w:t>Okninski</w:t>
            </w:r>
            <w:proofErr w:type="spellEnd"/>
            <w:r w:rsidRPr="001256EA">
              <w:rPr>
                <w:rFonts w:ascii="Times New Roman" w:hAnsi="Times New Roman" w:cs="Times New Roman"/>
                <w:sz w:val="20"/>
                <w:szCs w:val="20"/>
                <w:vertAlign w:val="superscript"/>
              </w:rPr>
              <w:footnoteReference w:id="417"/>
            </w:r>
          </w:p>
        </w:tc>
        <w:tc>
          <w:tcPr>
            <w:tcW w:w="3122" w:type="dxa"/>
            <w:vAlign w:val="center"/>
          </w:tcPr>
          <w:p w14:paraId="4CB2CF2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legal challenges concerning medical criteria for brain death and evaluate a South Australian Bill on voluntary euthanasia, focusing on undue influence in voluntary decisions</w:t>
            </w:r>
          </w:p>
        </w:tc>
        <w:tc>
          <w:tcPr>
            <w:tcW w:w="1440" w:type="dxa"/>
            <w:vAlign w:val="center"/>
          </w:tcPr>
          <w:p w14:paraId="02C184B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United States (legal case) and South Australia (proposed legislation)</w:t>
            </w:r>
          </w:p>
        </w:tc>
        <w:tc>
          <w:tcPr>
            <w:tcW w:w="2970" w:type="dxa"/>
            <w:vAlign w:val="center"/>
          </w:tcPr>
          <w:p w14:paraId="550D959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 and normative analysis of court decisions and legislative proposals</w:t>
            </w:r>
          </w:p>
        </w:tc>
        <w:tc>
          <w:tcPr>
            <w:tcW w:w="4590" w:type="dxa"/>
            <w:vAlign w:val="center"/>
          </w:tcPr>
          <w:p w14:paraId="05304FF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Highlights mismatch between legal and medical standards for brain death; critiques Bill for lacking adequate safeguards to assess undue influence in euthanasia requests</w:t>
            </w:r>
          </w:p>
        </w:tc>
      </w:tr>
      <w:tr w:rsidR="00474C3C" w:rsidRPr="001256EA" w14:paraId="45D119E2" w14:textId="77777777" w:rsidTr="00E04B7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08" w:type="dxa"/>
            <w:vMerge/>
          </w:tcPr>
          <w:p w14:paraId="731D7E77" w14:textId="77777777" w:rsidR="00474C3C" w:rsidRPr="001256EA" w:rsidRDefault="00474C3C" w:rsidP="00E04B7D">
            <w:pPr>
              <w:rPr>
                <w:rFonts w:ascii="Times New Roman" w:hAnsi="Times New Roman" w:cs="Times New Roman"/>
                <w:sz w:val="20"/>
                <w:szCs w:val="20"/>
              </w:rPr>
            </w:pPr>
          </w:p>
        </w:tc>
        <w:tc>
          <w:tcPr>
            <w:tcW w:w="1282" w:type="dxa"/>
            <w:vMerge/>
          </w:tcPr>
          <w:p w14:paraId="4D899583"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3239AD3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Klampfer</w:t>
            </w:r>
            <w:proofErr w:type="spellEnd"/>
            <w:r w:rsidRPr="001256EA">
              <w:rPr>
                <w:rFonts w:ascii="Times New Roman" w:hAnsi="Times New Roman" w:cs="Times New Roman"/>
                <w:sz w:val="20"/>
                <w:szCs w:val="20"/>
                <w:vertAlign w:val="superscript"/>
              </w:rPr>
              <w:footnoteReference w:id="418"/>
            </w:r>
          </w:p>
        </w:tc>
        <w:tc>
          <w:tcPr>
            <w:tcW w:w="3122" w:type="dxa"/>
            <w:vAlign w:val="center"/>
          </w:tcPr>
          <w:p w14:paraId="69B6DCA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Examine the slippery slope argument against legalization of active voluntary euthanasia (AVE) by reviewing empirical evidence</w:t>
            </w:r>
          </w:p>
        </w:tc>
        <w:tc>
          <w:tcPr>
            <w:tcW w:w="1440" w:type="dxa"/>
            <w:vAlign w:val="center"/>
          </w:tcPr>
          <w:p w14:paraId="273C3CC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Normative analysis about Netherlands, Belgium, US, Switzerland, Luxemburg, Canada and Australia </w:t>
            </w:r>
          </w:p>
        </w:tc>
        <w:tc>
          <w:tcPr>
            <w:tcW w:w="2970" w:type="dxa"/>
            <w:vAlign w:val="center"/>
          </w:tcPr>
          <w:p w14:paraId="4CF3672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Critical review and analysis of existing statistical data and ethical arguments</w:t>
            </w:r>
          </w:p>
        </w:tc>
        <w:tc>
          <w:tcPr>
            <w:tcW w:w="4590" w:type="dxa"/>
            <w:vAlign w:val="center"/>
          </w:tcPr>
          <w:p w14:paraId="30C9B92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 empirical evidence supports the slippery slope fears; maintaining legal ban is unjustified due to moral costs and inefficiency; precautionary reasoning insufficient to prohibit AVE</w:t>
            </w:r>
          </w:p>
        </w:tc>
      </w:tr>
      <w:tr w:rsidR="00474C3C" w:rsidRPr="001256EA" w14:paraId="4BC24DA0" w14:textId="77777777" w:rsidTr="00E04B7D">
        <w:trPr>
          <w:trHeight w:val="141"/>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14:paraId="01DAD197" w14:textId="77777777" w:rsidR="00474C3C" w:rsidRPr="001256EA" w:rsidRDefault="00474C3C" w:rsidP="00E04B7D">
            <w:pPr>
              <w:rPr>
                <w:rFonts w:ascii="Times New Roman" w:hAnsi="Times New Roman" w:cs="Times New Roman"/>
                <w:sz w:val="20"/>
                <w:szCs w:val="20"/>
              </w:rPr>
            </w:pPr>
            <w:r w:rsidRPr="001256EA">
              <w:rPr>
                <w:rFonts w:ascii="Times New Roman" w:hAnsi="Times New Roman" w:cs="Times New Roman"/>
                <w:sz w:val="20"/>
                <w:szCs w:val="20"/>
              </w:rPr>
              <w:t>Legislative scope and eligibility expansion</w:t>
            </w:r>
          </w:p>
          <w:p w14:paraId="42A74334"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25CA0852"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 xml:space="preserve">Euthanasia law extension to minors </w:t>
            </w:r>
          </w:p>
        </w:tc>
        <w:tc>
          <w:tcPr>
            <w:tcW w:w="1108" w:type="dxa"/>
            <w:vAlign w:val="center"/>
          </w:tcPr>
          <w:p w14:paraId="52AE07E1"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Pousset</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19"/>
            </w:r>
          </w:p>
        </w:tc>
        <w:tc>
          <w:tcPr>
            <w:tcW w:w="3122" w:type="dxa"/>
            <w:vAlign w:val="center"/>
          </w:tcPr>
          <w:p w14:paraId="797137A0"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physicians’ attitudes toward physician-assisted death (PAD) in minors and its relation to actual end-of-life practices</w:t>
            </w:r>
          </w:p>
        </w:tc>
        <w:tc>
          <w:tcPr>
            <w:tcW w:w="1440" w:type="dxa"/>
            <w:vAlign w:val="center"/>
          </w:tcPr>
          <w:p w14:paraId="076FDCC1"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697493A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Anonymous population-based postmortem physician survey (N=149 cases, 124 physicians responded)</w:t>
            </w:r>
          </w:p>
        </w:tc>
        <w:tc>
          <w:tcPr>
            <w:tcW w:w="4590" w:type="dxa"/>
            <w:vAlign w:val="center"/>
          </w:tcPr>
          <w:p w14:paraId="38526390"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69% favor extending euthanasia law to minors; preference for assessing decision-making capacity over age limits; accepting physicians more likely to engage in life-shortening practices</w:t>
            </w:r>
          </w:p>
        </w:tc>
      </w:tr>
      <w:tr w:rsidR="00474C3C" w:rsidRPr="001256EA" w14:paraId="50EF1A3B" w14:textId="77777777" w:rsidTr="00E04B7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7828C372" w14:textId="77777777" w:rsidR="00474C3C" w:rsidRPr="001256EA" w:rsidRDefault="00474C3C" w:rsidP="00E04B7D">
            <w:pPr>
              <w:rPr>
                <w:rFonts w:ascii="Times New Roman" w:hAnsi="Times New Roman" w:cs="Times New Roman"/>
                <w:sz w:val="20"/>
                <w:szCs w:val="20"/>
              </w:rPr>
            </w:pPr>
          </w:p>
        </w:tc>
        <w:tc>
          <w:tcPr>
            <w:tcW w:w="1282" w:type="dxa"/>
            <w:vMerge/>
          </w:tcPr>
          <w:p w14:paraId="4EDEE1D3"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578A4DC4"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Smets et al.</w:t>
            </w:r>
            <w:r w:rsidRPr="001256EA">
              <w:rPr>
                <w:rFonts w:ascii="Times New Roman" w:hAnsi="Times New Roman" w:cs="Times New Roman"/>
                <w:sz w:val="20"/>
                <w:szCs w:val="20"/>
                <w:vertAlign w:val="superscript"/>
              </w:rPr>
              <w:footnoteReference w:id="420"/>
            </w:r>
          </w:p>
        </w:tc>
        <w:tc>
          <w:tcPr>
            <w:tcW w:w="3122" w:type="dxa"/>
            <w:vAlign w:val="center"/>
          </w:tcPr>
          <w:p w14:paraId="6FD64A8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Study attitudes of Belgian physicians toward euthanasia law, use of life-ending drugs, and factors predicting attitudes and performance</w:t>
            </w:r>
          </w:p>
        </w:tc>
        <w:tc>
          <w:tcPr>
            <w:tcW w:w="1440" w:type="dxa"/>
            <w:vAlign w:val="center"/>
          </w:tcPr>
          <w:p w14:paraId="0AF6976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311A38D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Questionnaire survey (3006 physicians, 34% response)</w:t>
            </w:r>
          </w:p>
        </w:tc>
        <w:tc>
          <w:tcPr>
            <w:tcW w:w="4590" w:type="dxa"/>
            <w:vAlign w:val="center"/>
          </w:tcPr>
          <w:p w14:paraId="56031FFD"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90% accept euthanasia for terminal patients with uncontrollable symptoms; religious beliefs and region influence attitudes; 20% performed euthanasia; trained physicians more supportive</w:t>
            </w:r>
          </w:p>
        </w:tc>
      </w:tr>
      <w:tr w:rsidR="00474C3C" w:rsidRPr="001256EA" w14:paraId="218FA985" w14:textId="77777777" w:rsidTr="00E04B7D">
        <w:trPr>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7FCE23CB" w14:textId="77777777" w:rsidR="00474C3C" w:rsidRPr="001256EA" w:rsidRDefault="00474C3C" w:rsidP="00E04B7D">
            <w:pPr>
              <w:rPr>
                <w:rFonts w:ascii="Times New Roman" w:hAnsi="Times New Roman" w:cs="Times New Roman"/>
                <w:sz w:val="20"/>
                <w:szCs w:val="20"/>
              </w:rPr>
            </w:pPr>
          </w:p>
        </w:tc>
        <w:tc>
          <w:tcPr>
            <w:tcW w:w="1282" w:type="dxa"/>
            <w:vMerge/>
          </w:tcPr>
          <w:p w14:paraId="22402533"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11DFD226"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Van </w:t>
            </w:r>
            <w:proofErr w:type="spellStart"/>
            <w:r w:rsidRPr="001256EA">
              <w:rPr>
                <w:rFonts w:ascii="Times New Roman" w:hAnsi="Times New Roman" w:cs="Times New Roman"/>
                <w:sz w:val="20"/>
                <w:szCs w:val="20"/>
              </w:rPr>
              <w:t>Wesemael</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21"/>
            </w:r>
          </w:p>
        </w:tc>
        <w:tc>
          <w:tcPr>
            <w:tcW w:w="3122" w:type="dxa"/>
            <w:vAlign w:val="center"/>
          </w:tcPr>
          <w:p w14:paraId="528DAD4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Describe outcomes of euthanasia requests since legalization in Belgium and factors influencing granting, withdrawal, or rejection</w:t>
            </w:r>
          </w:p>
        </w:tc>
        <w:tc>
          <w:tcPr>
            <w:tcW w:w="1440" w:type="dxa"/>
            <w:vAlign w:val="center"/>
          </w:tcPr>
          <w:p w14:paraId="203C925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4EC6295B"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Questionnaire survey of 3006 physicians about recent euthanasia requests, 34% response rate</w:t>
            </w:r>
          </w:p>
        </w:tc>
        <w:tc>
          <w:tcPr>
            <w:tcW w:w="4590" w:type="dxa"/>
            <w:vAlign w:val="center"/>
          </w:tcPr>
          <w:p w14:paraId="232D728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39% received euthanasia requests; 48% granted, 5% refused, 10% withdrawn; patient and physician factors influence granting; second physician’s advice important</w:t>
            </w:r>
          </w:p>
        </w:tc>
      </w:tr>
      <w:tr w:rsidR="00474C3C" w:rsidRPr="001256EA" w14:paraId="2BAB6D6A" w14:textId="77777777" w:rsidTr="00E04B7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08" w:type="dxa"/>
            <w:vMerge/>
          </w:tcPr>
          <w:p w14:paraId="1F670C30" w14:textId="77777777" w:rsidR="00474C3C" w:rsidRPr="001256EA" w:rsidRDefault="00474C3C" w:rsidP="00E04B7D">
            <w:pPr>
              <w:rPr>
                <w:rFonts w:ascii="Times New Roman" w:hAnsi="Times New Roman" w:cs="Times New Roman"/>
                <w:sz w:val="20"/>
                <w:szCs w:val="20"/>
              </w:rPr>
            </w:pPr>
          </w:p>
        </w:tc>
        <w:tc>
          <w:tcPr>
            <w:tcW w:w="1282" w:type="dxa"/>
            <w:vAlign w:val="center"/>
          </w:tcPr>
          <w:p w14:paraId="4F4B621B"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 xml:space="preserve">Minor consent in assisted dying law </w:t>
            </w:r>
          </w:p>
        </w:tc>
        <w:tc>
          <w:tcPr>
            <w:tcW w:w="1108" w:type="dxa"/>
            <w:vAlign w:val="center"/>
          </w:tcPr>
          <w:p w14:paraId="19FF8964"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Raus</w:t>
            </w:r>
            <w:r w:rsidRPr="001256EA">
              <w:rPr>
                <w:rFonts w:ascii="Times New Roman" w:hAnsi="Times New Roman" w:cs="Times New Roman"/>
                <w:sz w:val="20"/>
                <w:szCs w:val="20"/>
                <w:vertAlign w:val="superscript"/>
              </w:rPr>
              <w:footnoteReference w:id="422"/>
            </w:r>
          </w:p>
        </w:tc>
        <w:tc>
          <w:tcPr>
            <w:tcW w:w="3122" w:type="dxa"/>
            <w:vAlign w:val="center"/>
          </w:tcPr>
          <w:p w14:paraId="7B46842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Describe the legislative process and ethical arguments surrounding the 2014 amendment to Belgium’s euthanasia law extending euthanasia to minors with capacity of discernment</w:t>
            </w:r>
          </w:p>
        </w:tc>
        <w:tc>
          <w:tcPr>
            <w:tcW w:w="1440" w:type="dxa"/>
            <w:vAlign w:val="center"/>
          </w:tcPr>
          <w:p w14:paraId="5B4919F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1E77244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Documentary analysis of official parliamentary documents from Senate and Chamber of Representatives debates</w:t>
            </w:r>
          </w:p>
        </w:tc>
        <w:tc>
          <w:tcPr>
            <w:tcW w:w="4590" w:type="dxa"/>
            <w:vAlign w:val="center"/>
          </w:tcPr>
          <w:p w14:paraId="5BB78D0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The 2014 amendment expanded euthanasia rights to minors meeting due care criteria regardless of biological age, provoking intense debate; analysis reveals varied arguments for and against the law, some ethically questionable; the amendment is significant but less radical than some earlier proposals</w:t>
            </w:r>
          </w:p>
        </w:tc>
      </w:tr>
      <w:tr w:rsidR="00474C3C" w:rsidRPr="001256EA" w14:paraId="68E1A1DE" w14:textId="77777777" w:rsidTr="00E04B7D">
        <w:trPr>
          <w:trHeight w:val="141"/>
        </w:trPr>
        <w:tc>
          <w:tcPr>
            <w:cnfStyle w:val="001000000000" w:firstRow="0" w:lastRow="0" w:firstColumn="1" w:lastColumn="0" w:oddVBand="0" w:evenVBand="0" w:oddHBand="0" w:evenHBand="0" w:firstRowFirstColumn="0" w:firstRowLastColumn="0" w:lastRowFirstColumn="0" w:lastRowLastColumn="0"/>
            <w:tcW w:w="1508" w:type="dxa"/>
            <w:vMerge/>
          </w:tcPr>
          <w:p w14:paraId="6A9143BD"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61E08765"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 xml:space="preserve">Euthanasia eligibility in dementia cases </w:t>
            </w:r>
          </w:p>
        </w:tc>
        <w:tc>
          <w:tcPr>
            <w:tcW w:w="1108" w:type="dxa"/>
            <w:vAlign w:val="center"/>
          </w:tcPr>
          <w:p w14:paraId="7DB71072"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Van </w:t>
            </w:r>
            <w:proofErr w:type="spellStart"/>
            <w:r w:rsidRPr="001256EA">
              <w:rPr>
                <w:rFonts w:ascii="Times New Roman" w:hAnsi="Times New Roman" w:cs="Times New Roman"/>
                <w:sz w:val="20"/>
                <w:szCs w:val="20"/>
              </w:rPr>
              <w:t>Rickstal</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23"/>
            </w:r>
          </w:p>
        </w:tc>
        <w:tc>
          <w:tcPr>
            <w:tcW w:w="3122" w:type="dxa"/>
            <w:vAlign w:val="center"/>
          </w:tcPr>
          <w:p w14:paraId="72FECEA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considerations of people with young-onset dementia and their family caregivers on euthanasia</w:t>
            </w:r>
          </w:p>
        </w:tc>
        <w:tc>
          <w:tcPr>
            <w:tcW w:w="1440" w:type="dxa"/>
            <w:vAlign w:val="center"/>
          </w:tcPr>
          <w:p w14:paraId="344C17B8"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6636C95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Secondary qualitative analysis of interviews with 10 patients and 25 family caregivers using constant comparative analysis</w:t>
            </w:r>
          </w:p>
        </w:tc>
        <w:tc>
          <w:tcPr>
            <w:tcW w:w="4590" w:type="dxa"/>
            <w:vAlign w:val="center"/>
          </w:tcPr>
          <w:p w14:paraId="5ED6936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Euthanasia discussed at key moments, motivated by concerns over disease progression and suffering; personal and societal fears influence views; negative </w:t>
            </w:r>
            <w:proofErr w:type="gramStart"/>
            <w:r w:rsidRPr="001256EA">
              <w:rPr>
                <w:rFonts w:ascii="Times New Roman" w:hAnsi="Times New Roman" w:cs="Times New Roman"/>
                <w:sz w:val="20"/>
                <w:szCs w:val="20"/>
              </w:rPr>
              <w:t>dementia image</w:t>
            </w:r>
            <w:proofErr w:type="gramEnd"/>
            <w:r w:rsidRPr="001256EA">
              <w:rPr>
                <w:rFonts w:ascii="Times New Roman" w:hAnsi="Times New Roman" w:cs="Times New Roman"/>
                <w:sz w:val="20"/>
                <w:szCs w:val="20"/>
              </w:rPr>
              <w:t xml:space="preserve"> impacts expectations; </w:t>
            </w:r>
            <w:proofErr w:type="gramStart"/>
            <w:r w:rsidRPr="001256EA">
              <w:rPr>
                <w:rFonts w:ascii="Times New Roman" w:hAnsi="Times New Roman" w:cs="Times New Roman"/>
                <w:sz w:val="20"/>
                <w:szCs w:val="20"/>
              </w:rPr>
              <w:t>recommends open</w:t>
            </w:r>
            <w:proofErr w:type="gramEnd"/>
            <w:r w:rsidRPr="001256EA">
              <w:rPr>
                <w:rFonts w:ascii="Times New Roman" w:hAnsi="Times New Roman" w:cs="Times New Roman"/>
                <w:sz w:val="20"/>
                <w:szCs w:val="20"/>
              </w:rPr>
              <w:t xml:space="preserve"> patient-physician dialogue</w:t>
            </w:r>
          </w:p>
        </w:tc>
      </w:tr>
      <w:tr w:rsidR="00474C3C" w:rsidRPr="001256EA" w14:paraId="2C87A867" w14:textId="77777777" w:rsidTr="00E04B7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330BBE7B" w14:textId="77777777" w:rsidR="00474C3C" w:rsidRPr="001256EA" w:rsidRDefault="00474C3C" w:rsidP="00E04B7D">
            <w:pPr>
              <w:rPr>
                <w:rFonts w:ascii="Times New Roman" w:hAnsi="Times New Roman" w:cs="Times New Roman"/>
                <w:sz w:val="20"/>
                <w:szCs w:val="20"/>
              </w:rPr>
            </w:pPr>
          </w:p>
        </w:tc>
        <w:tc>
          <w:tcPr>
            <w:tcW w:w="1282" w:type="dxa"/>
            <w:vMerge/>
          </w:tcPr>
          <w:p w14:paraId="64973FAF"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197315F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Cleemput</w:t>
            </w:r>
            <w:proofErr w:type="spellEnd"/>
            <w:r w:rsidRPr="001256EA">
              <w:rPr>
                <w:rFonts w:ascii="Times New Roman" w:hAnsi="Times New Roman" w:cs="Times New Roman"/>
                <w:sz w:val="20"/>
                <w:szCs w:val="20"/>
              </w:rPr>
              <w:t xml:space="preserve"> &amp; </w:t>
            </w:r>
            <w:proofErr w:type="spellStart"/>
            <w:r w:rsidRPr="001256EA">
              <w:rPr>
                <w:rFonts w:ascii="Times New Roman" w:hAnsi="Times New Roman" w:cs="Times New Roman"/>
                <w:sz w:val="20"/>
                <w:szCs w:val="20"/>
              </w:rPr>
              <w:t>Schoenmakers</w:t>
            </w:r>
            <w:proofErr w:type="spellEnd"/>
            <w:r w:rsidRPr="001256EA">
              <w:rPr>
                <w:rFonts w:ascii="Times New Roman" w:hAnsi="Times New Roman" w:cs="Times New Roman"/>
                <w:sz w:val="20"/>
                <w:szCs w:val="20"/>
                <w:vertAlign w:val="superscript"/>
              </w:rPr>
              <w:footnoteReference w:id="424"/>
            </w:r>
          </w:p>
        </w:tc>
        <w:tc>
          <w:tcPr>
            <w:tcW w:w="3122" w:type="dxa"/>
            <w:vAlign w:val="center"/>
          </w:tcPr>
          <w:p w14:paraId="6F1E3BB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Assess opinions of Flemish GPs on euthanasia requests in patients with dementia</w:t>
            </w:r>
          </w:p>
        </w:tc>
        <w:tc>
          <w:tcPr>
            <w:tcW w:w="1440" w:type="dxa"/>
            <w:vAlign w:val="center"/>
          </w:tcPr>
          <w:p w14:paraId="75E66C1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23CCC13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Cross-sectional survey of 113 GPs</w:t>
            </w:r>
          </w:p>
        </w:tc>
        <w:tc>
          <w:tcPr>
            <w:tcW w:w="4590" w:type="dxa"/>
            <w:vAlign w:val="center"/>
          </w:tcPr>
          <w:p w14:paraId="011C0F6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69% see euthanasia more acceptable without dementia; acceptance rises with comorbidities; 56% support legal adjustments for dementia cases; younger and non-religious GPs more supportive; concerns about familial pressure present</w:t>
            </w:r>
          </w:p>
        </w:tc>
      </w:tr>
      <w:tr w:rsidR="00474C3C" w:rsidRPr="001256EA" w14:paraId="202C52AC" w14:textId="77777777" w:rsidTr="00E04B7D">
        <w:trPr>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6B5443EB" w14:textId="77777777" w:rsidR="00474C3C" w:rsidRPr="001256EA" w:rsidRDefault="00474C3C" w:rsidP="00E04B7D">
            <w:pPr>
              <w:rPr>
                <w:rFonts w:ascii="Times New Roman" w:hAnsi="Times New Roman" w:cs="Times New Roman"/>
                <w:sz w:val="20"/>
                <w:szCs w:val="20"/>
              </w:rPr>
            </w:pPr>
          </w:p>
        </w:tc>
        <w:tc>
          <w:tcPr>
            <w:tcW w:w="1282" w:type="dxa"/>
            <w:vMerge/>
          </w:tcPr>
          <w:p w14:paraId="1ABE852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1A07AF58"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Dierickx et al.</w:t>
            </w:r>
            <w:r w:rsidRPr="001256EA">
              <w:rPr>
                <w:rFonts w:ascii="Times New Roman" w:hAnsi="Times New Roman" w:cs="Times New Roman"/>
                <w:sz w:val="20"/>
                <w:szCs w:val="20"/>
                <w:vertAlign w:val="superscript"/>
              </w:rPr>
              <w:footnoteReference w:id="425"/>
            </w:r>
          </w:p>
        </w:tc>
        <w:tc>
          <w:tcPr>
            <w:tcW w:w="3122" w:type="dxa"/>
            <w:vAlign w:val="center"/>
          </w:tcPr>
          <w:p w14:paraId="33DE8BF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Report trends and characteristics of euthanasia cases with psychiatric or dementia diagnoses in Belgium</w:t>
            </w:r>
          </w:p>
        </w:tc>
        <w:tc>
          <w:tcPr>
            <w:tcW w:w="1440" w:type="dxa"/>
            <w:vAlign w:val="center"/>
          </w:tcPr>
          <w:p w14:paraId="7BABBFF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06F06D01"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Retrospective analysis of Federal Control and Evaluation Committee database from 2002 to 2013</w:t>
            </w:r>
          </w:p>
        </w:tc>
        <w:tc>
          <w:tcPr>
            <w:tcW w:w="4590" w:type="dxa"/>
            <w:vAlign w:val="center"/>
          </w:tcPr>
          <w:p w14:paraId="5092860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179 cases identified (mood disorders, dementia, others); proportion increased from 0.5% to 3.0%; majority female patients; all met legal criteria; rising prevalence indicates need for specific practice guidelines</w:t>
            </w:r>
          </w:p>
        </w:tc>
      </w:tr>
      <w:tr w:rsidR="00474C3C" w:rsidRPr="001256EA" w14:paraId="4519895D" w14:textId="77777777" w:rsidTr="00E04B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5F6C56B1"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5A46A5B5"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Dementia-related euthanasia uncertainty</w:t>
            </w:r>
          </w:p>
        </w:tc>
        <w:tc>
          <w:tcPr>
            <w:tcW w:w="1108" w:type="dxa"/>
            <w:vAlign w:val="center"/>
          </w:tcPr>
          <w:p w14:paraId="634FEFB0"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 Boer et al.</w:t>
            </w:r>
            <w:r w:rsidRPr="001256EA">
              <w:rPr>
                <w:rFonts w:ascii="Times New Roman" w:hAnsi="Times New Roman" w:cs="Times New Roman"/>
                <w:sz w:val="20"/>
                <w:szCs w:val="20"/>
                <w:vertAlign w:val="superscript"/>
              </w:rPr>
              <w:footnoteReference w:id="426"/>
            </w:r>
          </w:p>
        </w:tc>
        <w:tc>
          <w:tcPr>
            <w:tcW w:w="3122" w:type="dxa"/>
            <w:vAlign w:val="center"/>
          </w:tcPr>
          <w:p w14:paraId="0CAB121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current practices and compliance with advance directives for euthanasia (ADEs) in incompetent dementia patients in Dutch nursing homes</w:t>
            </w:r>
          </w:p>
        </w:tc>
        <w:tc>
          <w:tcPr>
            <w:tcW w:w="1440" w:type="dxa"/>
            <w:vAlign w:val="center"/>
          </w:tcPr>
          <w:p w14:paraId="19E216C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1190DE5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Written questionnaire survey of 434 elderly care physicians (ECPs)</w:t>
            </w:r>
          </w:p>
        </w:tc>
        <w:tc>
          <w:tcPr>
            <w:tcW w:w="4590" w:type="dxa"/>
            <w:vAlign w:val="center"/>
          </w:tcPr>
          <w:p w14:paraId="7DAF31E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Euthanasia rarely performed in incompetent dementia patients with ADEs; practical difficulties in assessing unbearable suffering and timing; patient-physician communication barriers affect implementation; calls for reconsideration of ADE role in end-of-life care</w:t>
            </w:r>
          </w:p>
        </w:tc>
      </w:tr>
      <w:tr w:rsidR="00474C3C" w:rsidRPr="001256EA" w14:paraId="16608DB9" w14:textId="77777777" w:rsidTr="00E04B7D">
        <w:trPr>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7FB77BBD" w14:textId="77777777" w:rsidR="00474C3C" w:rsidRPr="001256EA" w:rsidRDefault="00474C3C" w:rsidP="00E04B7D">
            <w:pPr>
              <w:rPr>
                <w:rFonts w:ascii="Times New Roman" w:hAnsi="Times New Roman" w:cs="Times New Roman"/>
                <w:sz w:val="20"/>
                <w:szCs w:val="20"/>
              </w:rPr>
            </w:pPr>
          </w:p>
        </w:tc>
        <w:tc>
          <w:tcPr>
            <w:tcW w:w="1282" w:type="dxa"/>
            <w:vMerge/>
          </w:tcPr>
          <w:p w14:paraId="3D130263"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1D4F6C3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Miller et al.</w:t>
            </w:r>
            <w:r w:rsidRPr="001256EA">
              <w:rPr>
                <w:rFonts w:ascii="Times New Roman" w:hAnsi="Times New Roman" w:cs="Times New Roman"/>
                <w:sz w:val="20"/>
                <w:szCs w:val="20"/>
                <w:vertAlign w:val="superscript"/>
              </w:rPr>
              <w:footnoteReference w:id="427"/>
            </w:r>
          </w:p>
        </w:tc>
        <w:tc>
          <w:tcPr>
            <w:tcW w:w="3122" w:type="dxa"/>
            <w:vAlign w:val="center"/>
          </w:tcPr>
          <w:p w14:paraId="0AF6D15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a controversial Dutch euthanasia case involving Alzheimer’s patient euthanized based on AED; review challenges in applying AEDs and oversight adequacy</w:t>
            </w:r>
          </w:p>
        </w:tc>
        <w:tc>
          <w:tcPr>
            <w:tcW w:w="1440" w:type="dxa"/>
            <w:vAlign w:val="center"/>
          </w:tcPr>
          <w:p w14:paraId="39CAF21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39B7431D"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Case study with detailed description and legal oversight review</w:t>
            </w:r>
          </w:p>
        </w:tc>
        <w:tc>
          <w:tcPr>
            <w:tcW w:w="4590" w:type="dxa"/>
            <w:vAlign w:val="center"/>
          </w:tcPr>
          <w:p w14:paraId="46967DA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1256EA">
              <w:rPr>
                <w:rFonts w:ascii="Times New Roman" w:hAnsi="Times New Roman" w:cs="Times New Roman"/>
                <w:sz w:val="20"/>
                <w:szCs w:val="20"/>
              </w:rPr>
              <w:t>Physician</w:t>
            </w:r>
            <w:proofErr w:type="gramEnd"/>
            <w:r w:rsidRPr="001256EA">
              <w:rPr>
                <w:rFonts w:ascii="Times New Roman" w:hAnsi="Times New Roman" w:cs="Times New Roman"/>
                <w:sz w:val="20"/>
                <w:szCs w:val="20"/>
              </w:rPr>
              <w:t xml:space="preserve"> failed due care requirements leading to criminal investigation; challenges in preparing and applying AEDs for dementia patients; current oversight system limited and needs improvement</w:t>
            </w:r>
          </w:p>
        </w:tc>
      </w:tr>
      <w:tr w:rsidR="00474C3C" w:rsidRPr="001256EA" w14:paraId="7C5FCE75" w14:textId="77777777" w:rsidTr="00E04B7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8" w:type="dxa"/>
            <w:vMerge/>
          </w:tcPr>
          <w:p w14:paraId="1129C24F"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0A100AD9"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Euthanasia law boundaries</w:t>
            </w:r>
          </w:p>
        </w:tc>
        <w:tc>
          <w:tcPr>
            <w:tcW w:w="1108" w:type="dxa"/>
            <w:vAlign w:val="center"/>
          </w:tcPr>
          <w:p w14:paraId="247CD883"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Verhagen &amp; </w:t>
            </w:r>
            <w:proofErr w:type="spellStart"/>
            <w:r w:rsidRPr="001256EA">
              <w:rPr>
                <w:rFonts w:ascii="Times New Roman" w:hAnsi="Times New Roman" w:cs="Times New Roman"/>
                <w:sz w:val="20"/>
                <w:szCs w:val="20"/>
              </w:rPr>
              <w:t>Buijsen</w:t>
            </w:r>
            <w:proofErr w:type="spellEnd"/>
            <w:r w:rsidRPr="001256EA">
              <w:rPr>
                <w:rFonts w:ascii="Times New Roman" w:hAnsi="Times New Roman" w:cs="Times New Roman"/>
                <w:sz w:val="20"/>
                <w:szCs w:val="20"/>
                <w:vertAlign w:val="superscript"/>
              </w:rPr>
              <w:footnoteReference w:id="428"/>
            </w:r>
          </w:p>
        </w:tc>
        <w:tc>
          <w:tcPr>
            <w:tcW w:w="3122" w:type="dxa"/>
            <w:vAlign w:val="center"/>
          </w:tcPr>
          <w:p w14:paraId="648ADD7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Present opposing views on extending Dutch euthanasia law to children under 12 years</w:t>
            </w:r>
          </w:p>
        </w:tc>
        <w:tc>
          <w:tcPr>
            <w:tcW w:w="1440" w:type="dxa"/>
            <w:vAlign w:val="center"/>
          </w:tcPr>
          <w:p w14:paraId="3E5F5A8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6B20B246"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Conceptual paper presenting perspectives of a pediatrician and a health law specialist</w:t>
            </w:r>
          </w:p>
        </w:tc>
        <w:tc>
          <w:tcPr>
            <w:tcW w:w="4590" w:type="dxa"/>
            <w:vAlign w:val="center"/>
          </w:tcPr>
          <w:p w14:paraId="60642156"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Debate centers on ethical, medical, and legal implications; pediatric care expert supports extension, jurist opposes; highlights ongoing societal and professional discussion</w:t>
            </w:r>
          </w:p>
        </w:tc>
      </w:tr>
      <w:tr w:rsidR="00474C3C" w:rsidRPr="001256EA" w14:paraId="734D733A" w14:textId="77777777" w:rsidTr="00E04B7D">
        <w:trPr>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02806621" w14:textId="77777777" w:rsidR="00474C3C" w:rsidRPr="001256EA" w:rsidRDefault="00474C3C" w:rsidP="00E04B7D">
            <w:pPr>
              <w:rPr>
                <w:rFonts w:ascii="Times New Roman" w:hAnsi="Times New Roman" w:cs="Times New Roman"/>
                <w:sz w:val="20"/>
                <w:szCs w:val="20"/>
              </w:rPr>
            </w:pPr>
          </w:p>
        </w:tc>
        <w:tc>
          <w:tcPr>
            <w:tcW w:w="1282" w:type="dxa"/>
            <w:vMerge/>
          </w:tcPr>
          <w:p w14:paraId="12DAAAC7"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9D63CE7"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Gramm</w:t>
            </w:r>
            <w:r w:rsidRPr="001256EA">
              <w:rPr>
                <w:rFonts w:ascii="Times New Roman" w:hAnsi="Times New Roman" w:cs="Times New Roman"/>
                <w:sz w:val="20"/>
                <w:szCs w:val="20"/>
                <w:vertAlign w:val="superscript"/>
              </w:rPr>
              <w:footnoteReference w:id="429"/>
            </w:r>
          </w:p>
        </w:tc>
        <w:tc>
          <w:tcPr>
            <w:tcW w:w="3122" w:type="dxa"/>
            <w:vAlign w:val="center"/>
          </w:tcPr>
          <w:p w14:paraId="5AEB6BF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Outline status and psychosocial aspects of palliative care in Germany, including impact of euthanasia law</w:t>
            </w:r>
          </w:p>
        </w:tc>
        <w:tc>
          <w:tcPr>
            <w:tcW w:w="1440" w:type="dxa"/>
            <w:vAlign w:val="center"/>
          </w:tcPr>
          <w:p w14:paraId="149AD5B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Germany</w:t>
            </w:r>
          </w:p>
        </w:tc>
        <w:tc>
          <w:tcPr>
            <w:tcW w:w="2970" w:type="dxa"/>
            <w:vAlign w:val="center"/>
          </w:tcPr>
          <w:p w14:paraId="1305197C"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Review article discussing legislation, palliative care developments, and implementation challenges</w:t>
            </w:r>
          </w:p>
        </w:tc>
        <w:tc>
          <w:tcPr>
            <w:tcW w:w="4590" w:type="dxa"/>
            <w:vAlign w:val="center"/>
          </w:tcPr>
          <w:p w14:paraId="45AF5B4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Hospice and Palliative Law and Advance Care Planning introduced innovations; multiprofessional care emphasized but still inadequate; euthanasia law’s impact on care is considered critically</w:t>
            </w:r>
          </w:p>
        </w:tc>
      </w:tr>
      <w:tr w:rsidR="00474C3C" w:rsidRPr="001256EA" w14:paraId="63419BE7" w14:textId="77777777" w:rsidTr="00E04B7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7D4A805D" w14:textId="77777777" w:rsidR="00474C3C" w:rsidRPr="001256EA" w:rsidRDefault="00474C3C" w:rsidP="00E04B7D">
            <w:pPr>
              <w:rPr>
                <w:rFonts w:ascii="Times New Roman" w:hAnsi="Times New Roman" w:cs="Times New Roman"/>
                <w:sz w:val="20"/>
                <w:szCs w:val="20"/>
              </w:rPr>
            </w:pPr>
          </w:p>
        </w:tc>
        <w:tc>
          <w:tcPr>
            <w:tcW w:w="1282" w:type="dxa"/>
            <w:vMerge/>
          </w:tcPr>
          <w:p w14:paraId="2E2B593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500A35F9"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Raijmakers</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30"/>
            </w:r>
          </w:p>
        </w:tc>
        <w:tc>
          <w:tcPr>
            <w:tcW w:w="3122" w:type="dxa"/>
            <w:vAlign w:val="center"/>
          </w:tcPr>
          <w:p w14:paraId="32C564A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Assess Dutch public attitudes toward euthanasia for older persons tired of living without serious medical condition</w:t>
            </w:r>
          </w:p>
        </w:tc>
        <w:tc>
          <w:tcPr>
            <w:tcW w:w="1440" w:type="dxa"/>
            <w:vAlign w:val="center"/>
          </w:tcPr>
          <w:p w14:paraId="59B23FC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2646174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Cross-sectional survey with 1960 respondents and 78% response rate</w:t>
            </w:r>
          </w:p>
        </w:tc>
        <w:tc>
          <w:tcPr>
            <w:tcW w:w="4590" w:type="dxa"/>
            <w:vAlign w:val="center"/>
          </w:tcPr>
          <w:p w14:paraId="69F7D20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26% support physician-assisted death for older persons tired of living; support linked to higher education, non-religiosity, low physician trust, and preference for autonomy; topic warrants serious debate</w:t>
            </w:r>
          </w:p>
        </w:tc>
      </w:tr>
      <w:tr w:rsidR="00474C3C" w:rsidRPr="001256EA" w14:paraId="09F16BD6" w14:textId="77777777" w:rsidTr="00E04B7D">
        <w:trPr>
          <w:trHeight w:val="61"/>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14:paraId="6706D7B0" w14:textId="77777777" w:rsidR="00474C3C" w:rsidRPr="001256EA" w:rsidRDefault="00474C3C" w:rsidP="00E04B7D">
            <w:pPr>
              <w:rPr>
                <w:rFonts w:ascii="Times New Roman" w:hAnsi="Times New Roman" w:cs="Times New Roman"/>
                <w:sz w:val="20"/>
                <w:szCs w:val="20"/>
              </w:rPr>
            </w:pPr>
            <w:r w:rsidRPr="001256EA">
              <w:rPr>
                <w:rFonts w:ascii="Times New Roman" w:hAnsi="Times New Roman" w:cs="Times New Roman"/>
                <w:sz w:val="20"/>
                <w:szCs w:val="20"/>
              </w:rPr>
              <w:lastRenderedPageBreak/>
              <w:t>Failures in application and oversight</w:t>
            </w:r>
          </w:p>
        </w:tc>
        <w:tc>
          <w:tcPr>
            <w:tcW w:w="1282" w:type="dxa"/>
            <w:vMerge w:val="restart"/>
            <w:vAlign w:val="center"/>
          </w:tcPr>
          <w:p w14:paraId="0C8D74ED"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Misapplication of euthanasia law</w:t>
            </w:r>
          </w:p>
        </w:tc>
        <w:tc>
          <w:tcPr>
            <w:tcW w:w="1108" w:type="dxa"/>
            <w:vAlign w:val="center"/>
          </w:tcPr>
          <w:p w14:paraId="29CB507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Smets et al.</w:t>
            </w:r>
            <w:r w:rsidRPr="001256EA">
              <w:rPr>
                <w:rFonts w:ascii="Times New Roman" w:hAnsi="Times New Roman" w:cs="Times New Roman"/>
                <w:sz w:val="20"/>
                <w:szCs w:val="20"/>
                <w:vertAlign w:val="superscript"/>
              </w:rPr>
              <w:footnoteReference w:id="431"/>
            </w:r>
          </w:p>
        </w:tc>
        <w:tc>
          <w:tcPr>
            <w:tcW w:w="3122" w:type="dxa"/>
            <w:vAlign w:val="center"/>
          </w:tcPr>
          <w:p w14:paraId="77DB7B3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Examine Belgian physicians’ labelling and reporting of end-of-life decisions (ELDs) as euthanasia</w:t>
            </w:r>
          </w:p>
        </w:tc>
        <w:tc>
          <w:tcPr>
            <w:tcW w:w="1440" w:type="dxa"/>
            <w:vAlign w:val="center"/>
          </w:tcPr>
          <w:p w14:paraId="3A12C27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7CBB7F8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Cross-sectional survey of 914 physicians with 5 hypothetical cases</w:t>
            </w:r>
          </w:p>
        </w:tc>
        <w:tc>
          <w:tcPr>
            <w:tcW w:w="4590" w:type="dxa"/>
            <w:vAlign w:val="center"/>
          </w:tcPr>
          <w:p w14:paraId="401893F8"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Significant variation and confusion in labelling/reporting euthanasia; knowledge and attitude influence accuracy; better physician education needed</w:t>
            </w:r>
          </w:p>
        </w:tc>
      </w:tr>
      <w:tr w:rsidR="00474C3C" w:rsidRPr="001256EA" w14:paraId="00174618" w14:textId="77777777" w:rsidTr="00E04B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0DC2A2F3" w14:textId="77777777" w:rsidR="00474C3C" w:rsidRPr="001256EA" w:rsidRDefault="00474C3C" w:rsidP="00E04B7D">
            <w:pPr>
              <w:rPr>
                <w:rFonts w:ascii="Times New Roman" w:hAnsi="Times New Roman" w:cs="Times New Roman"/>
                <w:sz w:val="20"/>
                <w:szCs w:val="20"/>
              </w:rPr>
            </w:pPr>
          </w:p>
        </w:tc>
        <w:tc>
          <w:tcPr>
            <w:tcW w:w="1282" w:type="dxa"/>
            <w:vMerge/>
          </w:tcPr>
          <w:p w14:paraId="7EF1EC3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1FFCCB4"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Sercu et al.</w:t>
            </w:r>
            <w:r w:rsidRPr="001256EA">
              <w:rPr>
                <w:rFonts w:ascii="Times New Roman" w:hAnsi="Times New Roman" w:cs="Times New Roman"/>
                <w:sz w:val="20"/>
                <w:szCs w:val="20"/>
                <w:vertAlign w:val="superscript"/>
              </w:rPr>
              <w:footnoteReference w:id="432"/>
            </w:r>
          </w:p>
        </w:tc>
        <w:tc>
          <w:tcPr>
            <w:tcW w:w="3122" w:type="dxa"/>
            <w:vAlign w:val="center"/>
          </w:tcPr>
          <w:p w14:paraId="6D5CDD3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general practitioners’ (GPs) attitudes and experiences dealing with euthanasia in Flanders</w:t>
            </w:r>
          </w:p>
        </w:tc>
        <w:tc>
          <w:tcPr>
            <w:tcW w:w="1440" w:type="dxa"/>
            <w:vAlign w:val="center"/>
          </w:tcPr>
          <w:p w14:paraId="1EA09B2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126CAB9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Qualitative analysis of semi-structured interviews with 52 GPs</w:t>
            </w:r>
          </w:p>
        </w:tc>
        <w:tc>
          <w:tcPr>
            <w:tcW w:w="4590" w:type="dxa"/>
            <w:vAlign w:val="center"/>
          </w:tcPr>
          <w:p w14:paraId="6DFF8ED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GPs understand requests but vary in willingness to perform euthanasia; four distinct attitude types identified; calls for better referral and support systems</w:t>
            </w:r>
          </w:p>
        </w:tc>
      </w:tr>
      <w:tr w:rsidR="00474C3C" w:rsidRPr="001256EA" w14:paraId="2E09D870" w14:textId="77777777" w:rsidTr="00E04B7D">
        <w:trPr>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17E8A990" w14:textId="77777777" w:rsidR="00474C3C" w:rsidRPr="001256EA" w:rsidRDefault="00474C3C" w:rsidP="00E04B7D">
            <w:pPr>
              <w:rPr>
                <w:rFonts w:ascii="Times New Roman" w:hAnsi="Times New Roman" w:cs="Times New Roman"/>
                <w:sz w:val="20"/>
                <w:szCs w:val="20"/>
              </w:rPr>
            </w:pPr>
          </w:p>
        </w:tc>
        <w:tc>
          <w:tcPr>
            <w:tcW w:w="1282" w:type="dxa"/>
            <w:vMerge/>
          </w:tcPr>
          <w:p w14:paraId="53BDBE8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3143E210"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Verhofstadt</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33"/>
            </w:r>
          </w:p>
        </w:tc>
        <w:tc>
          <w:tcPr>
            <w:tcW w:w="3122" w:type="dxa"/>
            <w:vAlign w:val="center"/>
          </w:tcPr>
          <w:p w14:paraId="144441F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mental healthcare workers’ perspectives on euthanasia for adults with psychiatric conditions (APC)</w:t>
            </w:r>
          </w:p>
        </w:tc>
        <w:tc>
          <w:tcPr>
            <w:tcW w:w="1440" w:type="dxa"/>
            <w:vAlign w:val="center"/>
          </w:tcPr>
          <w:p w14:paraId="19A3D63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3D5D868C"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Semi-structured interviews with 30 Dutch-speaking mental healthcare workers; qualitative content analysis</w:t>
            </w:r>
          </w:p>
        </w:tc>
        <w:tc>
          <w:tcPr>
            <w:tcW w:w="4590" w:type="dxa"/>
            <w:vAlign w:val="center"/>
          </w:tcPr>
          <w:p w14:paraId="47FF73C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 criteria (esp. unbearable suffering) interpreted variably; lack of consensus on legal criteria amendments; need for professional guidelines and standardized training</w:t>
            </w:r>
          </w:p>
        </w:tc>
      </w:tr>
      <w:tr w:rsidR="00474C3C" w:rsidRPr="001256EA" w14:paraId="2A907B79" w14:textId="77777777" w:rsidTr="00E04B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4AC1022D" w14:textId="77777777" w:rsidR="00474C3C" w:rsidRPr="001256EA" w:rsidRDefault="00474C3C" w:rsidP="00E04B7D">
            <w:pPr>
              <w:rPr>
                <w:rFonts w:ascii="Times New Roman" w:hAnsi="Times New Roman" w:cs="Times New Roman"/>
                <w:sz w:val="20"/>
                <w:szCs w:val="20"/>
              </w:rPr>
            </w:pPr>
          </w:p>
        </w:tc>
        <w:tc>
          <w:tcPr>
            <w:tcW w:w="1282" w:type="dxa"/>
            <w:vMerge/>
          </w:tcPr>
          <w:p w14:paraId="697D48BE"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065C9D69"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 Hert et al.</w:t>
            </w:r>
            <w:r w:rsidRPr="001256EA">
              <w:rPr>
                <w:rFonts w:ascii="Times New Roman" w:hAnsi="Times New Roman" w:cs="Times New Roman"/>
                <w:sz w:val="20"/>
                <w:szCs w:val="20"/>
                <w:vertAlign w:val="superscript"/>
              </w:rPr>
              <w:footnoteReference w:id="434"/>
            </w:r>
          </w:p>
        </w:tc>
        <w:tc>
          <w:tcPr>
            <w:tcW w:w="3122" w:type="dxa"/>
            <w:vAlign w:val="center"/>
          </w:tcPr>
          <w:p w14:paraId="2A0F665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media coverage of a controversial euthanasia case involving psychiatric illness</w:t>
            </w:r>
          </w:p>
        </w:tc>
        <w:tc>
          <w:tcPr>
            <w:tcW w:w="1440" w:type="dxa"/>
            <w:vAlign w:val="center"/>
          </w:tcPr>
          <w:p w14:paraId="2BD5DCFE"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468BB76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r-FR"/>
              </w:rPr>
            </w:pPr>
            <w:r w:rsidRPr="001256EA">
              <w:rPr>
                <w:rFonts w:ascii="Times New Roman" w:hAnsi="Times New Roman" w:cs="Times New Roman"/>
                <w:sz w:val="20"/>
                <w:szCs w:val="20"/>
                <w:lang w:val="fr-FR"/>
              </w:rPr>
              <w:t xml:space="preserve">Content </w:t>
            </w:r>
            <w:proofErr w:type="spellStart"/>
            <w:r w:rsidRPr="001256EA">
              <w:rPr>
                <w:rFonts w:ascii="Times New Roman" w:hAnsi="Times New Roman" w:cs="Times New Roman"/>
                <w:sz w:val="20"/>
                <w:szCs w:val="20"/>
                <w:lang w:val="fr-FR"/>
              </w:rPr>
              <w:t>analysis</w:t>
            </w:r>
            <w:proofErr w:type="spellEnd"/>
            <w:r w:rsidRPr="001256EA">
              <w:rPr>
                <w:rFonts w:ascii="Times New Roman" w:hAnsi="Times New Roman" w:cs="Times New Roman"/>
                <w:sz w:val="20"/>
                <w:szCs w:val="20"/>
                <w:lang w:val="fr-FR"/>
              </w:rPr>
              <w:t xml:space="preserve"> of 789 </w:t>
            </w:r>
            <w:proofErr w:type="spellStart"/>
            <w:r w:rsidRPr="001256EA">
              <w:rPr>
                <w:rFonts w:ascii="Times New Roman" w:hAnsi="Times New Roman" w:cs="Times New Roman"/>
                <w:sz w:val="20"/>
                <w:szCs w:val="20"/>
                <w:lang w:val="fr-FR"/>
              </w:rPr>
              <w:t>Flemish</w:t>
            </w:r>
            <w:proofErr w:type="spellEnd"/>
            <w:r w:rsidRPr="001256EA">
              <w:rPr>
                <w:rFonts w:ascii="Times New Roman" w:hAnsi="Times New Roman" w:cs="Times New Roman"/>
                <w:sz w:val="20"/>
                <w:szCs w:val="20"/>
                <w:lang w:val="fr-FR"/>
              </w:rPr>
              <w:t xml:space="preserve"> </w:t>
            </w:r>
            <w:proofErr w:type="spellStart"/>
            <w:r w:rsidRPr="001256EA">
              <w:rPr>
                <w:rFonts w:ascii="Times New Roman" w:hAnsi="Times New Roman" w:cs="Times New Roman"/>
                <w:sz w:val="20"/>
                <w:szCs w:val="20"/>
                <w:lang w:val="fr-FR"/>
              </w:rPr>
              <w:t>newspaper</w:t>
            </w:r>
            <w:proofErr w:type="spellEnd"/>
            <w:r w:rsidRPr="001256EA">
              <w:rPr>
                <w:rFonts w:ascii="Times New Roman" w:hAnsi="Times New Roman" w:cs="Times New Roman"/>
                <w:sz w:val="20"/>
                <w:szCs w:val="20"/>
                <w:lang w:val="fr-FR"/>
              </w:rPr>
              <w:t xml:space="preserve"> articles (quantitative + qualitative)</w:t>
            </w:r>
          </w:p>
        </w:tc>
        <w:tc>
          <w:tcPr>
            <w:tcW w:w="4590" w:type="dxa"/>
            <w:vAlign w:val="center"/>
          </w:tcPr>
          <w:p w14:paraId="79075D3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Media mostly neutral; key debates on legal system evaluation and psychological suffering definitions; subtle ideological differences in reporting tone</w:t>
            </w:r>
          </w:p>
        </w:tc>
      </w:tr>
      <w:tr w:rsidR="00474C3C" w:rsidRPr="001256EA" w14:paraId="6746C435" w14:textId="77777777" w:rsidTr="00E04B7D">
        <w:trPr>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03DD9F1C" w14:textId="77777777" w:rsidR="00474C3C" w:rsidRPr="001256EA" w:rsidRDefault="00474C3C" w:rsidP="00E04B7D">
            <w:pPr>
              <w:rPr>
                <w:rFonts w:ascii="Times New Roman" w:hAnsi="Times New Roman" w:cs="Times New Roman"/>
                <w:sz w:val="20"/>
                <w:szCs w:val="20"/>
              </w:rPr>
            </w:pPr>
          </w:p>
        </w:tc>
        <w:tc>
          <w:tcPr>
            <w:tcW w:w="1282" w:type="dxa"/>
            <w:vMerge/>
          </w:tcPr>
          <w:p w14:paraId="682DB9F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3D43BC1A"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Genicot</w:t>
            </w:r>
            <w:proofErr w:type="spellEnd"/>
            <w:r w:rsidRPr="001256EA">
              <w:rPr>
                <w:rFonts w:ascii="Times New Roman" w:hAnsi="Times New Roman" w:cs="Times New Roman"/>
                <w:sz w:val="20"/>
                <w:szCs w:val="20"/>
                <w:vertAlign w:val="superscript"/>
              </w:rPr>
              <w:footnoteReference w:id="435"/>
            </w:r>
          </w:p>
        </w:tc>
        <w:tc>
          <w:tcPr>
            <w:tcW w:w="3122" w:type="dxa"/>
            <w:vAlign w:val="center"/>
          </w:tcPr>
          <w:p w14:paraId="6A9411F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Discuss legal and practical dimensions of euthanasia under Belgian law</w:t>
            </w:r>
          </w:p>
        </w:tc>
        <w:tc>
          <w:tcPr>
            <w:tcW w:w="1440" w:type="dxa"/>
            <w:vAlign w:val="center"/>
          </w:tcPr>
          <w:p w14:paraId="4D8195A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7F581E7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 and social science methodology analyzing rules, court decisions, and practice</w:t>
            </w:r>
          </w:p>
        </w:tc>
        <w:tc>
          <w:tcPr>
            <w:tcW w:w="4590" w:type="dxa"/>
            <w:vAlign w:val="center"/>
          </w:tcPr>
          <w:p w14:paraId="72955E1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Euthanasia law focuses on patient autonomy over physician duties; law integrates control over life’s end as part of therapeutic role; societal debate ongoing on autonomy and empowerment</w:t>
            </w:r>
          </w:p>
        </w:tc>
      </w:tr>
      <w:tr w:rsidR="00474C3C" w:rsidRPr="001256EA" w14:paraId="3C291C3C" w14:textId="77777777" w:rsidTr="00E04B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20E22635" w14:textId="77777777" w:rsidR="00474C3C" w:rsidRPr="001256EA" w:rsidRDefault="00474C3C" w:rsidP="00E04B7D">
            <w:pPr>
              <w:rPr>
                <w:rFonts w:ascii="Times New Roman" w:hAnsi="Times New Roman" w:cs="Times New Roman"/>
                <w:sz w:val="20"/>
                <w:szCs w:val="20"/>
              </w:rPr>
            </w:pPr>
          </w:p>
        </w:tc>
        <w:tc>
          <w:tcPr>
            <w:tcW w:w="1282" w:type="dxa"/>
            <w:vMerge/>
          </w:tcPr>
          <w:p w14:paraId="1EE089E3"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71679A5"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Nutte</w:t>
            </w:r>
            <w:proofErr w:type="spellEnd"/>
            <w:r w:rsidRPr="001256EA">
              <w:rPr>
                <w:rFonts w:ascii="Times New Roman" w:hAnsi="Times New Roman" w:cs="Times New Roman"/>
                <w:sz w:val="20"/>
                <w:szCs w:val="20"/>
                <w:vertAlign w:val="superscript"/>
              </w:rPr>
              <w:footnoteReference w:id="436"/>
            </w:r>
          </w:p>
        </w:tc>
        <w:tc>
          <w:tcPr>
            <w:tcW w:w="3122" w:type="dxa"/>
            <w:vAlign w:val="center"/>
          </w:tcPr>
          <w:p w14:paraId="244580E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Historical review of Belgian newspaper coverage of euthanasia-related events before advocacy groups existed</w:t>
            </w:r>
          </w:p>
        </w:tc>
        <w:tc>
          <w:tcPr>
            <w:tcW w:w="1440" w:type="dxa"/>
            <w:vAlign w:val="center"/>
          </w:tcPr>
          <w:p w14:paraId="196F5FE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60BF2B6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Historical analysis of media coverage in 20th century newspapers</w:t>
            </w:r>
          </w:p>
        </w:tc>
        <w:tc>
          <w:tcPr>
            <w:tcW w:w="4590" w:type="dxa"/>
            <w:vAlign w:val="center"/>
          </w:tcPr>
          <w:p w14:paraId="20F0423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Early euthanasia debates reflected societal attitudes; pillarized newspapers provide rich data; little prior advocacy existed pre-1970</w:t>
            </w:r>
          </w:p>
        </w:tc>
      </w:tr>
      <w:tr w:rsidR="00474C3C" w:rsidRPr="001256EA" w14:paraId="4BF94F8A" w14:textId="77777777" w:rsidTr="00E04B7D">
        <w:trPr>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102D04FD" w14:textId="77777777" w:rsidR="00474C3C" w:rsidRPr="001256EA" w:rsidRDefault="00474C3C" w:rsidP="00E04B7D">
            <w:pPr>
              <w:rPr>
                <w:rFonts w:ascii="Times New Roman" w:hAnsi="Times New Roman" w:cs="Times New Roman"/>
                <w:sz w:val="20"/>
                <w:szCs w:val="20"/>
              </w:rPr>
            </w:pPr>
          </w:p>
        </w:tc>
        <w:tc>
          <w:tcPr>
            <w:tcW w:w="1282" w:type="dxa"/>
            <w:vMerge/>
          </w:tcPr>
          <w:p w14:paraId="2A25138F"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B6C30E2"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 Hert et al.</w:t>
            </w:r>
            <w:r w:rsidRPr="001256EA">
              <w:rPr>
                <w:rFonts w:ascii="Times New Roman" w:hAnsi="Times New Roman" w:cs="Times New Roman"/>
                <w:sz w:val="20"/>
                <w:szCs w:val="20"/>
                <w:vertAlign w:val="superscript"/>
              </w:rPr>
              <w:footnoteReference w:id="437"/>
            </w:r>
          </w:p>
        </w:tc>
        <w:tc>
          <w:tcPr>
            <w:tcW w:w="3122" w:type="dxa"/>
            <w:vAlign w:val="center"/>
          </w:tcPr>
          <w:p w14:paraId="309C496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Critical analysis of the Belgian euthanasia law’s control system in evaluating requests from psychiatric patients</w:t>
            </w:r>
          </w:p>
        </w:tc>
        <w:tc>
          <w:tcPr>
            <w:tcW w:w="1440" w:type="dxa"/>
            <w:vAlign w:val="center"/>
          </w:tcPr>
          <w:p w14:paraId="76BA0090"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58B47AF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 and media analysis based on criminal trial documents and press reports</w:t>
            </w:r>
          </w:p>
        </w:tc>
        <w:tc>
          <w:tcPr>
            <w:tcW w:w="4590" w:type="dxa"/>
            <w:vAlign w:val="center"/>
          </w:tcPr>
          <w:p w14:paraId="1EDE29E1"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Control system failed in a high-profile case; need for enhanced psychiatric advice and multidisciplinary discussions; calls for treatment pathways parallel to euthanasia evaluations</w:t>
            </w:r>
          </w:p>
        </w:tc>
      </w:tr>
      <w:tr w:rsidR="00474C3C" w:rsidRPr="001256EA" w14:paraId="425F8AD5" w14:textId="77777777" w:rsidTr="00E04B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08" w:type="dxa"/>
            <w:vMerge/>
          </w:tcPr>
          <w:p w14:paraId="366D40D1" w14:textId="77777777" w:rsidR="00474C3C" w:rsidRPr="001256EA" w:rsidRDefault="00474C3C" w:rsidP="00E04B7D">
            <w:pPr>
              <w:rPr>
                <w:rFonts w:ascii="Times New Roman" w:hAnsi="Times New Roman" w:cs="Times New Roman"/>
                <w:sz w:val="20"/>
                <w:szCs w:val="20"/>
              </w:rPr>
            </w:pPr>
          </w:p>
        </w:tc>
        <w:tc>
          <w:tcPr>
            <w:tcW w:w="1282" w:type="dxa"/>
            <w:vMerge/>
          </w:tcPr>
          <w:p w14:paraId="185C6A0B"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C5CF2DA"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Schweitser</w:t>
            </w:r>
            <w:proofErr w:type="spellEnd"/>
            <w:r w:rsidRPr="001256EA">
              <w:rPr>
                <w:rFonts w:ascii="Times New Roman" w:hAnsi="Times New Roman" w:cs="Times New Roman"/>
                <w:sz w:val="20"/>
                <w:szCs w:val="20"/>
                <w:vertAlign w:val="superscript"/>
              </w:rPr>
              <w:footnoteReference w:id="438"/>
            </w:r>
          </w:p>
        </w:tc>
        <w:tc>
          <w:tcPr>
            <w:tcW w:w="3122" w:type="dxa"/>
            <w:vAlign w:val="center"/>
          </w:tcPr>
          <w:p w14:paraId="04DD5A4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Examine autonomy and kinship roles in Belgian euthanasia procedures for mental illness sufferers</w:t>
            </w:r>
          </w:p>
        </w:tc>
        <w:tc>
          <w:tcPr>
            <w:tcW w:w="1440" w:type="dxa"/>
            <w:vAlign w:val="center"/>
          </w:tcPr>
          <w:p w14:paraId="3ADD41C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5530CC3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Conceptual and ethical analysis</w:t>
            </w:r>
          </w:p>
        </w:tc>
        <w:tc>
          <w:tcPr>
            <w:tcW w:w="4590" w:type="dxa"/>
            <w:vAlign w:val="center"/>
          </w:tcPr>
          <w:p w14:paraId="4C17A69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Highlights tensions between patient autonomy and family roles; kinship can complicate decisions; some ethical cases justify deviating from involving relatives</w:t>
            </w:r>
          </w:p>
        </w:tc>
      </w:tr>
      <w:tr w:rsidR="00474C3C" w:rsidRPr="001256EA" w14:paraId="0D18FA9F" w14:textId="77777777" w:rsidTr="00E04B7D">
        <w:trPr>
          <w:trHeight w:val="210"/>
        </w:trPr>
        <w:tc>
          <w:tcPr>
            <w:cnfStyle w:val="001000000000" w:firstRow="0" w:lastRow="0" w:firstColumn="1" w:lastColumn="0" w:oddVBand="0" w:evenVBand="0" w:oddHBand="0" w:evenHBand="0" w:firstRowFirstColumn="0" w:firstRowLastColumn="0" w:lastRowFirstColumn="0" w:lastRowLastColumn="0"/>
            <w:tcW w:w="1508" w:type="dxa"/>
            <w:vMerge/>
          </w:tcPr>
          <w:p w14:paraId="665DF740"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3DE34557"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Euthanasia law misinterpretation</w:t>
            </w:r>
          </w:p>
        </w:tc>
        <w:tc>
          <w:tcPr>
            <w:tcW w:w="1108" w:type="dxa"/>
            <w:vAlign w:val="center"/>
          </w:tcPr>
          <w:p w14:paraId="52E7F472"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Kimsma</w:t>
            </w:r>
            <w:proofErr w:type="spellEnd"/>
            <w:r w:rsidRPr="001256EA">
              <w:rPr>
                <w:rFonts w:ascii="Times New Roman" w:hAnsi="Times New Roman" w:cs="Times New Roman"/>
                <w:sz w:val="20"/>
                <w:szCs w:val="20"/>
                <w:vertAlign w:val="superscript"/>
              </w:rPr>
              <w:footnoteReference w:id="439"/>
            </w:r>
          </w:p>
        </w:tc>
        <w:tc>
          <w:tcPr>
            <w:tcW w:w="3122" w:type="dxa"/>
            <w:vAlign w:val="center"/>
          </w:tcPr>
          <w:p w14:paraId="27998B1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Describe lesser-known effects of Dutch euthanasia practice on patients, physicians, families, and reflect philosophically on authenticity of requests and unbearable suffering</w:t>
            </w:r>
          </w:p>
        </w:tc>
        <w:tc>
          <w:tcPr>
            <w:tcW w:w="1440" w:type="dxa"/>
            <w:vAlign w:val="center"/>
          </w:tcPr>
          <w:p w14:paraId="4879A46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7DA411D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Conceptual/philosophical reflection based on clinical and ethical observations</w:t>
            </w:r>
          </w:p>
        </w:tc>
        <w:tc>
          <w:tcPr>
            <w:tcW w:w="4590" w:type="dxa"/>
            <w:vAlign w:val="center"/>
          </w:tcPr>
          <w:p w14:paraId="1A4CBDC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Highlights complex emotional and ethical effects on involved parties; challenges in assessing authenticity and nature of suffering; does not engage in standard pro/contra euthanasia arguments</w:t>
            </w:r>
          </w:p>
        </w:tc>
      </w:tr>
      <w:tr w:rsidR="00474C3C" w:rsidRPr="001256EA" w14:paraId="4B4682E6" w14:textId="77777777" w:rsidTr="00E04B7D">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08" w:type="dxa"/>
            <w:vMerge/>
          </w:tcPr>
          <w:p w14:paraId="12536741" w14:textId="77777777" w:rsidR="00474C3C" w:rsidRPr="001256EA" w:rsidRDefault="00474C3C" w:rsidP="00E04B7D">
            <w:pPr>
              <w:rPr>
                <w:rFonts w:ascii="Times New Roman" w:hAnsi="Times New Roman" w:cs="Times New Roman"/>
                <w:sz w:val="20"/>
                <w:szCs w:val="20"/>
              </w:rPr>
            </w:pPr>
          </w:p>
        </w:tc>
        <w:tc>
          <w:tcPr>
            <w:tcW w:w="1282" w:type="dxa"/>
            <w:vMerge/>
          </w:tcPr>
          <w:p w14:paraId="24ACD2A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151A0053"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Rietjens</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0"/>
            </w:r>
          </w:p>
        </w:tc>
        <w:tc>
          <w:tcPr>
            <w:tcW w:w="3122" w:type="dxa"/>
            <w:vAlign w:val="center"/>
          </w:tcPr>
          <w:p w14:paraId="218B37B6"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use of the term "euthanasia" in Dutch newspapers and identify arguments for and against euthanasia</w:t>
            </w:r>
          </w:p>
        </w:tc>
        <w:tc>
          <w:tcPr>
            <w:tcW w:w="1440" w:type="dxa"/>
            <w:vAlign w:val="center"/>
          </w:tcPr>
          <w:p w14:paraId="74E5067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11373DF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Content analysis of 284 articles from 7 national newspapers (Jan 2009–May 2010)</w:t>
            </w:r>
          </w:p>
        </w:tc>
        <w:tc>
          <w:tcPr>
            <w:tcW w:w="4590" w:type="dxa"/>
            <w:vAlign w:val="center"/>
          </w:tcPr>
          <w:p w14:paraId="0F51AC2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24% of articles used "euthanasia" beyond legal scope (e.g., withdrawal of treatment); debate covers terminal illness, elderly, dementia, psychiatric cases; pro arguments emphasize self-determination and good death, contra arguments focus on care alternatives and protecting vulnerable; public debate remains active and multifaceted</w:t>
            </w:r>
          </w:p>
        </w:tc>
      </w:tr>
      <w:tr w:rsidR="00474C3C" w:rsidRPr="001256EA" w14:paraId="1CA2F270" w14:textId="77777777" w:rsidTr="00E04B7D">
        <w:trPr>
          <w:trHeight w:val="107"/>
        </w:trPr>
        <w:tc>
          <w:tcPr>
            <w:cnfStyle w:val="001000000000" w:firstRow="0" w:lastRow="0" w:firstColumn="1" w:lastColumn="0" w:oddVBand="0" w:evenVBand="0" w:oddHBand="0" w:evenHBand="0" w:firstRowFirstColumn="0" w:firstRowLastColumn="0" w:lastRowFirstColumn="0" w:lastRowLastColumn="0"/>
            <w:tcW w:w="1508" w:type="dxa"/>
            <w:vMerge/>
          </w:tcPr>
          <w:p w14:paraId="6B18A1DF"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2B06CC91"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Unauthorized life-ending acts</w:t>
            </w:r>
          </w:p>
        </w:tc>
        <w:tc>
          <w:tcPr>
            <w:tcW w:w="1108" w:type="dxa"/>
            <w:vAlign w:val="center"/>
          </w:tcPr>
          <w:p w14:paraId="3EE2A786"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Riou et al.</w:t>
            </w:r>
            <w:r w:rsidRPr="001256EA">
              <w:rPr>
                <w:rFonts w:ascii="Times New Roman" w:hAnsi="Times New Roman" w:cs="Times New Roman"/>
                <w:sz w:val="20"/>
                <w:szCs w:val="20"/>
                <w:vertAlign w:val="superscript"/>
              </w:rPr>
              <w:footnoteReference w:id="441"/>
            </w:r>
          </w:p>
        </w:tc>
        <w:tc>
          <w:tcPr>
            <w:tcW w:w="3122" w:type="dxa"/>
            <w:vAlign w:val="center"/>
          </w:tcPr>
          <w:p w14:paraId="1841992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Provide empirical evidence on physicians’ use of drugs to intentionally end life despite prohibition, comparing French and Belgian laws</w:t>
            </w:r>
          </w:p>
        </w:tc>
        <w:tc>
          <w:tcPr>
            <w:tcW w:w="1440" w:type="dxa"/>
            <w:vAlign w:val="center"/>
          </w:tcPr>
          <w:p w14:paraId="279CF5A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France</w:t>
            </w:r>
          </w:p>
        </w:tc>
        <w:tc>
          <w:tcPr>
            <w:tcW w:w="2970" w:type="dxa"/>
            <w:vAlign w:val="center"/>
          </w:tcPr>
          <w:p w14:paraId="4B8835D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Analysis of 36 cases from a national survey of 15,000 deaths, physician questionnaires</w:t>
            </w:r>
          </w:p>
        </w:tc>
        <w:tc>
          <w:tcPr>
            <w:tcW w:w="4590" w:type="dxa"/>
            <w:vAlign w:val="center"/>
          </w:tcPr>
          <w:p w14:paraId="4386922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Few cases met Belgian euthanasia law criteria; frequent lack of patient discussion, poor labeling, and low interprofessional consultation; emotional burden high for physicians</w:t>
            </w:r>
          </w:p>
        </w:tc>
      </w:tr>
      <w:tr w:rsidR="00474C3C" w:rsidRPr="001256EA" w14:paraId="4880A616" w14:textId="77777777" w:rsidTr="00E04B7D">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08" w:type="dxa"/>
            <w:vMerge/>
          </w:tcPr>
          <w:p w14:paraId="323B729A" w14:textId="77777777" w:rsidR="00474C3C" w:rsidRPr="001256EA" w:rsidRDefault="00474C3C" w:rsidP="00E04B7D">
            <w:pPr>
              <w:rPr>
                <w:rFonts w:ascii="Times New Roman" w:hAnsi="Times New Roman" w:cs="Times New Roman"/>
                <w:sz w:val="20"/>
                <w:szCs w:val="20"/>
              </w:rPr>
            </w:pPr>
          </w:p>
        </w:tc>
        <w:tc>
          <w:tcPr>
            <w:tcW w:w="1282" w:type="dxa"/>
            <w:vMerge/>
          </w:tcPr>
          <w:p w14:paraId="2DA8557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DE36FB4"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2"/>
            </w:r>
          </w:p>
        </w:tc>
        <w:tc>
          <w:tcPr>
            <w:tcW w:w="3122" w:type="dxa"/>
            <w:vAlign w:val="center"/>
          </w:tcPr>
          <w:p w14:paraId="09410C1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age-related disparities in end-of-life decisions (ELDs) and test slippery slope hypothesis post-legalization of euthanasia</w:t>
            </w:r>
          </w:p>
        </w:tc>
        <w:tc>
          <w:tcPr>
            <w:tcW w:w="1440" w:type="dxa"/>
            <w:vAlign w:val="center"/>
          </w:tcPr>
          <w:p w14:paraId="1F79443E"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0A3BC45C"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Post-mortem survey of physicians certifying 6,927 deaths in 2007, compared with 1998 data</w:t>
            </w:r>
          </w:p>
        </w:tc>
        <w:tc>
          <w:tcPr>
            <w:tcW w:w="4590" w:type="dxa"/>
            <w:vAlign w:val="center"/>
          </w:tcPr>
          <w:p w14:paraId="31E8BBFD"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 age effect on ELD rates; elderly less included in decision-making; decrease in life-ending drug use without request except stable in 80+; no support for slippery slope hypothesis</w:t>
            </w:r>
          </w:p>
        </w:tc>
      </w:tr>
      <w:tr w:rsidR="00474C3C" w:rsidRPr="001256EA" w14:paraId="621B6595" w14:textId="77777777" w:rsidTr="00E04B7D">
        <w:trPr>
          <w:trHeight w:val="104"/>
        </w:trPr>
        <w:tc>
          <w:tcPr>
            <w:cnfStyle w:val="001000000000" w:firstRow="0" w:lastRow="0" w:firstColumn="1" w:lastColumn="0" w:oddVBand="0" w:evenVBand="0" w:oddHBand="0" w:evenHBand="0" w:firstRowFirstColumn="0" w:firstRowLastColumn="0" w:lastRowFirstColumn="0" w:lastRowLastColumn="0"/>
            <w:tcW w:w="1508" w:type="dxa"/>
            <w:vMerge/>
          </w:tcPr>
          <w:p w14:paraId="0A707748" w14:textId="77777777" w:rsidR="00474C3C" w:rsidRPr="001256EA" w:rsidRDefault="00474C3C" w:rsidP="00E04B7D">
            <w:pPr>
              <w:rPr>
                <w:rFonts w:ascii="Times New Roman" w:hAnsi="Times New Roman" w:cs="Times New Roman"/>
                <w:sz w:val="20"/>
                <w:szCs w:val="20"/>
              </w:rPr>
            </w:pPr>
          </w:p>
        </w:tc>
        <w:tc>
          <w:tcPr>
            <w:tcW w:w="1282" w:type="dxa"/>
            <w:vMerge/>
          </w:tcPr>
          <w:p w14:paraId="179CBE1B"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7335C71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3"/>
            </w:r>
          </w:p>
        </w:tc>
        <w:tc>
          <w:tcPr>
            <w:tcW w:w="3122" w:type="dxa"/>
            <w:vAlign w:val="center"/>
          </w:tcPr>
          <w:p w14:paraId="71235016"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Describe practices of euthanasia and life-ending drugs with/without explicit request in Flanders after legalization</w:t>
            </w:r>
          </w:p>
        </w:tc>
        <w:tc>
          <w:tcPr>
            <w:tcW w:w="1440" w:type="dxa"/>
            <w:vAlign w:val="center"/>
          </w:tcPr>
          <w:p w14:paraId="72C445B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6EB362B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Questionnaire to physicians certifying 6,927 deaths in 2007</w:t>
            </w:r>
          </w:p>
        </w:tc>
        <w:tc>
          <w:tcPr>
            <w:tcW w:w="4590" w:type="dxa"/>
            <w:vAlign w:val="center"/>
          </w:tcPr>
          <w:p w14:paraId="72DEA2E0"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208 cases reported with life-ending drugs: 142 with explicit request, 66 without; different patient profiles; most without request lacked patient discussion; opioids often used but misunderstood</w:t>
            </w:r>
          </w:p>
        </w:tc>
      </w:tr>
      <w:tr w:rsidR="00474C3C" w:rsidRPr="001256EA" w14:paraId="448FE957" w14:textId="77777777" w:rsidTr="00E04B7D">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08" w:type="dxa"/>
            <w:vMerge/>
          </w:tcPr>
          <w:p w14:paraId="5014E8DC" w14:textId="77777777" w:rsidR="00474C3C" w:rsidRPr="001256EA" w:rsidRDefault="00474C3C" w:rsidP="00E04B7D">
            <w:pPr>
              <w:rPr>
                <w:rFonts w:ascii="Times New Roman" w:hAnsi="Times New Roman" w:cs="Times New Roman"/>
                <w:sz w:val="20"/>
                <w:szCs w:val="20"/>
              </w:rPr>
            </w:pPr>
          </w:p>
        </w:tc>
        <w:tc>
          <w:tcPr>
            <w:tcW w:w="1282" w:type="dxa"/>
            <w:vMerge/>
          </w:tcPr>
          <w:p w14:paraId="4D3610B2"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E2B4F29"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Chambaere</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4"/>
            </w:r>
          </w:p>
        </w:tc>
        <w:tc>
          <w:tcPr>
            <w:tcW w:w="3122" w:type="dxa"/>
            <w:vAlign w:val="center"/>
          </w:tcPr>
          <w:p w14:paraId="4E88B13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Examine trends in occurrence and decision-making of end-of-life practices since 2002 Belgian euthanasia law</w:t>
            </w:r>
          </w:p>
        </w:tc>
        <w:tc>
          <w:tcPr>
            <w:tcW w:w="1440" w:type="dxa"/>
            <w:vAlign w:val="center"/>
          </w:tcPr>
          <w:p w14:paraId="6D032BD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2DB7004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Retrospective survey of physicians certifying 6,927 deaths in 2007, compared with 1998 and 2001</w:t>
            </w:r>
          </w:p>
        </w:tc>
        <w:tc>
          <w:tcPr>
            <w:tcW w:w="4590" w:type="dxa"/>
            <w:vAlign w:val="center"/>
          </w:tcPr>
          <w:p w14:paraId="6091630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Euthanasia and assisted suicide increased; life-ending drugs without request decreased; patient involvement higher in younger, cancer, and home deaths; more colleague consultations; need for shared decision-making</w:t>
            </w:r>
          </w:p>
        </w:tc>
      </w:tr>
      <w:tr w:rsidR="00474C3C" w:rsidRPr="001256EA" w14:paraId="2DB96BAD" w14:textId="77777777" w:rsidTr="00E04B7D">
        <w:trPr>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5FF78F7C"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374882EE"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Procedural failures in assisted dying law</w:t>
            </w:r>
          </w:p>
        </w:tc>
        <w:tc>
          <w:tcPr>
            <w:tcW w:w="1108" w:type="dxa"/>
            <w:vAlign w:val="center"/>
          </w:tcPr>
          <w:p w14:paraId="73D3BA1A"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a-DK"/>
              </w:rPr>
            </w:pPr>
            <w:r w:rsidRPr="001256EA">
              <w:rPr>
                <w:rFonts w:ascii="Times New Roman" w:hAnsi="Times New Roman" w:cs="Times New Roman"/>
                <w:sz w:val="20"/>
                <w:szCs w:val="20"/>
                <w:lang w:val="da-DK"/>
              </w:rPr>
              <w:t>Smets, Bilsen, Van den Block, et al.</w:t>
            </w:r>
            <w:r w:rsidRPr="001256EA">
              <w:rPr>
                <w:rFonts w:ascii="Times New Roman" w:hAnsi="Times New Roman" w:cs="Times New Roman"/>
                <w:sz w:val="20"/>
                <w:szCs w:val="20"/>
                <w:vertAlign w:val="superscript"/>
              </w:rPr>
              <w:footnoteReference w:id="445"/>
            </w:r>
          </w:p>
        </w:tc>
        <w:tc>
          <w:tcPr>
            <w:tcW w:w="3122" w:type="dxa"/>
            <w:vAlign w:val="center"/>
          </w:tcPr>
          <w:p w14:paraId="1C9768E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Study adherence and non-adherence of GPs to legal due care requirements for euthanasia among patients dying at home, and explore reasons for non-adherence</w:t>
            </w:r>
          </w:p>
        </w:tc>
        <w:tc>
          <w:tcPr>
            <w:tcW w:w="1440" w:type="dxa"/>
            <w:vAlign w:val="center"/>
          </w:tcPr>
          <w:p w14:paraId="779FA69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42C74F7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Large-scale retrospective mortality study (2005-2006) using Belgian Sentinel Network of GPs; interviews with GPs on euthanasia cases at home</w:t>
            </w:r>
          </w:p>
        </w:tc>
        <w:tc>
          <w:tcPr>
            <w:tcW w:w="4590" w:type="dxa"/>
            <w:vAlign w:val="center"/>
          </w:tcPr>
          <w:p w14:paraId="73415DD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Medical condition requirements </w:t>
            </w:r>
            <w:proofErr w:type="gramStart"/>
            <w:r w:rsidRPr="001256EA">
              <w:rPr>
                <w:rFonts w:ascii="Times New Roman" w:hAnsi="Times New Roman" w:cs="Times New Roman"/>
                <w:sz w:val="20"/>
                <w:szCs w:val="20"/>
              </w:rPr>
              <w:t>almost</w:t>
            </w:r>
            <w:proofErr w:type="gramEnd"/>
            <w:r w:rsidRPr="001256EA">
              <w:rPr>
                <w:rFonts w:ascii="Times New Roman" w:hAnsi="Times New Roman" w:cs="Times New Roman"/>
                <w:sz w:val="20"/>
                <w:szCs w:val="20"/>
              </w:rPr>
              <w:t xml:space="preserve"> always met; procedural requirements (consultation and reporting) sometimes ignored; non-adherence related to lack of awareness and burdensome procedures</w:t>
            </w:r>
          </w:p>
        </w:tc>
      </w:tr>
      <w:tr w:rsidR="00474C3C" w:rsidRPr="001256EA" w14:paraId="3009FEB1" w14:textId="77777777" w:rsidTr="00E04B7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3D64A7C9" w14:textId="77777777" w:rsidR="00474C3C" w:rsidRPr="001256EA" w:rsidRDefault="00474C3C" w:rsidP="00E04B7D">
            <w:pPr>
              <w:rPr>
                <w:rFonts w:ascii="Times New Roman" w:hAnsi="Times New Roman" w:cs="Times New Roman"/>
                <w:sz w:val="20"/>
                <w:szCs w:val="20"/>
              </w:rPr>
            </w:pPr>
          </w:p>
        </w:tc>
        <w:tc>
          <w:tcPr>
            <w:tcW w:w="1282" w:type="dxa"/>
            <w:vMerge/>
          </w:tcPr>
          <w:p w14:paraId="59859EFD"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763128FF"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a-DK"/>
              </w:rPr>
            </w:pPr>
            <w:r w:rsidRPr="001256EA">
              <w:rPr>
                <w:rFonts w:ascii="Times New Roman" w:hAnsi="Times New Roman" w:cs="Times New Roman"/>
                <w:sz w:val="20"/>
                <w:szCs w:val="20"/>
                <w:lang w:val="da-DK"/>
              </w:rPr>
              <w:t>Smets, Bilsen, Cohen, et al.</w:t>
            </w:r>
            <w:r w:rsidRPr="001256EA">
              <w:rPr>
                <w:rFonts w:ascii="Times New Roman" w:hAnsi="Times New Roman" w:cs="Times New Roman"/>
                <w:sz w:val="20"/>
                <w:szCs w:val="20"/>
                <w:vertAlign w:val="superscript"/>
              </w:rPr>
              <w:footnoteReference w:id="446"/>
            </w:r>
          </w:p>
        </w:tc>
        <w:tc>
          <w:tcPr>
            <w:tcW w:w="3122" w:type="dxa"/>
            <w:vAlign w:val="center"/>
          </w:tcPr>
          <w:p w14:paraId="56FEBDB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reported medical practice of euthanasia in Belgium post-legalization including frequency, patient characteristics, and trends</w:t>
            </w:r>
          </w:p>
        </w:tc>
        <w:tc>
          <w:tcPr>
            <w:tcW w:w="1440" w:type="dxa"/>
            <w:vAlign w:val="center"/>
          </w:tcPr>
          <w:p w14:paraId="05C0F1B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5605EA5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Analysis of anonymous national database of euthanasia cases reported to Federal Control and Evaluation Committee (2002–2007), n=1917</w:t>
            </w:r>
          </w:p>
        </w:tc>
        <w:tc>
          <w:tcPr>
            <w:tcW w:w="4590" w:type="dxa"/>
            <w:vAlign w:val="center"/>
          </w:tcPr>
          <w:p w14:paraId="3BFB3AC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Reported euthanasia cases increased yearly; mostly younger, male, cancer patients; barbiturates with relaxants common; unbearable physical/psychological suffering predominant</w:t>
            </w:r>
          </w:p>
        </w:tc>
      </w:tr>
      <w:tr w:rsidR="00474C3C" w:rsidRPr="001256EA" w14:paraId="45E18A5B" w14:textId="77777777" w:rsidTr="00E04B7D">
        <w:trPr>
          <w:trHeight w:val="470"/>
        </w:trPr>
        <w:tc>
          <w:tcPr>
            <w:cnfStyle w:val="001000000000" w:firstRow="0" w:lastRow="0" w:firstColumn="1" w:lastColumn="0" w:oddVBand="0" w:evenVBand="0" w:oddHBand="0" w:evenHBand="0" w:firstRowFirstColumn="0" w:firstRowLastColumn="0" w:lastRowFirstColumn="0" w:lastRowLastColumn="0"/>
            <w:tcW w:w="1508" w:type="dxa"/>
            <w:vMerge/>
          </w:tcPr>
          <w:p w14:paraId="0A7C9A74" w14:textId="77777777" w:rsidR="00474C3C" w:rsidRPr="001256EA" w:rsidRDefault="00474C3C" w:rsidP="00E04B7D">
            <w:pPr>
              <w:rPr>
                <w:rFonts w:ascii="Times New Roman" w:hAnsi="Times New Roman" w:cs="Times New Roman"/>
                <w:sz w:val="20"/>
                <w:szCs w:val="20"/>
              </w:rPr>
            </w:pPr>
          </w:p>
        </w:tc>
        <w:tc>
          <w:tcPr>
            <w:tcW w:w="1282" w:type="dxa"/>
            <w:vMerge/>
          </w:tcPr>
          <w:p w14:paraId="693E18E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0E4F0C33"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Van </w:t>
            </w:r>
            <w:proofErr w:type="spellStart"/>
            <w:r w:rsidRPr="001256EA">
              <w:rPr>
                <w:rFonts w:ascii="Times New Roman" w:hAnsi="Times New Roman" w:cs="Times New Roman"/>
                <w:sz w:val="20"/>
                <w:szCs w:val="20"/>
              </w:rPr>
              <w:t>Humbeeck</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7"/>
            </w:r>
          </w:p>
        </w:tc>
        <w:tc>
          <w:tcPr>
            <w:tcW w:w="3122" w:type="dxa"/>
            <w:vAlign w:val="center"/>
          </w:tcPr>
          <w:p w14:paraId="0993BAAD"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Explore legal understanding and attitudes of nurses and physicians in acute and chronic geriatric care </w:t>
            </w:r>
            <w:r w:rsidRPr="001256EA">
              <w:rPr>
                <w:rFonts w:ascii="Times New Roman" w:hAnsi="Times New Roman" w:cs="Times New Roman"/>
                <w:sz w:val="20"/>
                <w:szCs w:val="20"/>
              </w:rPr>
              <w:lastRenderedPageBreak/>
              <w:t>regarding euthanasia in context of tiredness of life (</w:t>
            </w:r>
            <w:proofErr w:type="spellStart"/>
            <w:r w:rsidRPr="001256EA">
              <w:rPr>
                <w:rFonts w:ascii="Times New Roman" w:hAnsi="Times New Roman" w:cs="Times New Roman"/>
                <w:sz w:val="20"/>
                <w:szCs w:val="20"/>
              </w:rPr>
              <w:t>ToL</w:t>
            </w:r>
            <w:proofErr w:type="spellEnd"/>
            <w:r w:rsidRPr="001256EA">
              <w:rPr>
                <w:rFonts w:ascii="Times New Roman" w:hAnsi="Times New Roman" w:cs="Times New Roman"/>
                <w:sz w:val="20"/>
                <w:szCs w:val="20"/>
              </w:rPr>
              <w:t>) in older people</w:t>
            </w:r>
          </w:p>
        </w:tc>
        <w:tc>
          <w:tcPr>
            <w:tcW w:w="1440" w:type="dxa"/>
            <w:vAlign w:val="center"/>
          </w:tcPr>
          <w:p w14:paraId="036D308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lastRenderedPageBreak/>
              <w:t>Belgium</w:t>
            </w:r>
          </w:p>
        </w:tc>
        <w:tc>
          <w:tcPr>
            <w:tcW w:w="2970" w:type="dxa"/>
            <w:vAlign w:val="center"/>
          </w:tcPr>
          <w:p w14:paraId="0EEB6EE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Survey with case vignettes sent to healthcare providers </w:t>
            </w:r>
            <w:r w:rsidRPr="001256EA">
              <w:rPr>
                <w:rFonts w:ascii="Times New Roman" w:hAnsi="Times New Roman" w:cs="Times New Roman"/>
                <w:sz w:val="20"/>
                <w:szCs w:val="20"/>
              </w:rPr>
              <w:lastRenderedPageBreak/>
              <w:t>(geriatricians, nurses, GPs), quantitative analysis</w:t>
            </w:r>
          </w:p>
        </w:tc>
        <w:tc>
          <w:tcPr>
            <w:tcW w:w="4590" w:type="dxa"/>
            <w:vAlign w:val="center"/>
          </w:tcPr>
          <w:p w14:paraId="790B69A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lastRenderedPageBreak/>
              <w:t xml:space="preserve">Only 50% </w:t>
            </w:r>
            <w:proofErr w:type="gramStart"/>
            <w:r w:rsidRPr="001256EA">
              <w:rPr>
                <w:rFonts w:ascii="Times New Roman" w:hAnsi="Times New Roman" w:cs="Times New Roman"/>
                <w:sz w:val="20"/>
                <w:szCs w:val="20"/>
              </w:rPr>
              <w:t>aware</w:t>
            </w:r>
            <w:proofErr w:type="gramEnd"/>
            <w:r w:rsidRPr="001256EA">
              <w:rPr>
                <w:rFonts w:ascii="Times New Roman" w:hAnsi="Times New Roman" w:cs="Times New Roman"/>
                <w:sz w:val="20"/>
                <w:szCs w:val="20"/>
              </w:rPr>
              <w:t xml:space="preserve"> of legal euthanasia basis for </w:t>
            </w:r>
            <w:proofErr w:type="spellStart"/>
            <w:r w:rsidRPr="001256EA">
              <w:rPr>
                <w:rFonts w:ascii="Times New Roman" w:hAnsi="Times New Roman" w:cs="Times New Roman"/>
                <w:sz w:val="20"/>
                <w:szCs w:val="20"/>
              </w:rPr>
              <w:t>ToL</w:t>
            </w:r>
            <w:proofErr w:type="spellEnd"/>
            <w:r w:rsidRPr="001256EA">
              <w:rPr>
                <w:rFonts w:ascii="Times New Roman" w:hAnsi="Times New Roman" w:cs="Times New Roman"/>
                <w:sz w:val="20"/>
                <w:szCs w:val="20"/>
              </w:rPr>
              <w:t xml:space="preserve">; nurses more understanding of euthanasia requests without severe illness; geriatricians less willing to </w:t>
            </w:r>
            <w:r w:rsidRPr="001256EA">
              <w:rPr>
                <w:rFonts w:ascii="Times New Roman" w:hAnsi="Times New Roman" w:cs="Times New Roman"/>
                <w:sz w:val="20"/>
                <w:szCs w:val="20"/>
              </w:rPr>
              <w:lastRenderedPageBreak/>
              <w:t>perform euthanasia than GPs; legal criteria open to interpretation causing gray areas</w:t>
            </w:r>
          </w:p>
        </w:tc>
      </w:tr>
      <w:tr w:rsidR="00474C3C" w:rsidRPr="001256EA" w14:paraId="382F98F4" w14:textId="77777777" w:rsidTr="00E04B7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8" w:type="dxa"/>
            <w:vMerge/>
          </w:tcPr>
          <w:p w14:paraId="7885989A"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383C3A1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Incomplete safeguards in assisted dying</w:t>
            </w:r>
          </w:p>
        </w:tc>
        <w:tc>
          <w:tcPr>
            <w:tcW w:w="1108" w:type="dxa"/>
            <w:vAlign w:val="center"/>
          </w:tcPr>
          <w:p w14:paraId="798D5ECA"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Altisent</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48"/>
            </w:r>
          </w:p>
        </w:tc>
        <w:tc>
          <w:tcPr>
            <w:tcW w:w="3122" w:type="dxa"/>
            <w:vAlign w:val="center"/>
          </w:tcPr>
          <w:p w14:paraId="3F7A74CD"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Critically assess the social and clinical implications of the Spanish Euthanasia Law, focusing on palliative care and dependent individuals</w:t>
            </w:r>
          </w:p>
        </w:tc>
        <w:tc>
          <w:tcPr>
            <w:tcW w:w="1440" w:type="dxa"/>
            <w:vAlign w:val="center"/>
          </w:tcPr>
          <w:p w14:paraId="57DFBB68"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3D2563F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Conceptual/critical analysis based on clinical experience and legal text review</w:t>
            </w:r>
          </w:p>
        </w:tc>
        <w:tc>
          <w:tcPr>
            <w:tcW w:w="4590" w:type="dxa"/>
            <w:vAlign w:val="center"/>
          </w:tcPr>
          <w:p w14:paraId="5E77E24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The law may negatively affect vulnerable individuals by making them feel like burdens; it was hastily written without advisory support and raises unresolved issues in general practice; may create more problems than it solves</w:t>
            </w:r>
          </w:p>
        </w:tc>
      </w:tr>
      <w:tr w:rsidR="00474C3C" w:rsidRPr="001256EA" w14:paraId="28CC19D0" w14:textId="77777777" w:rsidTr="00E04B7D">
        <w:trPr>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150B8B1B" w14:textId="77777777" w:rsidR="00474C3C" w:rsidRPr="001256EA" w:rsidRDefault="00474C3C" w:rsidP="00E04B7D">
            <w:pPr>
              <w:rPr>
                <w:rFonts w:ascii="Times New Roman" w:hAnsi="Times New Roman" w:cs="Times New Roman"/>
                <w:sz w:val="20"/>
                <w:szCs w:val="20"/>
              </w:rPr>
            </w:pPr>
          </w:p>
        </w:tc>
        <w:tc>
          <w:tcPr>
            <w:tcW w:w="1282" w:type="dxa"/>
            <w:vMerge/>
          </w:tcPr>
          <w:p w14:paraId="76E442B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2DDFE090"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Paradela-López &amp; Jima-González</w:t>
            </w:r>
            <w:r w:rsidRPr="001256EA">
              <w:rPr>
                <w:rFonts w:ascii="Times New Roman" w:hAnsi="Times New Roman" w:cs="Times New Roman"/>
                <w:sz w:val="20"/>
                <w:szCs w:val="20"/>
                <w:vertAlign w:val="superscript"/>
              </w:rPr>
              <w:footnoteReference w:id="449"/>
            </w:r>
          </w:p>
        </w:tc>
        <w:tc>
          <w:tcPr>
            <w:tcW w:w="3122" w:type="dxa"/>
            <w:vAlign w:val="center"/>
          </w:tcPr>
          <w:p w14:paraId="00B6C0D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procedural aspects, assistance methods, and medical roles under the Spanish Voluntary Euthanasia Law, identifying potential practical issues</w:t>
            </w:r>
          </w:p>
        </w:tc>
        <w:tc>
          <w:tcPr>
            <w:tcW w:w="1440" w:type="dxa"/>
            <w:vAlign w:val="center"/>
          </w:tcPr>
          <w:p w14:paraId="7E0FD6DB"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40B293F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Legal and procedural analysis of the Organic Law with focus on implementation challenges</w:t>
            </w:r>
          </w:p>
        </w:tc>
        <w:tc>
          <w:tcPr>
            <w:tcW w:w="4590" w:type="dxa"/>
            <w:vAlign w:val="center"/>
          </w:tcPr>
          <w:p w14:paraId="1DE301E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Highlights three main problems: lack of clear regulation for mental disorder patients, unclear legal assistance scope for self-administration, and ambiguous medical staff roles in final euthanasia phases; law has significant loopholes likely to cause controversies</w:t>
            </w:r>
          </w:p>
        </w:tc>
      </w:tr>
      <w:tr w:rsidR="00474C3C" w:rsidRPr="001256EA" w14:paraId="6E6EA0D9" w14:textId="77777777" w:rsidTr="00E04B7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508" w:type="dxa"/>
            <w:vMerge/>
          </w:tcPr>
          <w:p w14:paraId="39070AD1" w14:textId="77777777" w:rsidR="00474C3C" w:rsidRPr="001256EA" w:rsidRDefault="00474C3C" w:rsidP="00E04B7D">
            <w:pPr>
              <w:rPr>
                <w:rFonts w:ascii="Times New Roman" w:hAnsi="Times New Roman" w:cs="Times New Roman"/>
                <w:sz w:val="20"/>
                <w:szCs w:val="20"/>
              </w:rPr>
            </w:pPr>
          </w:p>
        </w:tc>
        <w:tc>
          <w:tcPr>
            <w:tcW w:w="1282" w:type="dxa"/>
            <w:vMerge/>
          </w:tcPr>
          <w:p w14:paraId="5E36CDFD"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7789497C"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Novoa-Jurado &amp; Melguizo-Jiménez</w:t>
            </w:r>
            <w:r w:rsidRPr="001256EA">
              <w:rPr>
                <w:rFonts w:ascii="Times New Roman" w:hAnsi="Times New Roman" w:cs="Times New Roman"/>
                <w:sz w:val="20"/>
                <w:szCs w:val="20"/>
                <w:vertAlign w:val="superscript"/>
              </w:rPr>
              <w:footnoteReference w:id="450"/>
            </w:r>
          </w:p>
        </w:tc>
        <w:tc>
          <w:tcPr>
            <w:tcW w:w="3122" w:type="dxa"/>
            <w:vAlign w:val="center"/>
          </w:tcPr>
          <w:p w14:paraId="68D50D6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Reflect on the ethical and medical challenges posed by the Spanish euthanasia law, emphasizing safeguards and primary care context</w:t>
            </w:r>
          </w:p>
        </w:tc>
        <w:tc>
          <w:tcPr>
            <w:tcW w:w="1440" w:type="dxa"/>
            <w:vAlign w:val="center"/>
          </w:tcPr>
          <w:p w14:paraId="5071510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263EADD3"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Ethical and policy discussion based on clinical and social considerations</w:t>
            </w:r>
          </w:p>
        </w:tc>
        <w:tc>
          <w:tcPr>
            <w:tcW w:w="4590" w:type="dxa"/>
            <w:vAlign w:val="center"/>
          </w:tcPr>
          <w:p w14:paraId="4D9F2C2D"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Euthanasia should remain an exceptional last resort with strong clinical and relational safeguards; risk of inequity if social determinants </w:t>
            </w:r>
            <w:proofErr w:type="gramStart"/>
            <w:r w:rsidRPr="001256EA">
              <w:rPr>
                <w:rFonts w:ascii="Times New Roman" w:hAnsi="Times New Roman" w:cs="Times New Roman"/>
                <w:sz w:val="20"/>
                <w:szCs w:val="20"/>
              </w:rPr>
              <w:t>not</w:t>
            </w:r>
            <w:proofErr w:type="gramEnd"/>
            <w:r w:rsidRPr="001256EA">
              <w:rPr>
                <w:rFonts w:ascii="Times New Roman" w:hAnsi="Times New Roman" w:cs="Times New Roman"/>
                <w:sz w:val="20"/>
                <w:szCs w:val="20"/>
              </w:rPr>
              <w:t xml:space="preserve"> considered; need for supportive primary care to accompany patients and ensure informed decisions</w:t>
            </w:r>
          </w:p>
        </w:tc>
      </w:tr>
      <w:tr w:rsidR="00474C3C" w:rsidRPr="001256EA" w14:paraId="2444E98B" w14:textId="77777777" w:rsidTr="00E04B7D">
        <w:trPr>
          <w:trHeight w:val="338"/>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14:paraId="251D9141" w14:textId="77777777" w:rsidR="00474C3C" w:rsidRPr="001256EA" w:rsidRDefault="00474C3C" w:rsidP="00E04B7D">
            <w:pPr>
              <w:rPr>
                <w:rFonts w:ascii="Times New Roman" w:hAnsi="Times New Roman" w:cs="Times New Roman"/>
                <w:sz w:val="20"/>
                <w:szCs w:val="20"/>
              </w:rPr>
            </w:pPr>
            <w:r w:rsidRPr="001256EA">
              <w:rPr>
                <w:rFonts w:ascii="Times New Roman" w:hAnsi="Times New Roman" w:cs="Times New Roman"/>
                <w:sz w:val="20"/>
                <w:szCs w:val="20"/>
              </w:rPr>
              <w:t xml:space="preserve">Institutional and professional tensions </w:t>
            </w:r>
          </w:p>
        </w:tc>
        <w:tc>
          <w:tcPr>
            <w:tcW w:w="1282" w:type="dxa"/>
            <w:vMerge w:val="restart"/>
            <w:vAlign w:val="center"/>
          </w:tcPr>
          <w:p w14:paraId="7A5A3E28"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Regulatory challenges in euthanasia practice</w:t>
            </w:r>
          </w:p>
        </w:tc>
        <w:tc>
          <w:tcPr>
            <w:tcW w:w="1108" w:type="dxa"/>
            <w:vAlign w:val="center"/>
          </w:tcPr>
          <w:p w14:paraId="730F72A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Archer et al.</w:t>
            </w:r>
            <w:r w:rsidRPr="001256EA">
              <w:rPr>
                <w:rFonts w:ascii="Times New Roman" w:hAnsi="Times New Roman" w:cs="Times New Roman"/>
                <w:sz w:val="20"/>
                <w:szCs w:val="20"/>
                <w:vertAlign w:val="superscript"/>
              </w:rPr>
              <w:footnoteReference w:id="451"/>
            </w:r>
          </w:p>
        </w:tc>
        <w:tc>
          <w:tcPr>
            <w:tcW w:w="3122" w:type="dxa"/>
            <w:vAlign w:val="center"/>
          </w:tcPr>
          <w:p w14:paraId="32AF314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Investigate key challenges experienced by physicians and nurses in euthanasia provision amid evolving Belgian euthanasia law and practice</w:t>
            </w:r>
          </w:p>
        </w:tc>
        <w:tc>
          <w:tcPr>
            <w:tcW w:w="1440" w:type="dxa"/>
            <w:vAlign w:val="center"/>
          </w:tcPr>
          <w:p w14:paraId="0602A0A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2DD9E60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Qualitative interview study with 20 physicians and nurses; reflexive thematic analysis</w:t>
            </w:r>
          </w:p>
        </w:tc>
        <w:tc>
          <w:tcPr>
            <w:tcW w:w="4590" w:type="dxa"/>
            <w:vAlign w:val="center"/>
          </w:tcPr>
          <w:p w14:paraId="1B5B9A8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Identified four main challenges: legislative framing difficulties, burdens on providers, conflicting views hampering discussions, and misunderstanding of euthanasia processes; findings highlight ongoing provider struggles and suggest need for legislative/system review and better support</w:t>
            </w:r>
          </w:p>
        </w:tc>
      </w:tr>
      <w:tr w:rsidR="00474C3C" w:rsidRPr="001256EA" w14:paraId="3D1F8137" w14:textId="77777777" w:rsidTr="00E04B7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08" w:type="dxa"/>
            <w:vMerge/>
          </w:tcPr>
          <w:p w14:paraId="02C03691" w14:textId="77777777" w:rsidR="00474C3C" w:rsidRPr="001256EA" w:rsidRDefault="00474C3C" w:rsidP="00E04B7D">
            <w:pPr>
              <w:rPr>
                <w:rFonts w:ascii="Times New Roman" w:hAnsi="Times New Roman" w:cs="Times New Roman"/>
                <w:sz w:val="20"/>
                <w:szCs w:val="20"/>
              </w:rPr>
            </w:pPr>
          </w:p>
        </w:tc>
        <w:tc>
          <w:tcPr>
            <w:tcW w:w="1282" w:type="dxa"/>
            <w:vMerge/>
          </w:tcPr>
          <w:p w14:paraId="22FA0D94"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DE7A362"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Willmott et al.</w:t>
            </w:r>
            <w:r w:rsidRPr="001256EA">
              <w:rPr>
                <w:rFonts w:ascii="Times New Roman" w:hAnsi="Times New Roman" w:cs="Times New Roman"/>
                <w:sz w:val="20"/>
                <w:szCs w:val="20"/>
                <w:vertAlign w:val="superscript"/>
              </w:rPr>
              <w:footnoteReference w:id="452"/>
            </w:r>
          </w:p>
        </w:tc>
        <w:tc>
          <w:tcPr>
            <w:tcW w:w="3122" w:type="dxa"/>
            <w:vAlign w:val="center"/>
          </w:tcPr>
          <w:p w14:paraId="6A73D56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Review two decades of legislative attempts to legalize voluntary euthanasia and physician-assisted </w:t>
            </w:r>
            <w:r w:rsidRPr="001256EA">
              <w:rPr>
                <w:rFonts w:ascii="Times New Roman" w:hAnsi="Times New Roman" w:cs="Times New Roman"/>
                <w:sz w:val="20"/>
                <w:szCs w:val="20"/>
              </w:rPr>
              <w:lastRenderedPageBreak/>
              <w:t>suicide, analyzing models and political dynamics</w:t>
            </w:r>
          </w:p>
        </w:tc>
        <w:tc>
          <w:tcPr>
            <w:tcW w:w="1440" w:type="dxa"/>
            <w:vAlign w:val="center"/>
          </w:tcPr>
          <w:p w14:paraId="78CF5C9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lastRenderedPageBreak/>
              <w:t>Australia</w:t>
            </w:r>
          </w:p>
        </w:tc>
        <w:tc>
          <w:tcPr>
            <w:tcW w:w="2970" w:type="dxa"/>
            <w:vAlign w:val="center"/>
          </w:tcPr>
          <w:p w14:paraId="461FC3D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Comprehensive legislative and political review of 51 bills since </w:t>
            </w:r>
            <w:r w:rsidRPr="001256EA">
              <w:rPr>
                <w:rFonts w:ascii="Times New Roman" w:hAnsi="Times New Roman" w:cs="Times New Roman"/>
                <w:sz w:val="20"/>
                <w:szCs w:val="20"/>
              </w:rPr>
              <w:lastRenderedPageBreak/>
              <w:t>1993, including content analysis and voting trends</w:t>
            </w:r>
          </w:p>
        </w:tc>
        <w:tc>
          <w:tcPr>
            <w:tcW w:w="4590" w:type="dxa"/>
            <w:vAlign w:val="center"/>
          </w:tcPr>
          <w:p w14:paraId="4BA9689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lastRenderedPageBreak/>
              <w:t xml:space="preserve">Despite broad public support, only one bill briefly enacted; political dynamics, party stances, and procedural barriers hindered reform; independent and </w:t>
            </w:r>
            <w:r w:rsidRPr="001256EA">
              <w:rPr>
                <w:rFonts w:ascii="Times New Roman" w:hAnsi="Times New Roman" w:cs="Times New Roman"/>
                <w:sz w:val="20"/>
                <w:szCs w:val="20"/>
              </w:rPr>
              <w:lastRenderedPageBreak/>
              <w:t>minor parties mainly drove initiatives; conditions for future success identified</w:t>
            </w:r>
          </w:p>
        </w:tc>
      </w:tr>
      <w:tr w:rsidR="00474C3C" w:rsidRPr="001256EA" w14:paraId="32D6CCF1" w14:textId="77777777" w:rsidTr="00E04B7D">
        <w:trPr>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7CACF291"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11E2B1D8"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Institutional barriers to assisted dying</w:t>
            </w:r>
          </w:p>
        </w:tc>
        <w:tc>
          <w:tcPr>
            <w:tcW w:w="1108" w:type="dxa"/>
            <w:vAlign w:val="center"/>
          </w:tcPr>
          <w:p w14:paraId="40CD6709"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Munuera</w:t>
            </w:r>
            <w:proofErr w:type="spellEnd"/>
            <w:r w:rsidRPr="001256EA">
              <w:rPr>
                <w:rFonts w:ascii="Times New Roman" w:hAnsi="Times New Roman" w:cs="Times New Roman"/>
                <w:sz w:val="20"/>
                <w:szCs w:val="20"/>
              </w:rPr>
              <w:t xml:space="preserve"> Gómez et al.</w:t>
            </w:r>
            <w:r w:rsidRPr="001256EA">
              <w:rPr>
                <w:rFonts w:ascii="Times New Roman" w:hAnsi="Times New Roman" w:cs="Times New Roman"/>
                <w:sz w:val="20"/>
                <w:szCs w:val="20"/>
                <w:vertAlign w:val="superscript"/>
              </w:rPr>
              <w:footnoteReference w:id="453"/>
            </w:r>
          </w:p>
        </w:tc>
        <w:tc>
          <w:tcPr>
            <w:tcW w:w="3122" w:type="dxa"/>
            <w:vAlign w:val="center"/>
          </w:tcPr>
          <w:p w14:paraId="22F6AD9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opinions of social work professionals in healthcare on euthanasia regulation and their role</w:t>
            </w:r>
          </w:p>
        </w:tc>
        <w:tc>
          <w:tcPr>
            <w:tcW w:w="1440" w:type="dxa"/>
            <w:vAlign w:val="center"/>
          </w:tcPr>
          <w:p w14:paraId="6C6F6F12"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0A04FC3B"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Quantitative survey of social work professionals in healthcare settings</w:t>
            </w:r>
          </w:p>
        </w:tc>
        <w:tc>
          <w:tcPr>
            <w:tcW w:w="4590" w:type="dxa"/>
            <w:vAlign w:val="center"/>
          </w:tcPr>
          <w:p w14:paraId="7C4D0C1E"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Highlights complexity faced by patients and families opting for euthanasia; identifies need for institutional protocols clarifying social workers’ role and emphasizes training to ensure effective support and rights implementation</w:t>
            </w:r>
          </w:p>
        </w:tc>
      </w:tr>
      <w:tr w:rsidR="00474C3C" w:rsidRPr="001256EA" w14:paraId="3655DF38" w14:textId="77777777" w:rsidTr="00E04B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7580FEB5" w14:textId="77777777" w:rsidR="00474C3C" w:rsidRPr="001256EA" w:rsidRDefault="00474C3C" w:rsidP="00E04B7D">
            <w:pPr>
              <w:rPr>
                <w:rFonts w:ascii="Times New Roman" w:hAnsi="Times New Roman" w:cs="Times New Roman"/>
                <w:sz w:val="20"/>
                <w:szCs w:val="20"/>
              </w:rPr>
            </w:pPr>
          </w:p>
        </w:tc>
        <w:tc>
          <w:tcPr>
            <w:tcW w:w="1282" w:type="dxa"/>
            <w:vMerge/>
          </w:tcPr>
          <w:p w14:paraId="70B858B1"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B2F70B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Joseba García &amp; Ignacia</w:t>
            </w:r>
            <w:r w:rsidRPr="001256EA">
              <w:rPr>
                <w:rFonts w:ascii="Times New Roman" w:hAnsi="Times New Roman" w:cs="Times New Roman"/>
                <w:sz w:val="20"/>
                <w:szCs w:val="20"/>
                <w:vertAlign w:val="superscript"/>
              </w:rPr>
              <w:footnoteReference w:id="454"/>
            </w:r>
          </w:p>
        </w:tc>
        <w:tc>
          <w:tcPr>
            <w:tcW w:w="3122" w:type="dxa"/>
            <w:vAlign w:val="center"/>
          </w:tcPr>
          <w:p w14:paraId="1604046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mobilization tactics, identity, and networks of neoconservative Catholic-inspired groups opposing euthanasia law</w:t>
            </w:r>
          </w:p>
        </w:tc>
        <w:tc>
          <w:tcPr>
            <w:tcW w:w="1440" w:type="dxa"/>
            <w:vAlign w:val="center"/>
          </w:tcPr>
          <w:p w14:paraId="3329E13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68B2209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Relational and historical-comparative analysis focusing on organizational structure, public narratives, and socio-political context</w:t>
            </w:r>
          </w:p>
        </w:tc>
        <w:tc>
          <w:tcPr>
            <w:tcW w:w="4590" w:type="dxa"/>
            <w:vAlign w:val="center"/>
          </w:tcPr>
          <w:p w14:paraId="14986B3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Reveals active anti-euthanasia mobilization linked to religious organizations, conservative parties, and socio-political shifts; highlights impact of COVID-19 crisis and far-right party emergence on opposition dynamics</w:t>
            </w:r>
          </w:p>
        </w:tc>
      </w:tr>
      <w:tr w:rsidR="00474C3C" w:rsidRPr="001256EA" w14:paraId="650F6C40" w14:textId="77777777" w:rsidTr="00E04B7D">
        <w:trPr>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176130B4"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0696163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Moral burden under euthanasia regulation</w:t>
            </w:r>
          </w:p>
        </w:tc>
        <w:tc>
          <w:tcPr>
            <w:tcW w:w="1108" w:type="dxa"/>
            <w:vAlign w:val="center"/>
          </w:tcPr>
          <w:p w14:paraId="46DE6DD5"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Verdaguer et al.</w:t>
            </w:r>
            <w:r w:rsidRPr="001256EA">
              <w:rPr>
                <w:rFonts w:ascii="Times New Roman" w:hAnsi="Times New Roman" w:cs="Times New Roman"/>
                <w:sz w:val="20"/>
                <w:szCs w:val="20"/>
                <w:vertAlign w:val="superscript"/>
              </w:rPr>
              <w:footnoteReference w:id="455"/>
            </w:r>
          </w:p>
        </w:tc>
        <w:tc>
          <w:tcPr>
            <w:tcW w:w="3122" w:type="dxa"/>
            <w:vAlign w:val="center"/>
          </w:tcPr>
          <w:p w14:paraId="5E284CE8"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the process of assisted death provision in Catalonia and identify professional tensions and difficulties</w:t>
            </w:r>
          </w:p>
        </w:tc>
        <w:tc>
          <w:tcPr>
            <w:tcW w:w="1440" w:type="dxa"/>
            <w:vAlign w:val="center"/>
          </w:tcPr>
          <w:p w14:paraId="4B1B59E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7354521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Qualitative study: 29 interviews + 19 focus groups with professionals involved in euthanasia; purposive sampling</w:t>
            </w:r>
          </w:p>
        </w:tc>
        <w:tc>
          <w:tcPr>
            <w:tcW w:w="4590" w:type="dxa"/>
            <w:vAlign w:val="center"/>
          </w:tcPr>
          <w:p w14:paraId="04DE73DC"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Assisted death process has four phases with multiple sources of distress related to legal-moral tensions, professional role ambiguity, lack of support, and bureaucratic stress; COVID-19 and healthcare system pressures exacerbate burden; suggests need for psychological support, training, and institutional involvement</w:t>
            </w:r>
          </w:p>
        </w:tc>
      </w:tr>
      <w:tr w:rsidR="00474C3C" w:rsidRPr="001256EA" w14:paraId="56FC2B26" w14:textId="77777777" w:rsidTr="00E04B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tcPr>
          <w:p w14:paraId="1BB8CF55" w14:textId="77777777" w:rsidR="00474C3C" w:rsidRPr="001256EA" w:rsidRDefault="00474C3C" w:rsidP="00E04B7D">
            <w:pPr>
              <w:rPr>
                <w:rFonts w:ascii="Times New Roman" w:hAnsi="Times New Roman" w:cs="Times New Roman"/>
                <w:sz w:val="20"/>
                <w:szCs w:val="20"/>
              </w:rPr>
            </w:pPr>
          </w:p>
        </w:tc>
        <w:tc>
          <w:tcPr>
            <w:tcW w:w="1282" w:type="dxa"/>
            <w:vMerge/>
          </w:tcPr>
          <w:p w14:paraId="1BF6C1EE"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47A76F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Snijdewind</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56"/>
            </w:r>
          </w:p>
        </w:tc>
        <w:tc>
          <w:tcPr>
            <w:tcW w:w="3122" w:type="dxa"/>
            <w:vAlign w:val="center"/>
          </w:tcPr>
          <w:p w14:paraId="4932C1B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Dutch physicians’ perceptions of the evolving practice of euthanasia and assisted suicide (EAS) influenced by public debate</w:t>
            </w:r>
          </w:p>
        </w:tc>
        <w:tc>
          <w:tcPr>
            <w:tcW w:w="1440" w:type="dxa"/>
            <w:vAlign w:val="center"/>
          </w:tcPr>
          <w:p w14:paraId="3B3E571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61A0878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Secondary analysis of in-depth interviews with 28 physicians experienced in complex EAS cases, recruited via SCEN network and national questionnaire</w:t>
            </w:r>
          </w:p>
        </w:tc>
        <w:tc>
          <w:tcPr>
            <w:tcW w:w="4590" w:type="dxa"/>
            <w:vAlign w:val="center"/>
          </w:tcPr>
          <w:p w14:paraId="667CA61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Physicians perceive a shift from caregiving to performing EAS, increased requests for non-medical reasons, and a stretching of EAS regulatory boundaries; these trends may reduce physicians’ willingness to accept requests and raise societal questions about EAS roles</w:t>
            </w:r>
          </w:p>
        </w:tc>
      </w:tr>
      <w:tr w:rsidR="00474C3C" w:rsidRPr="001256EA" w14:paraId="64999D7C" w14:textId="77777777" w:rsidTr="00E04B7D">
        <w:trPr>
          <w:trHeight w:val="275"/>
        </w:trPr>
        <w:tc>
          <w:tcPr>
            <w:cnfStyle w:val="001000000000" w:firstRow="0" w:lastRow="0" w:firstColumn="1" w:lastColumn="0" w:oddVBand="0" w:evenVBand="0" w:oddHBand="0" w:evenHBand="0" w:firstRowFirstColumn="0" w:firstRowLastColumn="0" w:lastRowFirstColumn="0" w:lastRowLastColumn="0"/>
            <w:tcW w:w="1508" w:type="dxa"/>
            <w:vMerge/>
          </w:tcPr>
          <w:p w14:paraId="23104180" w14:textId="77777777" w:rsidR="00474C3C" w:rsidRPr="001256EA" w:rsidRDefault="00474C3C" w:rsidP="00E04B7D">
            <w:pPr>
              <w:rPr>
                <w:rFonts w:ascii="Times New Roman" w:hAnsi="Times New Roman" w:cs="Times New Roman"/>
                <w:sz w:val="20"/>
                <w:szCs w:val="20"/>
              </w:rPr>
            </w:pPr>
          </w:p>
        </w:tc>
        <w:tc>
          <w:tcPr>
            <w:tcW w:w="1282" w:type="dxa"/>
            <w:vAlign w:val="center"/>
          </w:tcPr>
          <w:p w14:paraId="41AD862B"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Euthanasia review governance</w:t>
            </w:r>
          </w:p>
        </w:tc>
        <w:tc>
          <w:tcPr>
            <w:tcW w:w="1108" w:type="dxa"/>
            <w:vAlign w:val="center"/>
          </w:tcPr>
          <w:p w14:paraId="39010214"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Buijsen</w:t>
            </w:r>
            <w:proofErr w:type="spellEnd"/>
            <w:r w:rsidRPr="001256EA">
              <w:rPr>
                <w:rFonts w:ascii="Times New Roman" w:hAnsi="Times New Roman" w:cs="Times New Roman"/>
                <w:sz w:val="20"/>
                <w:szCs w:val="20"/>
                <w:vertAlign w:val="superscript"/>
              </w:rPr>
              <w:footnoteReference w:id="457"/>
            </w:r>
          </w:p>
        </w:tc>
        <w:tc>
          <w:tcPr>
            <w:tcW w:w="3122" w:type="dxa"/>
            <w:vAlign w:val="center"/>
          </w:tcPr>
          <w:p w14:paraId="76B986A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To analyze the need for revising the review procedures of euthanasia cases under the Dutch Euthanasia Act, especially for special patient categories</w:t>
            </w:r>
          </w:p>
        </w:tc>
        <w:tc>
          <w:tcPr>
            <w:tcW w:w="1440" w:type="dxa"/>
            <w:vAlign w:val="center"/>
          </w:tcPr>
          <w:p w14:paraId="467019F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55A0523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Normative and policy analysis based on legal framework and review practices</w:t>
            </w:r>
          </w:p>
        </w:tc>
        <w:tc>
          <w:tcPr>
            <w:tcW w:w="4590" w:type="dxa"/>
            <w:vAlign w:val="center"/>
          </w:tcPr>
          <w:p w14:paraId="027F317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The review procedure has remained unchanged since 2002 despite expanding case types; regional review committees lack sufficient legitimacy to develop policies for complex cases involving psychiatric patients, early dementia, and mixed medical-existential suffering; a revision and possibly centralization of review processes is necessary to ensure societal legitimacy and policy adequacy</w:t>
            </w:r>
          </w:p>
        </w:tc>
      </w:tr>
      <w:tr w:rsidR="00474C3C" w:rsidRPr="001256EA" w14:paraId="200A4ACF" w14:textId="77777777" w:rsidTr="00E04B7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14:paraId="743B9688" w14:textId="77777777" w:rsidR="00474C3C" w:rsidRPr="001256EA" w:rsidRDefault="00474C3C" w:rsidP="00E04B7D">
            <w:pPr>
              <w:rPr>
                <w:rFonts w:ascii="Times New Roman" w:hAnsi="Times New Roman" w:cs="Times New Roman"/>
                <w:sz w:val="20"/>
                <w:szCs w:val="20"/>
              </w:rPr>
            </w:pPr>
            <w:r w:rsidRPr="001256EA">
              <w:rPr>
                <w:rFonts w:ascii="Times New Roman" w:hAnsi="Times New Roman" w:cs="Times New Roman"/>
                <w:sz w:val="20"/>
                <w:szCs w:val="20"/>
              </w:rPr>
              <w:t>Knowledge, training, and ethical framing</w:t>
            </w:r>
          </w:p>
        </w:tc>
        <w:tc>
          <w:tcPr>
            <w:tcW w:w="1282" w:type="dxa"/>
            <w:vMerge w:val="restart"/>
            <w:vAlign w:val="center"/>
          </w:tcPr>
          <w:p w14:paraId="2D0AD33F"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Legal and ethical education in euthanasia law</w:t>
            </w:r>
          </w:p>
        </w:tc>
        <w:tc>
          <w:tcPr>
            <w:tcW w:w="1108" w:type="dxa"/>
            <w:vAlign w:val="center"/>
          </w:tcPr>
          <w:p w14:paraId="1356EAD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Leppert et al.</w:t>
            </w:r>
            <w:r w:rsidRPr="001256EA">
              <w:rPr>
                <w:rFonts w:ascii="Times New Roman" w:hAnsi="Times New Roman" w:cs="Times New Roman"/>
                <w:sz w:val="20"/>
                <w:szCs w:val="20"/>
                <w:vertAlign w:val="superscript"/>
              </w:rPr>
              <w:footnoteReference w:id="458"/>
            </w:r>
          </w:p>
        </w:tc>
        <w:tc>
          <w:tcPr>
            <w:tcW w:w="3122" w:type="dxa"/>
            <w:vAlign w:val="center"/>
          </w:tcPr>
          <w:p w14:paraId="087BCA2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Comparison of attitudes toward euthanasia among medical students following palliative medicine courses at two universities: Poznan and Lodz </w:t>
            </w:r>
          </w:p>
        </w:tc>
        <w:tc>
          <w:tcPr>
            <w:tcW w:w="1440" w:type="dxa"/>
            <w:vAlign w:val="center"/>
          </w:tcPr>
          <w:p w14:paraId="10069BFA"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Poland </w:t>
            </w:r>
          </w:p>
        </w:tc>
        <w:tc>
          <w:tcPr>
            <w:tcW w:w="2970" w:type="dxa"/>
            <w:vAlign w:val="center"/>
          </w:tcPr>
          <w:p w14:paraId="689A7194"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Survey of 588 medical students</w:t>
            </w:r>
          </w:p>
        </w:tc>
        <w:tc>
          <w:tcPr>
            <w:tcW w:w="4590" w:type="dxa"/>
            <w:vAlign w:val="center"/>
          </w:tcPr>
          <w:p w14:paraId="0804179B"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Most students Catholic; minority willing to practice euthanasia; attitudes stable after courses; differences linked to gender, religion, culture</w:t>
            </w:r>
          </w:p>
        </w:tc>
      </w:tr>
      <w:tr w:rsidR="00474C3C" w:rsidRPr="001256EA" w14:paraId="5BC70A86" w14:textId="77777777" w:rsidTr="00E04B7D">
        <w:trPr>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45E4B533" w14:textId="77777777" w:rsidR="00474C3C" w:rsidRPr="001256EA" w:rsidRDefault="00474C3C" w:rsidP="00E04B7D">
            <w:pPr>
              <w:rPr>
                <w:rFonts w:ascii="Times New Roman" w:hAnsi="Times New Roman" w:cs="Times New Roman"/>
                <w:sz w:val="20"/>
                <w:szCs w:val="20"/>
              </w:rPr>
            </w:pPr>
          </w:p>
        </w:tc>
        <w:tc>
          <w:tcPr>
            <w:tcW w:w="1282" w:type="dxa"/>
            <w:vMerge/>
          </w:tcPr>
          <w:p w14:paraId="720842BC"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08" w:type="dxa"/>
            <w:vAlign w:val="center"/>
          </w:tcPr>
          <w:p w14:paraId="41F52500"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Terkamo</w:t>
            </w:r>
            <w:proofErr w:type="spellEnd"/>
            <w:r w:rsidRPr="001256EA">
              <w:rPr>
                <w:rFonts w:ascii="Times New Roman" w:hAnsi="Times New Roman" w:cs="Times New Roman"/>
                <w:sz w:val="20"/>
                <w:szCs w:val="20"/>
              </w:rPr>
              <w:t>-Moisio et al.</w:t>
            </w:r>
            <w:r w:rsidRPr="001256EA">
              <w:rPr>
                <w:rFonts w:ascii="Times New Roman" w:hAnsi="Times New Roman" w:cs="Times New Roman"/>
                <w:sz w:val="20"/>
                <w:szCs w:val="20"/>
                <w:vertAlign w:val="superscript"/>
              </w:rPr>
              <w:footnoteReference w:id="459"/>
            </w:r>
          </w:p>
        </w:tc>
        <w:tc>
          <w:tcPr>
            <w:tcW w:w="3122" w:type="dxa"/>
            <w:vAlign w:val="center"/>
          </w:tcPr>
          <w:p w14:paraId="749950D5"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Finnish nurses’ attitudes toward their role in euthanasia process</w:t>
            </w:r>
          </w:p>
        </w:tc>
        <w:tc>
          <w:tcPr>
            <w:tcW w:w="1440" w:type="dxa"/>
            <w:vAlign w:val="center"/>
          </w:tcPr>
          <w:p w14:paraId="38BEE16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Finland</w:t>
            </w:r>
          </w:p>
        </w:tc>
        <w:tc>
          <w:tcPr>
            <w:tcW w:w="2970" w:type="dxa"/>
            <w:vAlign w:val="center"/>
          </w:tcPr>
          <w:p w14:paraId="0DDB221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Cross-sectional web-based survey of 1003 nurses</w:t>
            </w:r>
          </w:p>
        </w:tc>
        <w:tc>
          <w:tcPr>
            <w:tcW w:w="4590" w:type="dxa"/>
            <w:vAlign w:val="center"/>
          </w:tcPr>
          <w:p w14:paraId="2AB779C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Majority want involvement in decision-making; many willing to participate if legal; minority support professional obligation; attitudes influenced by age, religiosity, education</w:t>
            </w:r>
          </w:p>
        </w:tc>
      </w:tr>
      <w:tr w:rsidR="00474C3C" w:rsidRPr="001256EA" w14:paraId="385FC814" w14:textId="77777777" w:rsidTr="00E04B7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7DEBAAF7" w14:textId="77777777" w:rsidR="00474C3C" w:rsidRPr="001256EA" w:rsidRDefault="00474C3C" w:rsidP="00E04B7D">
            <w:pPr>
              <w:rPr>
                <w:rFonts w:ascii="Times New Roman" w:hAnsi="Times New Roman" w:cs="Times New Roman"/>
                <w:sz w:val="20"/>
                <w:szCs w:val="20"/>
              </w:rPr>
            </w:pPr>
          </w:p>
        </w:tc>
        <w:tc>
          <w:tcPr>
            <w:tcW w:w="1282" w:type="dxa"/>
            <w:vMerge/>
          </w:tcPr>
          <w:p w14:paraId="550AC256"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08" w:type="dxa"/>
            <w:vAlign w:val="center"/>
          </w:tcPr>
          <w:p w14:paraId="18CE39C8"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Woods &amp; Rook</w:t>
            </w:r>
            <w:r w:rsidRPr="001256EA">
              <w:rPr>
                <w:rFonts w:ascii="Times New Roman" w:hAnsi="Times New Roman" w:cs="Times New Roman"/>
                <w:sz w:val="20"/>
                <w:szCs w:val="20"/>
                <w:vertAlign w:val="superscript"/>
              </w:rPr>
              <w:footnoteReference w:id="460"/>
            </w:r>
          </w:p>
        </w:tc>
        <w:tc>
          <w:tcPr>
            <w:tcW w:w="3122" w:type="dxa"/>
            <w:vAlign w:val="center"/>
          </w:tcPr>
          <w:p w14:paraId="3A8B6DA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Explore hospice nurses’ views on euthanasia and proposed legislation</w:t>
            </w:r>
          </w:p>
        </w:tc>
        <w:tc>
          <w:tcPr>
            <w:tcW w:w="1440" w:type="dxa"/>
            <w:vAlign w:val="center"/>
          </w:tcPr>
          <w:p w14:paraId="11FA316E"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New Zealand</w:t>
            </w:r>
          </w:p>
        </w:tc>
        <w:tc>
          <w:tcPr>
            <w:tcW w:w="2970" w:type="dxa"/>
            <w:vAlign w:val="center"/>
          </w:tcPr>
          <w:p w14:paraId="4646FE4F"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Qualitative interviews with 15 hospice nurses; thematic analysis</w:t>
            </w:r>
          </w:p>
        </w:tc>
        <w:tc>
          <w:tcPr>
            <w:tcW w:w="4590" w:type="dxa"/>
            <w:vAlign w:val="center"/>
          </w:tcPr>
          <w:p w14:paraId="2C97032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Nurses’ personal and professional values converge; euthanasia seen as challenging; nurses largely hold negative views about legalized euthanasia; concerns about impact on profession</w:t>
            </w:r>
          </w:p>
        </w:tc>
      </w:tr>
      <w:tr w:rsidR="00474C3C" w:rsidRPr="001256EA" w14:paraId="5E83C44C" w14:textId="77777777" w:rsidTr="00E04B7D">
        <w:trPr>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4D8B7EDB" w14:textId="77777777" w:rsidR="00474C3C" w:rsidRPr="001256EA" w:rsidRDefault="00474C3C" w:rsidP="00E04B7D">
            <w:pPr>
              <w:rPr>
                <w:rFonts w:ascii="Times New Roman" w:hAnsi="Times New Roman" w:cs="Times New Roman"/>
                <w:sz w:val="20"/>
                <w:szCs w:val="20"/>
              </w:rPr>
            </w:pPr>
          </w:p>
        </w:tc>
        <w:tc>
          <w:tcPr>
            <w:tcW w:w="1282" w:type="dxa"/>
            <w:vMerge/>
          </w:tcPr>
          <w:p w14:paraId="7B8E7E5B"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08" w:type="dxa"/>
            <w:vAlign w:val="center"/>
          </w:tcPr>
          <w:p w14:paraId="2492715B"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Demedts</w:t>
            </w:r>
            <w:proofErr w:type="spellEnd"/>
            <w:r w:rsidRPr="001256EA">
              <w:rPr>
                <w:rFonts w:ascii="Times New Roman" w:hAnsi="Times New Roman" w:cs="Times New Roman"/>
                <w:sz w:val="20"/>
                <w:szCs w:val="20"/>
              </w:rPr>
              <w:t xml:space="preserve"> et al.</w:t>
            </w:r>
            <w:r w:rsidRPr="001256EA">
              <w:rPr>
                <w:rFonts w:ascii="Times New Roman" w:hAnsi="Times New Roman" w:cs="Times New Roman"/>
                <w:sz w:val="20"/>
                <w:szCs w:val="20"/>
                <w:vertAlign w:val="superscript"/>
              </w:rPr>
              <w:footnoteReference w:id="461"/>
            </w:r>
          </w:p>
        </w:tc>
        <w:tc>
          <w:tcPr>
            <w:tcW w:w="3122" w:type="dxa"/>
            <w:vAlign w:val="center"/>
          </w:tcPr>
          <w:p w14:paraId="2113731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Evaluate nursing students’ perceptions of a euthanasia simulation module</w:t>
            </w:r>
          </w:p>
        </w:tc>
        <w:tc>
          <w:tcPr>
            <w:tcW w:w="1440" w:type="dxa"/>
            <w:vAlign w:val="center"/>
          </w:tcPr>
          <w:p w14:paraId="0234358C"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Belgium</w:t>
            </w:r>
          </w:p>
        </w:tc>
        <w:tc>
          <w:tcPr>
            <w:tcW w:w="2970" w:type="dxa"/>
            <w:vAlign w:val="center"/>
          </w:tcPr>
          <w:p w14:paraId="27F6E1B3"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1256EA">
              <w:rPr>
                <w:rFonts w:ascii="Times New Roman" w:hAnsi="Times New Roman" w:cs="Times New Roman"/>
                <w:sz w:val="20"/>
                <w:szCs w:val="20"/>
              </w:rPr>
              <w:t>Mixed-methods</w:t>
            </w:r>
            <w:proofErr w:type="gramEnd"/>
            <w:r w:rsidRPr="001256EA">
              <w:rPr>
                <w:rFonts w:ascii="Times New Roman" w:hAnsi="Times New Roman" w:cs="Times New Roman"/>
                <w:sz w:val="20"/>
                <w:szCs w:val="20"/>
              </w:rPr>
              <w:t>: online module, video, simulation, group interviews with 17 students; thematic content analysis</w:t>
            </w:r>
          </w:p>
        </w:tc>
        <w:tc>
          <w:tcPr>
            <w:tcW w:w="4590" w:type="dxa"/>
            <w:vAlign w:val="center"/>
          </w:tcPr>
          <w:p w14:paraId="453D5F74"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Students found module valuable; mixed views on videos; simulations helped clinical reasoning; taboo topic addressed respectfully</w:t>
            </w:r>
          </w:p>
        </w:tc>
      </w:tr>
      <w:tr w:rsidR="00474C3C" w:rsidRPr="001256EA" w14:paraId="4A698115" w14:textId="77777777" w:rsidTr="00E04B7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000E8BAD" w14:textId="77777777" w:rsidR="00474C3C" w:rsidRPr="001256EA" w:rsidRDefault="00474C3C" w:rsidP="00E04B7D">
            <w:pPr>
              <w:rPr>
                <w:rFonts w:ascii="Times New Roman" w:hAnsi="Times New Roman" w:cs="Times New Roman"/>
                <w:sz w:val="20"/>
                <w:szCs w:val="20"/>
              </w:rPr>
            </w:pPr>
          </w:p>
        </w:tc>
        <w:tc>
          <w:tcPr>
            <w:tcW w:w="1282" w:type="dxa"/>
            <w:vMerge/>
          </w:tcPr>
          <w:p w14:paraId="49112D2F"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08" w:type="dxa"/>
            <w:vAlign w:val="center"/>
          </w:tcPr>
          <w:p w14:paraId="32FF4CE7"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Hesselink et al.</w:t>
            </w:r>
            <w:r w:rsidRPr="001256EA">
              <w:rPr>
                <w:rFonts w:ascii="Times New Roman" w:hAnsi="Times New Roman" w:cs="Times New Roman"/>
                <w:sz w:val="20"/>
                <w:szCs w:val="20"/>
                <w:vertAlign w:val="superscript"/>
              </w:rPr>
              <w:footnoteReference w:id="462"/>
            </w:r>
          </w:p>
        </w:tc>
        <w:tc>
          <w:tcPr>
            <w:tcW w:w="3122" w:type="dxa"/>
            <w:vAlign w:val="center"/>
          </w:tcPr>
          <w:p w14:paraId="0735FF7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Analyze practice guidelines on euthanasia and assisted suicide before and after 2002 law</w:t>
            </w:r>
          </w:p>
        </w:tc>
        <w:tc>
          <w:tcPr>
            <w:tcW w:w="1440" w:type="dxa"/>
            <w:vAlign w:val="center"/>
          </w:tcPr>
          <w:p w14:paraId="3D95CE32"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371431D3"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Content analysis of guidelines</w:t>
            </w:r>
          </w:p>
        </w:tc>
        <w:tc>
          <w:tcPr>
            <w:tcW w:w="4590" w:type="dxa"/>
            <w:vAlign w:val="center"/>
          </w:tcPr>
          <w:p w14:paraId="1CC84771"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Guidelines often assign decision responsibility to attending physician; nursing home guidelines stricter; post-2002 guidelines less categorical in-patient exclusions; clarity needed for support</w:t>
            </w:r>
          </w:p>
        </w:tc>
      </w:tr>
      <w:tr w:rsidR="00474C3C" w:rsidRPr="001256EA" w14:paraId="7267D78F" w14:textId="77777777" w:rsidTr="00E04B7D">
        <w:trPr>
          <w:trHeight w:val="115"/>
        </w:trPr>
        <w:tc>
          <w:tcPr>
            <w:cnfStyle w:val="001000000000" w:firstRow="0" w:lastRow="0" w:firstColumn="1" w:lastColumn="0" w:oddVBand="0" w:evenVBand="0" w:oddHBand="0" w:evenHBand="0" w:firstRowFirstColumn="0" w:firstRowLastColumn="0" w:lastRowFirstColumn="0" w:lastRowLastColumn="0"/>
            <w:tcW w:w="1508" w:type="dxa"/>
            <w:vMerge/>
          </w:tcPr>
          <w:p w14:paraId="4C89E3F6" w14:textId="77777777" w:rsidR="00474C3C" w:rsidRPr="001256EA" w:rsidRDefault="00474C3C" w:rsidP="00E04B7D">
            <w:pPr>
              <w:rPr>
                <w:rFonts w:ascii="Times New Roman" w:hAnsi="Times New Roman" w:cs="Times New Roman"/>
                <w:sz w:val="20"/>
                <w:szCs w:val="20"/>
              </w:rPr>
            </w:pPr>
          </w:p>
        </w:tc>
        <w:tc>
          <w:tcPr>
            <w:tcW w:w="1282" w:type="dxa"/>
            <w:vMerge/>
          </w:tcPr>
          <w:p w14:paraId="60FB2C55"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08" w:type="dxa"/>
            <w:vAlign w:val="center"/>
          </w:tcPr>
          <w:p w14:paraId="1EE09C29"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56EA">
              <w:rPr>
                <w:rFonts w:ascii="Times New Roman" w:hAnsi="Times New Roman" w:cs="Times New Roman"/>
                <w:sz w:val="20"/>
                <w:szCs w:val="20"/>
              </w:rPr>
              <w:t>Arreciado</w:t>
            </w:r>
            <w:proofErr w:type="spellEnd"/>
            <w:r w:rsidRPr="001256EA">
              <w:rPr>
                <w:rFonts w:ascii="Times New Roman" w:hAnsi="Times New Roman" w:cs="Times New Roman"/>
                <w:sz w:val="20"/>
                <w:szCs w:val="20"/>
              </w:rPr>
              <w:t xml:space="preserve"> </w:t>
            </w:r>
            <w:proofErr w:type="spellStart"/>
            <w:r w:rsidRPr="001256EA">
              <w:rPr>
                <w:rFonts w:ascii="Times New Roman" w:hAnsi="Times New Roman" w:cs="Times New Roman"/>
                <w:sz w:val="20"/>
                <w:szCs w:val="20"/>
              </w:rPr>
              <w:t>Marañón</w:t>
            </w:r>
            <w:proofErr w:type="spellEnd"/>
            <w:r w:rsidRPr="001256EA">
              <w:rPr>
                <w:rFonts w:ascii="Times New Roman" w:hAnsi="Times New Roman" w:cs="Times New Roman"/>
                <w:sz w:val="20"/>
                <w:szCs w:val="20"/>
              </w:rPr>
              <w:t xml:space="preserve"> et al. </w:t>
            </w:r>
            <w:r w:rsidRPr="001256EA">
              <w:rPr>
                <w:rFonts w:ascii="Times New Roman" w:hAnsi="Times New Roman" w:cs="Times New Roman"/>
                <w:sz w:val="20"/>
                <w:szCs w:val="20"/>
                <w:vertAlign w:val="superscript"/>
              </w:rPr>
              <w:footnoteReference w:id="463"/>
            </w:r>
          </w:p>
        </w:tc>
        <w:tc>
          <w:tcPr>
            <w:tcW w:w="3122" w:type="dxa"/>
            <w:vAlign w:val="center"/>
          </w:tcPr>
          <w:p w14:paraId="29D39E3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Assess nursing students’ attitudes toward euthanasia after Spain’s 2021 law</w:t>
            </w:r>
          </w:p>
        </w:tc>
        <w:tc>
          <w:tcPr>
            <w:tcW w:w="1440" w:type="dxa"/>
            <w:vAlign w:val="center"/>
          </w:tcPr>
          <w:p w14:paraId="3669B591"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Spain</w:t>
            </w:r>
          </w:p>
        </w:tc>
        <w:tc>
          <w:tcPr>
            <w:tcW w:w="2970" w:type="dxa"/>
            <w:vAlign w:val="center"/>
          </w:tcPr>
          <w:p w14:paraId="106752BF"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Cross-sectional online questionnaire of 244 nursing students</w:t>
            </w:r>
          </w:p>
        </w:tc>
        <w:tc>
          <w:tcPr>
            <w:tcW w:w="4590" w:type="dxa"/>
            <w:vAlign w:val="center"/>
          </w:tcPr>
          <w:p w14:paraId="66DE1F68"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Attitudes generally positive; religious students less supportive; senior students more positive; </w:t>
            </w:r>
            <w:proofErr w:type="gramStart"/>
            <w:r w:rsidRPr="001256EA">
              <w:rPr>
                <w:rFonts w:ascii="Times New Roman" w:hAnsi="Times New Roman" w:cs="Times New Roman"/>
                <w:sz w:val="20"/>
                <w:szCs w:val="20"/>
              </w:rPr>
              <w:t>ethics</w:t>
            </w:r>
            <w:proofErr w:type="gramEnd"/>
            <w:r w:rsidRPr="001256EA">
              <w:rPr>
                <w:rFonts w:ascii="Times New Roman" w:hAnsi="Times New Roman" w:cs="Times New Roman"/>
                <w:sz w:val="20"/>
                <w:szCs w:val="20"/>
              </w:rPr>
              <w:t xml:space="preserve"> education and clinical practice improve attitudes</w:t>
            </w:r>
          </w:p>
        </w:tc>
      </w:tr>
      <w:tr w:rsidR="00474C3C" w:rsidRPr="001256EA" w14:paraId="0A090F6D" w14:textId="77777777" w:rsidTr="00E04B7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508" w:type="dxa"/>
            <w:vMerge/>
          </w:tcPr>
          <w:p w14:paraId="14C56FAE" w14:textId="77777777" w:rsidR="00474C3C" w:rsidRPr="001256EA" w:rsidRDefault="00474C3C" w:rsidP="00E04B7D">
            <w:pPr>
              <w:rPr>
                <w:rFonts w:ascii="Times New Roman" w:hAnsi="Times New Roman" w:cs="Times New Roman"/>
                <w:sz w:val="20"/>
                <w:szCs w:val="20"/>
              </w:rPr>
            </w:pPr>
          </w:p>
        </w:tc>
        <w:tc>
          <w:tcPr>
            <w:tcW w:w="1282" w:type="dxa"/>
            <w:vMerge w:val="restart"/>
            <w:vAlign w:val="center"/>
          </w:tcPr>
          <w:p w14:paraId="755A1AE2"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256EA">
              <w:rPr>
                <w:rFonts w:ascii="Times New Roman" w:hAnsi="Times New Roman" w:cs="Times New Roman"/>
                <w:b/>
                <w:bCs/>
                <w:i/>
                <w:iCs/>
                <w:sz w:val="20"/>
                <w:szCs w:val="20"/>
              </w:rPr>
              <w:t>Due care and legal discretion in euthanasia</w:t>
            </w:r>
          </w:p>
        </w:tc>
        <w:tc>
          <w:tcPr>
            <w:tcW w:w="1108" w:type="dxa"/>
            <w:vAlign w:val="center"/>
          </w:tcPr>
          <w:p w14:paraId="1CC6448B"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Bolt et al.</w:t>
            </w:r>
            <w:r w:rsidRPr="001256EA">
              <w:rPr>
                <w:rFonts w:ascii="Times New Roman" w:hAnsi="Times New Roman" w:cs="Times New Roman"/>
                <w:sz w:val="20"/>
                <w:szCs w:val="20"/>
                <w:vertAlign w:val="superscript"/>
              </w:rPr>
              <w:footnoteReference w:id="464"/>
            </w:r>
          </w:p>
        </w:tc>
        <w:tc>
          <w:tcPr>
            <w:tcW w:w="3122" w:type="dxa"/>
            <w:vAlign w:val="center"/>
          </w:tcPr>
          <w:p w14:paraId="7D40467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Explore Dutch </w:t>
            </w:r>
            <w:proofErr w:type="spellStart"/>
            <w:r w:rsidRPr="001256EA">
              <w:rPr>
                <w:rFonts w:ascii="Times New Roman" w:hAnsi="Times New Roman" w:cs="Times New Roman"/>
                <w:sz w:val="20"/>
                <w:szCs w:val="20"/>
              </w:rPr>
              <w:t>paediatricians’</w:t>
            </w:r>
            <w:proofErr w:type="spellEnd"/>
            <w:r w:rsidRPr="001256EA">
              <w:rPr>
                <w:rFonts w:ascii="Times New Roman" w:hAnsi="Times New Roman" w:cs="Times New Roman"/>
                <w:sz w:val="20"/>
                <w:szCs w:val="20"/>
              </w:rPr>
              <w:t xml:space="preserve"> attitudes on physician-assisted dying (PAD) in severely ill children, including patient/parent roles and age considerations</w:t>
            </w:r>
          </w:p>
        </w:tc>
        <w:tc>
          <w:tcPr>
            <w:tcW w:w="1440" w:type="dxa"/>
            <w:vAlign w:val="center"/>
          </w:tcPr>
          <w:p w14:paraId="25DBFF06"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03D36139"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Questionnaire survey (n=276 </w:t>
            </w:r>
            <w:proofErr w:type="spellStart"/>
            <w:r w:rsidRPr="001256EA">
              <w:rPr>
                <w:rFonts w:ascii="Times New Roman" w:hAnsi="Times New Roman" w:cs="Times New Roman"/>
                <w:sz w:val="20"/>
                <w:szCs w:val="20"/>
              </w:rPr>
              <w:t>paediatricians</w:t>
            </w:r>
            <w:proofErr w:type="spellEnd"/>
            <w:r w:rsidRPr="001256EA">
              <w:rPr>
                <w:rFonts w:ascii="Times New Roman" w:hAnsi="Times New Roman" w:cs="Times New Roman"/>
                <w:sz w:val="20"/>
                <w:szCs w:val="20"/>
              </w:rPr>
              <w:t>) + semi-structured interviews (n=8)</w:t>
            </w:r>
          </w:p>
        </w:tc>
        <w:tc>
          <w:tcPr>
            <w:tcW w:w="4590" w:type="dxa"/>
            <w:vAlign w:val="center"/>
          </w:tcPr>
          <w:p w14:paraId="5F458B97"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Most </w:t>
            </w:r>
            <w:proofErr w:type="spellStart"/>
            <w:r w:rsidRPr="001256EA">
              <w:rPr>
                <w:rFonts w:ascii="Times New Roman" w:hAnsi="Times New Roman" w:cs="Times New Roman"/>
                <w:sz w:val="20"/>
                <w:szCs w:val="20"/>
              </w:rPr>
              <w:t>paediatricians</w:t>
            </w:r>
            <w:proofErr w:type="spellEnd"/>
            <w:r w:rsidRPr="001256EA">
              <w:rPr>
                <w:rFonts w:ascii="Times New Roman" w:hAnsi="Times New Roman" w:cs="Times New Roman"/>
                <w:sz w:val="20"/>
                <w:szCs w:val="20"/>
              </w:rPr>
              <w:t xml:space="preserve"> found PAD conceivable (81%), regardless of patient age or requester; driven by duty to relieve suffering; some saw parental consent and reduced life expectancy as important</w:t>
            </w:r>
          </w:p>
        </w:tc>
      </w:tr>
      <w:tr w:rsidR="00474C3C" w:rsidRPr="001256EA" w14:paraId="49C89F04" w14:textId="77777777" w:rsidTr="00E04B7D">
        <w:trPr>
          <w:trHeight w:val="153"/>
        </w:trPr>
        <w:tc>
          <w:tcPr>
            <w:cnfStyle w:val="001000000000" w:firstRow="0" w:lastRow="0" w:firstColumn="1" w:lastColumn="0" w:oddVBand="0" w:evenVBand="0" w:oddHBand="0" w:evenHBand="0" w:firstRowFirstColumn="0" w:firstRowLastColumn="0" w:lastRowFirstColumn="0" w:lastRowLastColumn="0"/>
            <w:tcW w:w="1508" w:type="dxa"/>
            <w:vMerge/>
          </w:tcPr>
          <w:p w14:paraId="18A18DD6" w14:textId="77777777" w:rsidR="00474C3C" w:rsidRPr="001256EA" w:rsidRDefault="00474C3C" w:rsidP="00E04B7D">
            <w:pPr>
              <w:rPr>
                <w:rFonts w:ascii="Times New Roman" w:hAnsi="Times New Roman" w:cs="Times New Roman"/>
                <w:sz w:val="20"/>
                <w:szCs w:val="20"/>
              </w:rPr>
            </w:pPr>
          </w:p>
        </w:tc>
        <w:tc>
          <w:tcPr>
            <w:tcW w:w="1282" w:type="dxa"/>
            <w:vMerge/>
          </w:tcPr>
          <w:p w14:paraId="08CAF7ED"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6D9606E0" w14:textId="77777777" w:rsidR="00474C3C" w:rsidRPr="001256EA" w:rsidRDefault="00474C3C" w:rsidP="00E04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Coers et al.</w:t>
            </w:r>
            <w:r w:rsidRPr="001256EA">
              <w:rPr>
                <w:rFonts w:ascii="Times New Roman" w:hAnsi="Times New Roman" w:cs="Times New Roman"/>
                <w:sz w:val="20"/>
                <w:szCs w:val="20"/>
                <w:vertAlign w:val="superscript"/>
              </w:rPr>
              <w:footnoteReference w:id="465"/>
            </w:r>
          </w:p>
        </w:tc>
        <w:tc>
          <w:tcPr>
            <w:tcW w:w="3122" w:type="dxa"/>
            <w:vAlign w:val="center"/>
          </w:tcPr>
          <w:p w14:paraId="2F92C007"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Investigate legal experts’ perspectives on due care criteria fulfillment and challenges in euthanasia for patients with advanced dementia based on </w:t>
            </w:r>
            <w:proofErr w:type="gramStart"/>
            <w:r w:rsidRPr="001256EA">
              <w:rPr>
                <w:rFonts w:ascii="Times New Roman" w:hAnsi="Times New Roman" w:cs="Times New Roman"/>
                <w:sz w:val="20"/>
                <w:szCs w:val="20"/>
              </w:rPr>
              <w:t>advance</w:t>
            </w:r>
            <w:proofErr w:type="gramEnd"/>
            <w:r w:rsidRPr="001256EA">
              <w:rPr>
                <w:rFonts w:ascii="Times New Roman" w:hAnsi="Times New Roman" w:cs="Times New Roman"/>
                <w:sz w:val="20"/>
                <w:szCs w:val="20"/>
              </w:rPr>
              <w:t xml:space="preserve"> euthanasia directives (AEDs)</w:t>
            </w:r>
          </w:p>
        </w:tc>
        <w:tc>
          <w:tcPr>
            <w:tcW w:w="1440" w:type="dxa"/>
            <w:vAlign w:val="center"/>
          </w:tcPr>
          <w:p w14:paraId="2BDDA1BD"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7092974A"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Qualitative study with two focus groups; thematic content analysis</w:t>
            </w:r>
          </w:p>
        </w:tc>
        <w:tc>
          <w:tcPr>
            <w:tcW w:w="4590" w:type="dxa"/>
            <w:vAlign w:val="center"/>
          </w:tcPr>
          <w:p w14:paraId="42C2E499" w14:textId="77777777" w:rsidR="00474C3C" w:rsidRPr="001256EA" w:rsidRDefault="00474C3C" w:rsidP="00E04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Physicians face difficulty interpreting AEDs; final euthanasia decisions rest with physicians; differing views on prioritizing current wishes vs AEDs; due care criteria are open norms requiring case-by-case interpretation</w:t>
            </w:r>
          </w:p>
        </w:tc>
      </w:tr>
      <w:tr w:rsidR="00474C3C" w:rsidRPr="001256EA" w14:paraId="464EB9A4" w14:textId="77777777" w:rsidTr="00E04B7D">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508" w:type="dxa"/>
            <w:vMerge/>
          </w:tcPr>
          <w:p w14:paraId="308949B3" w14:textId="77777777" w:rsidR="00474C3C" w:rsidRPr="001256EA" w:rsidRDefault="00474C3C" w:rsidP="00E04B7D">
            <w:pPr>
              <w:rPr>
                <w:rFonts w:ascii="Times New Roman" w:hAnsi="Times New Roman" w:cs="Times New Roman"/>
                <w:sz w:val="20"/>
                <w:szCs w:val="20"/>
              </w:rPr>
            </w:pPr>
          </w:p>
        </w:tc>
        <w:tc>
          <w:tcPr>
            <w:tcW w:w="1282" w:type="dxa"/>
            <w:vMerge/>
          </w:tcPr>
          <w:p w14:paraId="1DDD2B6D"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
        </w:tc>
        <w:tc>
          <w:tcPr>
            <w:tcW w:w="1108" w:type="dxa"/>
            <w:vAlign w:val="center"/>
          </w:tcPr>
          <w:p w14:paraId="48D7AE71" w14:textId="77777777" w:rsidR="00474C3C" w:rsidRPr="001256EA" w:rsidRDefault="00474C3C" w:rsidP="00E04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Bergman et al. </w:t>
            </w:r>
            <w:r w:rsidRPr="001256EA">
              <w:rPr>
                <w:rFonts w:ascii="Times New Roman" w:hAnsi="Times New Roman" w:cs="Times New Roman"/>
                <w:sz w:val="20"/>
                <w:szCs w:val="20"/>
                <w:vertAlign w:val="superscript"/>
              </w:rPr>
              <w:footnoteReference w:id="466"/>
            </w:r>
          </w:p>
        </w:tc>
        <w:tc>
          <w:tcPr>
            <w:tcW w:w="3122" w:type="dxa"/>
            <w:vAlign w:val="center"/>
          </w:tcPr>
          <w:p w14:paraId="154C0796"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Assess frequency and nature of difficult consultations experienced by SCEN physicians during euthanasia and assisted suicide (EAS) assessments, focusing on complex cases</w:t>
            </w:r>
          </w:p>
        </w:tc>
        <w:tc>
          <w:tcPr>
            <w:tcW w:w="1440" w:type="dxa"/>
            <w:vAlign w:val="center"/>
          </w:tcPr>
          <w:p w14:paraId="20CBB380"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2970" w:type="dxa"/>
            <w:vAlign w:val="center"/>
          </w:tcPr>
          <w:p w14:paraId="41B1FD35"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Annual cross-sectional surveys (2015-2017) with logistic regression analysis; analysis of open-ended responses</w:t>
            </w:r>
          </w:p>
        </w:tc>
        <w:tc>
          <w:tcPr>
            <w:tcW w:w="4590" w:type="dxa"/>
            <w:vAlign w:val="center"/>
          </w:tcPr>
          <w:p w14:paraId="644BAD93" w14:textId="77777777" w:rsidR="00474C3C" w:rsidRPr="001256EA" w:rsidRDefault="00474C3C" w:rsidP="00E04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21.6% of consultations perceived as difficult; complexities mainly in patient contact and due care assessment; certain diagnoses and hospital setting associated with more difficulty; older patient age and physical suffering linked to fewer difficulties; need for training and </w:t>
            </w:r>
            <w:proofErr w:type="spellStart"/>
            <w:r w:rsidRPr="001256EA">
              <w:rPr>
                <w:rFonts w:ascii="Times New Roman" w:hAnsi="Times New Roman" w:cs="Times New Roman"/>
                <w:sz w:val="20"/>
                <w:szCs w:val="20"/>
              </w:rPr>
              <w:t>intervision</w:t>
            </w:r>
            <w:proofErr w:type="spellEnd"/>
            <w:r w:rsidRPr="001256EA">
              <w:rPr>
                <w:rFonts w:ascii="Times New Roman" w:hAnsi="Times New Roman" w:cs="Times New Roman"/>
                <w:sz w:val="20"/>
                <w:szCs w:val="20"/>
              </w:rPr>
              <w:t xml:space="preserve"> support</w:t>
            </w:r>
          </w:p>
        </w:tc>
      </w:tr>
    </w:tbl>
    <w:p w14:paraId="30E06BD3" w14:textId="6E47F7E2" w:rsidR="007F7A46" w:rsidRPr="001256EA" w:rsidRDefault="007F7A46" w:rsidP="007F7A46">
      <w:pPr>
        <w:spacing w:line="360" w:lineRule="auto"/>
        <w:rPr>
          <w:rFonts w:ascii="Times New Roman" w:hAnsi="Times New Roman" w:cs="Times New Roman"/>
          <w:b/>
          <w:bCs/>
          <w:sz w:val="24"/>
          <w:szCs w:val="24"/>
        </w:rPr>
      </w:pPr>
      <w:bookmarkStart w:id="85" w:name="_Hlk204780455"/>
      <w:r w:rsidRPr="001256EA">
        <w:rPr>
          <w:rFonts w:ascii="Times New Roman" w:hAnsi="Times New Roman" w:cs="Times New Roman"/>
          <w:b/>
          <w:bCs/>
          <w:sz w:val="24"/>
          <w:szCs w:val="24"/>
        </w:rPr>
        <w:lastRenderedPageBreak/>
        <w:t xml:space="preserve">Appendix 3. </w:t>
      </w:r>
      <w:r w:rsidRPr="001256EA">
        <w:rPr>
          <w:rFonts w:ascii="Times New Roman" w:hAnsi="Times New Roman" w:cs="Times New Roman"/>
          <w:sz w:val="24"/>
          <w:szCs w:val="24"/>
        </w:rPr>
        <w:t>Key directions in Euthanasia law scholarship (created by the author)</w:t>
      </w:r>
    </w:p>
    <w:tbl>
      <w:tblPr>
        <w:tblStyle w:val="PlainTable2"/>
        <w:tblW w:w="16020" w:type="dxa"/>
        <w:tblInd w:w="-990" w:type="dxa"/>
        <w:tblLook w:val="04A0" w:firstRow="1" w:lastRow="0" w:firstColumn="1" w:lastColumn="0" w:noHBand="0" w:noVBand="1"/>
      </w:tblPr>
      <w:tblGrid>
        <w:gridCol w:w="1530"/>
        <w:gridCol w:w="2790"/>
        <w:gridCol w:w="3330"/>
        <w:gridCol w:w="3060"/>
        <w:gridCol w:w="5310"/>
      </w:tblGrid>
      <w:tr w:rsidR="007F7A46" w:rsidRPr="001256EA" w14:paraId="457DACE2" w14:textId="77777777" w:rsidTr="00EA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hideMark/>
          </w:tcPr>
          <w:p w14:paraId="2C9548CF" w14:textId="77777777" w:rsidR="007F7A46" w:rsidRPr="001256EA" w:rsidRDefault="007F7A46" w:rsidP="00EA68D9">
            <w:pPr>
              <w:jc w:val="center"/>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Research Axis</w:t>
            </w:r>
          </w:p>
        </w:tc>
        <w:tc>
          <w:tcPr>
            <w:tcW w:w="2790" w:type="dxa"/>
            <w:vAlign w:val="center"/>
            <w:hideMark/>
          </w:tcPr>
          <w:p w14:paraId="7616E7CA" w14:textId="77777777" w:rsidR="007F7A46" w:rsidRPr="001256EA" w:rsidRDefault="007F7A46" w:rsidP="00EA68D9">
            <w:pPr>
              <w:ind w:left="-156" w:firstLine="1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Main gaps</w:t>
            </w:r>
          </w:p>
        </w:tc>
        <w:tc>
          <w:tcPr>
            <w:tcW w:w="3330" w:type="dxa"/>
            <w:vAlign w:val="center"/>
            <w:hideMark/>
          </w:tcPr>
          <w:p w14:paraId="67C7323B" w14:textId="77777777" w:rsidR="007F7A46" w:rsidRPr="001256EA" w:rsidRDefault="007F7A46" w:rsidP="00EA68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Controversies</w:t>
            </w:r>
          </w:p>
        </w:tc>
        <w:tc>
          <w:tcPr>
            <w:tcW w:w="3060" w:type="dxa"/>
            <w:vAlign w:val="center"/>
          </w:tcPr>
          <w:p w14:paraId="5FDEF964" w14:textId="77777777" w:rsidR="007F7A46" w:rsidRPr="001256EA" w:rsidRDefault="007F7A46" w:rsidP="00EA68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Cases studied</w:t>
            </w:r>
          </w:p>
        </w:tc>
        <w:tc>
          <w:tcPr>
            <w:tcW w:w="5310" w:type="dxa"/>
            <w:vAlign w:val="center"/>
            <w:hideMark/>
          </w:tcPr>
          <w:p w14:paraId="08126A1E" w14:textId="77777777" w:rsidR="007F7A46" w:rsidRPr="001256EA" w:rsidRDefault="007F7A46" w:rsidP="00EA68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eastAsia="Times New Roman" w:hAnsi="Times New Roman" w:cs="Times New Roman"/>
                <w:sz w:val="20"/>
                <w:szCs w:val="20"/>
                <w:lang w:eastAsia="fr-FR"/>
              </w:rPr>
              <w:t>Future priorities</w:t>
            </w:r>
          </w:p>
        </w:tc>
      </w:tr>
      <w:tr w:rsidR="007F7A46" w:rsidRPr="001256EA" w14:paraId="58A68453"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015E257C" w14:textId="77777777" w:rsidR="007F7A46" w:rsidRPr="001256EA" w:rsidRDefault="007F7A46" w:rsidP="00EA68D9">
            <w:pPr>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Legal foundations and norm conflicts</w:t>
            </w:r>
          </w:p>
        </w:tc>
        <w:tc>
          <w:tcPr>
            <w:tcW w:w="2790" w:type="dxa"/>
            <w:vAlign w:val="center"/>
          </w:tcPr>
          <w:p w14:paraId="13D0AF2F"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Misalignment between legal, ethical, and religious norms</w:t>
            </w:r>
          </w:p>
        </w:tc>
        <w:tc>
          <w:tcPr>
            <w:tcW w:w="3330" w:type="dxa"/>
            <w:vAlign w:val="center"/>
          </w:tcPr>
          <w:p w14:paraId="47DD6D33"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Secular vs. religious conceptions of life and death; conflict between domestic and international norms</w:t>
            </w:r>
          </w:p>
        </w:tc>
        <w:tc>
          <w:tcPr>
            <w:tcW w:w="3060" w:type="dxa"/>
            <w:vAlign w:val="center"/>
          </w:tcPr>
          <w:p w14:paraId="14B31BAD"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Netherlands, Spain, Indonesia, Switzerland, Germany, Australia, USA, Canada, Belgium, and Luxembourg.</w:t>
            </w:r>
          </w:p>
        </w:tc>
        <w:tc>
          <w:tcPr>
            <w:tcW w:w="5310" w:type="dxa"/>
            <w:vAlign w:val="center"/>
          </w:tcPr>
          <w:p w14:paraId="36398B6C"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Jurisprudential mapping in multi-faith contexts; tensions between international and religious-state law; normative convergence/divergence in new legalizations.</w:t>
            </w:r>
          </w:p>
        </w:tc>
      </w:tr>
      <w:tr w:rsidR="007F7A46" w:rsidRPr="001256EA" w14:paraId="6E773A60" w14:textId="77777777" w:rsidTr="00EA68D9">
        <w:tc>
          <w:tcPr>
            <w:cnfStyle w:val="001000000000" w:firstRow="0" w:lastRow="0" w:firstColumn="1" w:lastColumn="0" w:oddVBand="0" w:evenVBand="0" w:oddHBand="0" w:evenHBand="0" w:firstRowFirstColumn="0" w:firstRowLastColumn="0" w:lastRowFirstColumn="0" w:lastRowLastColumn="0"/>
            <w:tcW w:w="1530" w:type="dxa"/>
            <w:hideMark/>
          </w:tcPr>
          <w:p w14:paraId="072F590B" w14:textId="77777777" w:rsidR="007F7A46" w:rsidRPr="001256EA" w:rsidRDefault="007F7A46" w:rsidP="00EA68D9">
            <w:pPr>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Legislative scope and eligibility</w:t>
            </w:r>
          </w:p>
        </w:tc>
        <w:tc>
          <w:tcPr>
            <w:tcW w:w="2790" w:type="dxa"/>
            <w:vAlign w:val="center"/>
          </w:tcPr>
          <w:p w14:paraId="3E77BC42"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 xml:space="preserve">Ambiguity </w:t>
            </w:r>
            <w:proofErr w:type="gramStart"/>
            <w:r w:rsidRPr="001256EA">
              <w:rPr>
                <w:rFonts w:ascii="Times New Roman" w:hAnsi="Times New Roman" w:cs="Times New Roman"/>
                <w:sz w:val="20"/>
                <w:szCs w:val="20"/>
              </w:rPr>
              <w:t>on</w:t>
            </w:r>
            <w:proofErr w:type="gramEnd"/>
            <w:r w:rsidRPr="001256EA">
              <w:rPr>
                <w:rFonts w:ascii="Times New Roman" w:hAnsi="Times New Roman" w:cs="Times New Roman"/>
                <w:sz w:val="20"/>
                <w:szCs w:val="20"/>
              </w:rPr>
              <w:t xml:space="preserve"> vulnerable groups (minors, dementia, and psychiatric cases)</w:t>
            </w:r>
          </w:p>
        </w:tc>
        <w:tc>
          <w:tcPr>
            <w:tcW w:w="3330" w:type="dxa"/>
            <w:vAlign w:val="center"/>
          </w:tcPr>
          <w:p w14:paraId="127E11D6"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Consent capacity; legitimacy of euthanasia for existential suffering</w:t>
            </w:r>
          </w:p>
        </w:tc>
        <w:tc>
          <w:tcPr>
            <w:tcW w:w="3060" w:type="dxa"/>
            <w:vAlign w:val="center"/>
          </w:tcPr>
          <w:p w14:paraId="097EFAC3"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Belgium, Netherlands, and Germany.</w:t>
            </w:r>
          </w:p>
        </w:tc>
        <w:tc>
          <w:tcPr>
            <w:tcW w:w="5310" w:type="dxa"/>
            <w:vAlign w:val="center"/>
          </w:tcPr>
          <w:p w14:paraId="6766D145"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Clarify criteria for dementia/psychiatric cases; evaluate views on existential suffering; assess safeguards for minors.</w:t>
            </w:r>
          </w:p>
        </w:tc>
      </w:tr>
      <w:tr w:rsidR="007F7A46" w:rsidRPr="001256EA" w14:paraId="6AAA6D46"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6F076DCF" w14:textId="77777777" w:rsidR="007F7A46" w:rsidRPr="001256EA" w:rsidRDefault="007F7A46" w:rsidP="00EA68D9">
            <w:pPr>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Application and oversight</w:t>
            </w:r>
          </w:p>
        </w:tc>
        <w:tc>
          <w:tcPr>
            <w:tcW w:w="2790" w:type="dxa"/>
            <w:vAlign w:val="center"/>
          </w:tcPr>
          <w:p w14:paraId="0B0C7EA3"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Weak enforcement, and inconsistent procedures</w:t>
            </w:r>
          </w:p>
        </w:tc>
        <w:tc>
          <w:tcPr>
            <w:tcW w:w="3330" w:type="dxa"/>
            <w:vAlign w:val="center"/>
          </w:tcPr>
          <w:p w14:paraId="7962DDFF"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Underreporting, mislabeling, uneven safeguards</w:t>
            </w:r>
          </w:p>
        </w:tc>
        <w:tc>
          <w:tcPr>
            <w:tcW w:w="3060" w:type="dxa"/>
            <w:vAlign w:val="center"/>
          </w:tcPr>
          <w:p w14:paraId="60EB74F9"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Belgium, Netherlands, France, and Spain.</w:t>
            </w:r>
          </w:p>
        </w:tc>
        <w:tc>
          <w:tcPr>
            <w:tcW w:w="5310" w:type="dxa"/>
            <w:vAlign w:val="center"/>
          </w:tcPr>
          <w:p w14:paraId="43F35FAE"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Improve training and legal literacy; monitor media influence; strengthen oversight institutions.</w:t>
            </w:r>
          </w:p>
        </w:tc>
      </w:tr>
      <w:tr w:rsidR="007F7A46" w:rsidRPr="001256EA" w14:paraId="5A43C3CD" w14:textId="77777777" w:rsidTr="00EA68D9">
        <w:tc>
          <w:tcPr>
            <w:cnfStyle w:val="001000000000" w:firstRow="0" w:lastRow="0" w:firstColumn="1" w:lastColumn="0" w:oddVBand="0" w:evenVBand="0" w:oddHBand="0" w:evenHBand="0" w:firstRowFirstColumn="0" w:firstRowLastColumn="0" w:lastRowFirstColumn="0" w:lastRowLastColumn="0"/>
            <w:tcW w:w="1530" w:type="dxa"/>
            <w:hideMark/>
          </w:tcPr>
          <w:p w14:paraId="272F192E" w14:textId="77777777" w:rsidR="007F7A46" w:rsidRPr="001256EA" w:rsidRDefault="007F7A46" w:rsidP="00EA68D9">
            <w:pPr>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Institutional and professional tensions</w:t>
            </w:r>
          </w:p>
        </w:tc>
        <w:tc>
          <w:tcPr>
            <w:tcW w:w="2790" w:type="dxa"/>
            <w:vAlign w:val="center"/>
          </w:tcPr>
          <w:p w14:paraId="54E5D220"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Mismatch between legal mandates and professional capacity</w:t>
            </w:r>
          </w:p>
        </w:tc>
        <w:tc>
          <w:tcPr>
            <w:tcW w:w="3330" w:type="dxa"/>
            <w:vAlign w:val="center"/>
          </w:tcPr>
          <w:p w14:paraId="0FBAFC5B"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Role ambiguity; ideological opposition; professional stress</w:t>
            </w:r>
          </w:p>
        </w:tc>
        <w:tc>
          <w:tcPr>
            <w:tcW w:w="3060" w:type="dxa"/>
            <w:vAlign w:val="center"/>
          </w:tcPr>
          <w:p w14:paraId="136FE3A9"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Belgium, Spain, Australia, and Netherlands.</w:t>
            </w:r>
          </w:p>
        </w:tc>
        <w:tc>
          <w:tcPr>
            <w:tcW w:w="5310" w:type="dxa"/>
            <w:vAlign w:val="center"/>
          </w:tcPr>
          <w:p w14:paraId="467D9180" w14:textId="77777777" w:rsidR="007F7A46" w:rsidRPr="001256EA" w:rsidRDefault="007F7A46" w:rsidP="00EA6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Support frameworks for professionals; analyze religious-political impacts; study interprofessional decision-making.</w:t>
            </w:r>
          </w:p>
        </w:tc>
      </w:tr>
      <w:tr w:rsidR="007F7A46" w:rsidRPr="001256EA" w14:paraId="5B36EBF5"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74BB6351" w14:textId="77777777" w:rsidR="007F7A46" w:rsidRPr="001256EA" w:rsidRDefault="007F7A46" w:rsidP="00EA68D9">
            <w:pPr>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Knowledge and ethical framing</w:t>
            </w:r>
          </w:p>
        </w:tc>
        <w:tc>
          <w:tcPr>
            <w:tcW w:w="2790" w:type="dxa"/>
            <w:vAlign w:val="center"/>
          </w:tcPr>
          <w:p w14:paraId="53DDFE14"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Gaps in ethics training and legal interpretation</w:t>
            </w:r>
          </w:p>
        </w:tc>
        <w:tc>
          <w:tcPr>
            <w:tcW w:w="3330" w:type="dxa"/>
            <w:vAlign w:val="center"/>
          </w:tcPr>
          <w:p w14:paraId="06693596"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Personal beliefs vs. professional duties; discretionary application</w:t>
            </w:r>
          </w:p>
        </w:tc>
        <w:tc>
          <w:tcPr>
            <w:tcW w:w="3060" w:type="dxa"/>
            <w:vAlign w:val="center"/>
          </w:tcPr>
          <w:p w14:paraId="0D3979B0"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Poland, Finland, Spain, New Zealand, Belgium, and Netherlands.</w:t>
            </w:r>
          </w:p>
        </w:tc>
        <w:tc>
          <w:tcPr>
            <w:tcW w:w="5310" w:type="dxa"/>
            <w:vAlign w:val="center"/>
          </w:tcPr>
          <w:p w14:paraId="70FDFF45" w14:textId="77777777" w:rsidR="007F7A46" w:rsidRPr="001256EA" w:rsidRDefault="007F7A46" w:rsidP="00EA6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1256EA">
              <w:rPr>
                <w:rFonts w:ascii="Times New Roman" w:hAnsi="Times New Roman" w:cs="Times New Roman"/>
                <w:sz w:val="20"/>
                <w:szCs w:val="20"/>
              </w:rPr>
              <w:t>Test ethics-based training; explore cultural/age differences; design simulations for grey zones; continuous interprofessional training.</w:t>
            </w:r>
          </w:p>
        </w:tc>
      </w:tr>
    </w:tbl>
    <w:p w14:paraId="6506F370" w14:textId="77777777" w:rsidR="007F7A46" w:rsidRPr="001256EA" w:rsidRDefault="007F7A46" w:rsidP="007F7A46">
      <w:pPr>
        <w:spacing w:line="360" w:lineRule="auto"/>
        <w:rPr>
          <w:rFonts w:ascii="Times New Roman" w:hAnsi="Times New Roman" w:cs="Times New Roman"/>
          <w:b/>
          <w:bCs/>
          <w:sz w:val="24"/>
          <w:szCs w:val="24"/>
        </w:rPr>
      </w:pPr>
    </w:p>
    <w:p w14:paraId="56B5FCEF" w14:textId="6F5F88FB" w:rsidR="007F7A46" w:rsidRPr="001256EA" w:rsidRDefault="007F7A46" w:rsidP="007F7A46">
      <w:pPr>
        <w:spacing w:line="360" w:lineRule="auto"/>
        <w:rPr>
          <w:rFonts w:ascii="Times New Roman" w:hAnsi="Times New Roman" w:cs="Times New Roman"/>
          <w:sz w:val="24"/>
          <w:szCs w:val="24"/>
        </w:rPr>
      </w:pPr>
      <w:r w:rsidRPr="001256EA">
        <w:rPr>
          <w:rFonts w:ascii="Times New Roman" w:hAnsi="Times New Roman" w:cs="Times New Roman"/>
          <w:b/>
          <w:bCs/>
          <w:sz w:val="24"/>
          <w:szCs w:val="24"/>
        </w:rPr>
        <w:t xml:space="preserve">Appendix 4. </w:t>
      </w:r>
      <w:r w:rsidRPr="001256EA">
        <w:rPr>
          <w:rFonts w:ascii="Times New Roman" w:hAnsi="Times New Roman" w:cs="Times New Roman"/>
          <w:sz w:val="24"/>
          <w:szCs w:val="24"/>
        </w:rPr>
        <w:t>Regulation of euthanasia and assisted suicide in Europe (created by the author)</w:t>
      </w:r>
    </w:p>
    <w:tbl>
      <w:tblPr>
        <w:tblStyle w:val="PlainTable22"/>
        <w:tblW w:w="16020" w:type="dxa"/>
        <w:tblInd w:w="-990" w:type="dxa"/>
        <w:tblLook w:val="04A0" w:firstRow="1" w:lastRow="0" w:firstColumn="1" w:lastColumn="0" w:noHBand="0" w:noVBand="1"/>
      </w:tblPr>
      <w:tblGrid>
        <w:gridCol w:w="1350"/>
        <w:gridCol w:w="3870"/>
        <w:gridCol w:w="3330"/>
        <w:gridCol w:w="2250"/>
        <w:gridCol w:w="2790"/>
        <w:gridCol w:w="2430"/>
      </w:tblGrid>
      <w:tr w:rsidR="007F7A46" w:rsidRPr="001256EA" w14:paraId="6D4BD182" w14:textId="77777777" w:rsidTr="00EA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EB53039" w14:textId="77777777" w:rsidR="007F7A46" w:rsidRPr="001256EA" w:rsidRDefault="007F7A46" w:rsidP="00EA68D9">
            <w:pPr>
              <w:tabs>
                <w:tab w:val="left" w:pos="1550"/>
              </w:tabs>
              <w:spacing w:after="160"/>
              <w:jc w:val="center"/>
              <w:rPr>
                <w:rFonts w:ascii="Times New Roman" w:hAnsi="Times New Roman" w:cs="Times New Roman"/>
                <w:sz w:val="20"/>
                <w:szCs w:val="20"/>
              </w:rPr>
            </w:pPr>
            <w:r w:rsidRPr="001256EA">
              <w:rPr>
                <w:rFonts w:ascii="Times New Roman" w:hAnsi="Times New Roman" w:cs="Times New Roman"/>
                <w:sz w:val="20"/>
                <w:szCs w:val="20"/>
              </w:rPr>
              <w:t>Country</w:t>
            </w:r>
          </w:p>
        </w:tc>
        <w:tc>
          <w:tcPr>
            <w:tcW w:w="3870" w:type="dxa"/>
          </w:tcPr>
          <w:p w14:paraId="2807B48E" w14:textId="77777777" w:rsidR="007F7A46" w:rsidRPr="001256EA" w:rsidRDefault="007F7A46" w:rsidP="00EA68D9">
            <w:pPr>
              <w:tabs>
                <w:tab w:val="left" w:pos="1550"/>
              </w:tabs>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Main conditions</w:t>
            </w:r>
          </w:p>
        </w:tc>
        <w:tc>
          <w:tcPr>
            <w:tcW w:w="3330" w:type="dxa"/>
          </w:tcPr>
          <w:p w14:paraId="4AA667C1" w14:textId="77777777" w:rsidR="007F7A46" w:rsidRPr="001256EA" w:rsidRDefault="007F7A46" w:rsidP="00EA68D9">
            <w:pPr>
              <w:tabs>
                <w:tab w:val="left" w:pos="1550"/>
              </w:tabs>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Age restrictions</w:t>
            </w:r>
          </w:p>
        </w:tc>
        <w:tc>
          <w:tcPr>
            <w:tcW w:w="2250" w:type="dxa"/>
          </w:tcPr>
          <w:p w14:paraId="6CE72B7B" w14:textId="77777777" w:rsidR="007F7A46" w:rsidRPr="001256EA" w:rsidRDefault="007F7A46" w:rsidP="00EA68D9">
            <w:pPr>
              <w:tabs>
                <w:tab w:val="left" w:pos="1550"/>
              </w:tabs>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foreigners</w:t>
            </w:r>
          </w:p>
        </w:tc>
        <w:tc>
          <w:tcPr>
            <w:tcW w:w="2790" w:type="dxa"/>
          </w:tcPr>
          <w:p w14:paraId="7B7BFBC0" w14:textId="77777777" w:rsidR="007F7A46" w:rsidRPr="001256EA" w:rsidRDefault="007F7A46" w:rsidP="00EA68D9">
            <w:pPr>
              <w:tabs>
                <w:tab w:val="left" w:pos="1550"/>
              </w:tabs>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Duties of doctors</w:t>
            </w:r>
          </w:p>
        </w:tc>
        <w:tc>
          <w:tcPr>
            <w:tcW w:w="2430" w:type="dxa"/>
          </w:tcPr>
          <w:p w14:paraId="5E75EE82" w14:textId="77777777" w:rsidR="007F7A46" w:rsidRPr="001256EA" w:rsidRDefault="007F7A46" w:rsidP="00EA68D9">
            <w:pPr>
              <w:tabs>
                <w:tab w:val="left" w:pos="1550"/>
              </w:tabs>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Notes</w:t>
            </w:r>
          </w:p>
        </w:tc>
      </w:tr>
      <w:tr w:rsidR="007F7A46" w:rsidRPr="001256EA" w14:paraId="2275367C"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0B151BB"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t>Netherlands</w:t>
            </w:r>
          </w:p>
        </w:tc>
        <w:tc>
          <w:tcPr>
            <w:tcW w:w="3870" w:type="dxa"/>
            <w:vAlign w:val="center"/>
          </w:tcPr>
          <w:p w14:paraId="7D991CD1"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Unbearable suffering, hopeless condition, informed </w:t>
            </w:r>
            <w:proofErr w:type="gramStart"/>
            <w:r w:rsidRPr="001256EA">
              <w:rPr>
                <w:rFonts w:ascii="Times New Roman" w:hAnsi="Times New Roman" w:cs="Times New Roman"/>
                <w:sz w:val="20"/>
                <w:szCs w:val="20"/>
              </w:rPr>
              <w:t>request</w:t>
            </w:r>
            <w:proofErr w:type="gramEnd"/>
            <w:r w:rsidRPr="001256EA">
              <w:rPr>
                <w:rFonts w:ascii="Times New Roman" w:hAnsi="Times New Roman" w:cs="Times New Roman"/>
                <w:sz w:val="20"/>
                <w:szCs w:val="20"/>
              </w:rPr>
              <w:t>, consultation with an independent doctor.</w:t>
            </w:r>
          </w:p>
        </w:tc>
        <w:tc>
          <w:tcPr>
            <w:tcW w:w="3330" w:type="dxa"/>
            <w:vAlign w:val="center"/>
          </w:tcPr>
          <w:p w14:paraId="75F36C5E"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From 12 years old with parental consent (12–15 years old), from 16 years old independently.</w:t>
            </w:r>
          </w:p>
        </w:tc>
        <w:tc>
          <w:tcPr>
            <w:tcW w:w="2250" w:type="dxa"/>
            <w:vAlign w:val="center"/>
          </w:tcPr>
          <w:p w14:paraId="16914877"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residents only.</w:t>
            </w:r>
          </w:p>
        </w:tc>
        <w:tc>
          <w:tcPr>
            <w:tcW w:w="2790" w:type="dxa"/>
            <w:vAlign w:val="center"/>
          </w:tcPr>
          <w:p w14:paraId="5E95A983"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Must report to the regional review committee.</w:t>
            </w:r>
          </w:p>
        </w:tc>
        <w:tc>
          <w:tcPr>
            <w:tcW w:w="2430" w:type="dxa"/>
            <w:vAlign w:val="center"/>
          </w:tcPr>
          <w:p w14:paraId="2E94EDD8"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Strict control – 5 regional review committees.</w:t>
            </w:r>
          </w:p>
        </w:tc>
      </w:tr>
      <w:tr w:rsidR="007F7A46" w:rsidRPr="001256EA" w14:paraId="3ED407E5" w14:textId="77777777" w:rsidTr="00EA68D9">
        <w:tc>
          <w:tcPr>
            <w:cnfStyle w:val="001000000000" w:firstRow="0" w:lastRow="0" w:firstColumn="1" w:lastColumn="0" w:oddVBand="0" w:evenVBand="0" w:oddHBand="0" w:evenHBand="0" w:firstRowFirstColumn="0" w:firstRowLastColumn="0" w:lastRowFirstColumn="0" w:lastRowLastColumn="0"/>
            <w:tcW w:w="1350" w:type="dxa"/>
            <w:vAlign w:val="center"/>
          </w:tcPr>
          <w:p w14:paraId="05B803AC"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t>Belgium</w:t>
            </w:r>
          </w:p>
        </w:tc>
        <w:tc>
          <w:tcPr>
            <w:tcW w:w="3870" w:type="dxa"/>
            <w:vAlign w:val="center"/>
          </w:tcPr>
          <w:p w14:paraId="7F71A20A"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Unbearable suffering, medically hopeless condition, voluntary request.</w:t>
            </w:r>
          </w:p>
        </w:tc>
        <w:tc>
          <w:tcPr>
            <w:tcW w:w="3330" w:type="dxa"/>
            <w:vAlign w:val="center"/>
          </w:tcPr>
          <w:p w14:paraId="4562618E"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There is no age limit, but for minors, there are very strict conditions and parental consent is required.</w:t>
            </w:r>
          </w:p>
        </w:tc>
        <w:tc>
          <w:tcPr>
            <w:tcW w:w="2250" w:type="dxa"/>
            <w:vAlign w:val="center"/>
          </w:tcPr>
          <w:p w14:paraId="6A454B3E"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residents only.</w:t>
            </w:r>
          </w:p>
        </w:tc>
        <w:tc>
          <w:tcPr>
            <w:tcW w:w="2790" w:type="dxa"/>
            <w:vAlign w:val="center"/>
          </w:tcPr>
          <w:p w14:paraId="7F646E60"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The doctor must consult with an independent doctor and ensure the conditions.</w:t>
            </w:r>
          </w:p>
        </w:tc>
        <w:tc>
          <w:tcPr>
            <w:tcW w:w="2430" w:type="dxa"/>
            <w:vAlign w:val="center"/>
          </w:tcPr>
          <w:p w14:paraId="4AEB4572"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 2014, minors were allowed without an age limit.</w:t>
            </w:r>
          </w:p>
        </w:tc>
      </w:tr>
      <w:tr w:rsidR="007F7A46" w:rsidRPr="001256EA" w14:paraId="5F2727E5"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673FC218"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t>Luxembourg</w:t>
            </w:r>
          </w:p>
        </w:tc>
        <w:tc>
          <w:tcPr>
            <w:tcW w:w="3870" w:type="dxa"/>
            <w:vAlign w:val="center"/>
          </w:tcPr>
          <w:p w14:paraId="1405EDC2"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Unbearable suffering, incurable disease, free request.</w:t>
            </w:r>
          </w:p>
        </w:tc>
        <w:tc>
          <w:tcPr>
            <w:tcW w:w="3330" w:type="dxa"/>
            <w:vAlign w:val="center"/>
          </w:tcPr>
          <w:p w14:paraId="427EF98D"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adults only (≥18 years).</w:t>
            </w:r>
          </w:p>
        </w:tc>
        <w:tc>
          <w:tcPr>
            <w:tcW w:w="2250" w:type="dxa"/>
            <w:vAlign w:val="center"/>
          </w:tcPr>
          <w:p w14:paraId="1C387A67"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residents only.</w:t>
            </w:r>
          </w:p>
        </w:tc>
        <w:tc>
          <w:tcPr>
            <w:tcW w:w="2790" w:type="dxa"/>
            <w:vAlign w:val="center"/>
          </w:tcPr>
          <w:p w14:paraId="3DBC95A3"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Consultation with an independent doctor is required.</w:t>
            </w:r>
          </w:p>
        </w:tc>
        <w:tc>
          <w:tcPr>
            <w:tcW w:w="2430" w:type="dxa"/>
            <w:vAlign w:val="center"/>
          </w:tcPr>
          <w:p w14:paraId="06C56E5A"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t>
            </w:r>
          </w:p>
        </w:tc>
      </w:tr>
      <w:tr w:rsidR="007F7A46" w:rsidRPr="001256EA" w14:paraId="1D566C40" w14:textId="77777777" w:rsidTr="00EA68D9">
        <w:tc>
          <w:tcPr>
            <w:cnfStyle w:val="001000000000" w:firstRow="0" w:lastRow="0" w:firstColumn="1" w:lastColumn="0" w:oddVBand="0" w:evenVBand="0" w:oddHBand="0" w:evenHBand="0" w:firstRowFirstColumn="0" w:firstRowLastColumn="0" w:lastRowFirstColumn="0" w:lastRowLastColumn="0"/>
            <w:tcW w:w="1350" w:type="dxa"/>
            <w:vAlign w:val="center"/>
          </w:tcPr>
          <w:p w14:paraId="7C3254AE"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lastRenderedPageBreak/>
              <w:t>Spain</w:t>
            </w:r>
          </w:p>
        </w:tc>
        <w:tc>
          <w:tcPr>
            <w:tcW w:w="3870" w:type="dxa"/>
            <w:vAlign w:val="center"/>
          </w:tcPr>
          <w:p w14:paraId="31E784E8"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Serious, incurable illness or chronic disability with unbearable suffering, repeated request.</w:t>
            </w:r>
          </w:p>
        </w:tc>
        <w:tc>
          <w:tcPr>
            <w:tcW w:w="3330" w:type="dxa"/>
            <w:vAlign w:val="center"/>
          </w:tcPr>
          <w:p w14:paraId="19E28F20"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adults only.</w:t>
            </w:r>
          </w:p>
        </w:tc>
        <w:tc>
          <w:tcPr>
            <w:tcW w:w="2250" w:type="dxa"/>
            <w:vAlign w:val="center"/>
          </w:tcPr>
          <w:p w14:paraId="2399861C"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Only for residents or those with a long-term connection to the country.</w:t>
            </w:r>
          </w:p>
        </w:tc>
        <w:tc>
          <w:tcPr>
            <w:tcW w:w="2790" w:type="dxa"/>
            <w:vAlign w:val="center"/>
          </w:tcPr>
          <w:p w14:paraId="53BA9E96"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Doctors can refuse on grounds of conscience, but the system must ensure access.</w:t>
            </w:r>
          </w:p>
        </w:tc>
        <w:tc>
          <w:tcPr>
            <w:tcW w:w="2430" w:type="dxa"/>
            <w:vAlign w:val="center"/>
          </w:tcPr>
          <w:p w14:paraId="3962C618"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w:t>
            </w:r>
          </w:p>
        </w:tc>
      </w:tr>
      <w:tr w:rsidR="007F7A46" w:rsidRPr="001256EA" w14:paraId="55DF9A24"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7838B73"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t>Portugal</w:t>
            </w:r>
          </w:p>
        </w:tc>
        <w:tc>
          <w:tcPr>
            <w:tcW w:w="3870" w:type="dxa"/>
            <w:vAlign w:val="center"/>
          </w:tcPr>
          <w:p w14:paraId="2C897719"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Incurable disease, great suffering, multiple confirmations (2 doctors, psychiatrist if in doubt).</w:t>
            </w:r>
          </w:p>
        </w:tc>
        <w:tc>
          <w:tcPr>
            <w:tcW w:w="3330" w:type="dxa"/>
            <w:vAlign w:val="center"/>
          </w:tcPr>
          <w:p w14:paraId="30AAB607"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adults only.</w:t>
            </w:r>
          </w:p>
        </w:tc>
        <w:tc>
          <w:tcPr>
            <w:tcW w:w="2250" w:type="dxa"/>
            <w:vAlign w:val="center"/>
          </w:tcPr>
          <w:p w14:paraId="2015EA02"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residents only.</w:t>
            </w:r>
          </w:p>
        </w:tc>
        <w:tc>
          <w:tcPr>
            <w:tcW w:w="2790" w:type="dxa"/>
            <w:vAlign w:val="center"/>
          </w:tcPr>
          <w:p w14:paraId="03BF22CD"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The doctor may </w:t>
            </w:r>
            <w:proofErr w:type="gramStart"/>
            <w:r w:rsidRPr="001256EA">
              <w:rPr>
                <w:rFonts w:ascii="Times New Roman" w:hAnsi="Times New Roman" w:cs="Times New Roman"/>
                <w:sz w:val="20"/>
                <w:szCs w:val="20"/>
              </w:rPr>
              <w:t>refuse, but</w:t>
            </w:r>
            <w:proofErr w:type="gramEnd"/>
            <w:r w:rsidRPr="001256EA">
              <w:rPr>
                <w:rFonts w:ascii="Times New Roman" w:hAnsi="Times New Roman" w:cs="Times New Roman"/>
                <w:sz w:val="20"/>
                <w:szCs w:val="20"/>
              </w:rPr>
              <w:t xml:space="preserve"> must refer.</w:t>
            </w:r>
          </w:p>
        </w:tc>
        <w:tc>
          <w:tcPr>
            <w:tcW w:w="2430" w:type="dxa"/>
            <w:vAlign w:val="center"/>
          </w:tcPr>
          <w:p w14:paraId="56A6BE4E" w14:textId="77777777" w:rsidR="007F7A46" w:rsidRPr="001256EA" w:rsidRDefault="007F7A46" w:rsidP="00EA68D9">
            <w:pPr>
              <w:tabs>
                <w:tab w:val="left" w:pos="1550"/>
              </w:tabs>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The law came into force in </w:t>
            </w:r>
            <w:proofErr w:type="gramStart"/>
            <w:r w:rsidRPr="001256EA">
              <w:rPr>
                <w:rFonts w:ascii="Times New Roman" w:hAnsi="Times New Roman" w:cs="Times New Roman"/>
                <w:sz w:val="20"/>
                <w:szCs w:val="20"/>
              </w:rPr>
              <w:t>May 2023, but</w:t>
            </w:r>
            <w:proofErr w:type="gramEnd"/>
            <w:r w:rsidRPr="001256EA">
              <w:rPr>
                <w:rFonts w:ascii="Times New Roman" w:hAnsi="Times New Roman" w:cs="Times New Roman"/>
                <w:sz w:val="20"/>
                <w:szCs w:val="20"/>
              </w:rPr>
              <w:t xml:space="preserve"> is not operational.</w:t>
            </w:r>
          </w:p>
        </w:tc>
      </w:tr>
      <w:tr w:rsidR="007F7A46" w:rsidRPr="001256EA" w14:paraId="3AAE498E" w14:textId="77777777" w:rsidTr="00EA68D9">
        <w:tc>
          <w:tcPr>
            <w:cnfStyle w:val="001000000000" w:firstRow="0" w:lastRow="0" w:firstColumn="1" w:lastColumn="0" w:oddVBand="0" w:evenVBand="0" w:oddHBand="0" w:evenHBand="0" w:firstRowFirstColumn="0" w:firstRowLastColumn="0" w:lastRowFirstColumn="0" w:lastRowLastColumn="0"/>
            <w:tcW w:w="1350" w:type="dxa"/>
            <w:vAlign w:val="center"/>
          </w:tcPr>
          <w:p w14:paraId="7E292ED1" w14:textId="77777777" w:rsidR="007F7A46" w:rsidRPr="001256EA" w:rsidRDefault="007F7A46" w:rsidP="00EA68D9">
            <w:pPr>
              <w:tabs>
                <w:tab w:val="left" w:pos="1550"/>
              </w:tabs>
              <w:spacing w:after="160"/>
              <w:rPr>
                <w:rFonts w:ascii="Times New Roman" w:hAnsi="Times New Roman" w:cs="Times New Roman"/>
                <w:sz w:val="20"/>
                <w:szCs w:val="20"/>
              </w:rPr>
            </w:pPr>
            <w:r w:rsidRPr="001256EA">
              <w:rPr>
                <w:rFonts w:ascii="Times New Roman" w:hAnsi="Times New Roman" w:cs="Times New Roman"/>
                <w:sz w:val="20"/>
                <w:szCs w:val="20"/>
              </w:rPr>
              <w:t>Austria</w:t>
            </w:r>
          </w:p>
        </w:tc>
        <w:tc>
          <w:tcPr>
            <w:tcW w:w="3870" w:type="dxa"/>
            <w:vAlign w:val="center"/>
          </w:tcPr>
          <w:p w14:paraId="0CF5FCAB"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Endangered, terminal illness or ongoing suffering, confirmation from 2 doctors (one with palliative care experience).</w:t>
            </w:r>
          </w:p>
        </w:tc>
        <w:tc>
          <w:tcPr>
            <w:tcW w:w="3330" w:type="dxa"/>
            <w:vAlign w:val="center"/>
          </w:tcPr>
          <w:p w14:paraId="53EADF99"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Only ≥18 years old.</w:t>
            </w:r>
          </w:p>
        </w:tc>
        <w:tc>
          <w:tcPr>
            <w:tcW w:w="2250" w:type="dxa"/>
            <w:vAlign w:val="center"/>
          </w:tcPr>
          <w:p w14:paraId="7490C240"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For residents only.</w:t>
            </w:r>
          </w:p>
        </w:tc>
        <w:tc>
          <w:tcPr>
            <w:tcW w:w="2790" w:type="dxa"/>
            <w:vAlign w:val="center"/>
          </w:tcPr>
          <w:p w14:paraId="70791100"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Doctors provide advice, but the patient performs the procedure themselves.</w:t>
            </w:r>
          </w:p>
        </w:tc>
        <w:tc>
          <w:tcPr>
            <w:tcW w:w="2430" w:type="dxa"/>
            <w:vAlign w:val="center"/>
          </w:tcPr>
          <w:p w14:paraId="6F8E21A9" w14:textId="77777777" w:rsidR="007F7A46" w:rsidRPr="001256EA" w:rsidRDefault="007F7A46" w:rsidP="00EA68D9">
            <w:pPr>
              <w:tabs>
                <w:tab w:val="left" w:pos="1550"/>
              </w:tabs>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A mandatory 12-week reflection phase (2 weeks for terminally ill patients).</w:t>
            </w:r>
          </w:p>
        </w:tc>
      </w:tr>
    </w:tbl>
    <w:p w14:paraId="4B489B7C" w14:textId="77777777" w:rsidR="007F7A46" w:rsidRPr="001256EA" w:rsidRDefault="007F7A46" w:rsidP="007F7A46">
      <w:pPr>
        <w:spacing w:line="360" w:lineRule="auto"/>
        <w:rPr>
          <w:rFonts w:ascii="Times New Roman" w:hAnsi="Times New Roman" w:cs="Times New Roman"/>
          <w:b/>
          <w:bCs/>
          <w:sz w:val="24"/>
          <w:szCs w:val="24"/>
        </w:rPr>
      </w:pPr>
    </w:p>
    <w:p w14:paraId="3B81C827" w14:textId="70C09E16" w:rsidR="007F7A46" w:rsidRPr="001256EA" w:rsidRDefault="007F7A46" w:rsidP="007F7A46">
      <w:pPr>
        <w:spacing w:line="360" w:lineRule="auto"/>
        <w:rPr>
          <w:rFonts w:ascii="Times New Roman" w:hAnsi="Times New Roman" w:cs="Times New Roman"/>
          <w:sz w:val="24"/>
          <w:szCs w:val="24"/>
        </w:rPr>
      </w:pPr>
      <w:r w:rsidRPr="001256EA">
        <w:rPr>
          <w:rFonts w:ascii="Times New Roman" w:hAnsi="Times New Roman" w:cs="Times New Roman"/>
          <w:b/>
          <w:bCs/>
          <w:sz w:val="24"/>
          <w:szCs w:val="24"/>
        </w:rPr>
        <w:t xml:space="preserve">Appendix 5. </w:t>
      </w:r>
      <w:r w:rsidRPr="001256EA">
        <w:rPr>
          <w:rFonts w:ascii="Times New Roman" w:hAnsi="Times New Roman" w:cs="Times New Roman"/>
          <w:sz w:val="24"/>
          <w:szCs w:val="24"/>
        </w:rPr>
        <w:t>Interviewee categories and selection justification (created by the author)</w:t>
      </w:r>
    </w:p>
    <w:tbl>
      <w:tblPr>
        <w:tblStyle w:val="PlainTable22"/>
        <w:tblW w:w="16020" w:type="dxa"/>
        <w:tblInd w:w="-990" w:type="dxa"/>
        <w:tblLook w:val="04A0" w:firstRow="1" w:lastRow="0" w:firstColumn="1" w:lastColumn="0" w:noHBand="0" w:noVBand="1"/>
      </w:tblPr>
      <w:tblGrid>
        <w:gridCol w:w="2970"/>
        <w:gridCol w:w="1609"/>
        <w:gridCol w:w="11441"/>
      </w:tblGrid>
      <w:tr w:rsidR="007F7A46" w:rsidRPr="001256EA" w14:paraId="6A9FAB63" w14:textId="77777777" w:rsidTr="00EA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7CE84D6A"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interviewee category</w:t>
            </w:r>
          </w:p>
        </w:tc>
        <w:tc>
          <w:tcPr>
            <w:tcW w:w="1609" w:type="dxa"/>
            <w:vAlign w:val="center"/>
          </w:tcPr>
          <w:p w14:paraId="76EEE61F" w14:textId="77777777" w:rsidR="007F7A46" w:rsidRPr="001256EA" w:rsidRDefault="007F7A46" w:rsidP="00EA68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Profile</w:t>
            </w:r>
          </w:p>
        </w:tc>
        <w:tc>
          <w:tcPr>
            <w:tcW w:w="11441" w:type="dxa"/>
            <w:vAlign w:val="center"/>
          </w:tcPr>
          <w:p w14:paraId="45FF34F6" w14:textId="77777777" w:rsidR="007F7A46" w:rsidRPr="001256EA" w:rsidRDefault="007F7A46" w:rsidP="00EA68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Rationale for selection</w:t>
            </w:r>
          </w:p>
        </w:tc>
      </w:tr>
      <w:tr w:rsidR="007F7A46" w:rsidRPr="001256EA" w14:paraId="74EA0FAB"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A7EF5FF"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Ministry of Justice of Lithuania (MOJ)</w:t>
            </w:r>
          </w:p>
        </w:tc>
        <w:tc>
          <w:tcPr>
            <w:tcW w:w="1609" w:type="dxa"/>
            <w:vAlign w:val="center"/>
          </w:tcPr>
          <w:p w14:paraId="43AFE2DF" w14:textId="77777777" w:rsidR="007F7A46" w:rsidRPr="001256EA" w:rsidRDefault="007F7A46" w:rsidP="00EA68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Representatives</w:t>
            </w:r>
          </w:p>
        </w:tc>
        <w:tc>
          <w:tcPr>
            <w:tcW w:w="11441" w:type="dxa"/>
          </w:tcPr>
          <w:p w14:paraId="4D9F576F" w14:textId="77777777" w:rsidR="007F7A46" w:rsidRPr="001256EA" w:rsidRDefault="007F7A46" w:rsidP="00EA68D9">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1256EA">
              <w:rPr>
                <w:rFonts w:ascii="Times New Roman" w:eastAsia="Times New Roman" w:hAnsi="Times New Roman" w:cs="Times New Roman"/>
                <w:color w:val="000000"/>
                <w:sz w:val="20"/>
                <w:szCs w:val="20"/>
                <w:lang w:eastAsia="fr-FR"/>
              </w:rPr>
              <w:t>Selected for their direct involvement in legislative and regulatory processes concerning legal matters in Lithuania. Their insights are essential to understanding the legal framework and potential legislative challenges of implementing euthanasia laws.</w:t>
            </w:r>
          </w:p>
        </w:tc>
      </w:tr>
      <w:tr w:rsidR="007F7A46" w:rsidRPr="001256EA" w14:paraId="72BBD104" w14:textId="77777777" w:rsidTr="00EA68D9">
        <w:tc>
          <w:tcPr>
            <w:cnfStyle w:val="001000000000" w:firstRow="0" w:lastRow="0" w:firstColumn="1" w:lastColumn="0" w:oddVBand="0" w:evenVBand="0" w:oddHBand="0" w:evenHBand="0" w:firstRowFirstColumn="0" w:firstRowLastColumn="0" w:lastRowFirstColumn="0" w:lastRowLastColumn="0"/>
            <w:tcW w:w="2970" w:type="dxa"/>
            <w:vAlign w:val="center"/>
          </w:tcPr>
          <w:p w14:paraId="526804DD"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Ministry of Health, Legal Department (MOH)</w:t>
            </w:r>
          </w:p>
        </w:tc>
        <w:tc>
          <w:tcPr>
            <w:tcW w:w="1609" w:type="dxa"/>
            <w:vAlign w:val="center"/>
          </w:tcPr>
          <w:p w14:paraId="7B8F61EE" w14:textId="77777777" w:rsidR="007F7A46" w:rsidRPr="001256EA" w:rsidRDefault="007F7A46" w:rsidP="00EA68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Lawyers</w:t>
            </w:r>
          </w:p>
        </w:tc>
        <w:tc>
          <w:tcPr>
            <w:tcW w:w="11441" w:type="dxa"/>
          </w:tcPr>
          <w:p w14:paraId="46ACEAE3" w14:textId="77777777" w:rsidR="007F7A46" w:rsidRPr="001256EA" w:rsidRDefault="007F7A46" w:rsidP="00EA68D9">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1256EA">
              <w:rPr>
                <w:rFonts w:ascii="Times New Roman" w:eastAsia="Times New Roman" w:hAnsi="Times New Roman" w:cs="Times New Roman"/>
                <w:color w:val="000000"/>
                <w:sz w:val="20"/>
                <w:szCs w:val="20"/>
                <w:lang w:eastAsia="fr-FR"/>
              </w:rPr>
              <w:t>Chosen for their expertise in health-related legislation and regulatory compliance. Their input clarifies legal complexities and potential conflicts associated with euthanasia policy.</w:t>
            </w:r>
          </w:p>
        </w:tc>
      </w:tr>
      <w:tr w:rsidR="007F7A46" w:rsidRPr="001256EA" w14:paraId="781704E1"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2A4E7C64"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Lithuanian Health Rights Institute (LHRI)</w:t>
            </w:r>
          </w:p>
        </w:tc>
        <w:tc>
          <w:tcPr>
            <w:tcW w:w="1609" w:type="dxa"/>
            <w:vAlign w:val="center"/>
          </w:tcPr>
          <w:p w14:paraId="2006DE93" w14:textId="77777777" w:rsidR="007F7A46" w:rsidRPr="001256EA" w:rsidRDefault="007F7A46" w:rsidP="00EA68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Specialists</w:t>
            </w:r>
          </w:p>
        </w:tc>
        <w:tc>
          <w:tcPr>
            <w:tcW w:w="11441" w:type="dxa"/>
          </w:tcPr>
          <w:p w14:paraId="42956380" w14:textId="77777777" w:rsidR="007F7A46" w:rsidRPr="001256EA" w:rsidRDefault="007F7A46" w:rsidP="00EA68D9">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1256EA">
              <w:rPr>
                <w:rFonts w:ascii="Times New Roman" w:eastAsia="Times New Roman" w:hAnsi="Times New Roman" w:cs="Times New Roman"/>
                <w:color w:val="000000"/>
                <w:sz w:val="20"/>
                <w:szCs w:val="20"/>
                <w:lang w:eastAsia="fr-FR"/>
              </w:rPr>
              <w:t>Selected for their expertise in health rights and ethical issues in healthcare. Their perspectives provide valuable insight into patient rights and ethical dilemmas linked to euthanasia.</w:t>
            </w:r>
          </w:p>
        </w:tc>
      </w:tr>
      <w:tr w:rsidR="007F7A46" w:rsidRPr="001256EA" w14:paraId="14B50709" w14:textId="77777777" w:rsidTr="00EA68D9">
        <w:tc>
          <w:tcPr>
            <w:cnfStyle w:val="001000000000" w:firstRow="0" w:lastRow="0" w:firstColumn="1" w:lastColumn="0" w:oddVBand="0" w:evenVBand="0" w:oddHBand="0" w:evenHBand="0" w:firstRowFirstColumn="0" w:firstRowLastColumn="0" w:lastRowFirstColumn="0" w:lastRowLastColumn="0"/>
            <w:tcW w:w="2970" w:type="dxa"/>
            <w:vAlign w:val="center"/>
          </w:tcPr>
          <w:p w14:paraId="262334B6"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Lithuanian National Human Rights Institution (LNHRI)</w:t>
            </w:r>
          </w:p>
        </w:tc>
        <w:tc>
          <w:tcPr>
            <w:tcW w:w="1609" w:type="dxa"/>
            <w:vAlign w:val="center"/>
          </w:tcPr>
          <w:p w14:paraId="2FA9DF18" w14:textId="77777777" w:rsidR="007F7A46" w:rsidRPr="001256EA" w:rsidRDefault="007F7A46" w:rsidP="00EA68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Specialists</w:t>
            </w:r>
          </w:p>
        </w:tc>
        <w:tc>
          <w:tcPr>
            <w:tcW w:w="11441" w:type="dxa"/>
          </w:tcPr>
          <w:p w14:paraId="22E05F4E" w14:textId="77777777" w:rsidR="007F7A46" w:rsidRPr="001256EA" w:rsidRDefault="007F7A46" w:rsidP="00EA68D9">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1256EA">
              <w:rPr>
                <w:rFonts w:ascii="Times New Roman" w:eastAsia="Times New Roman" w:hAnsi="Times New Roman" w:cs="Times New Roman"/>
                <w:color w:val="000000"/>
                <w:sz w:val="20"/>
                <w:szCs w:val="20"/>
                <w:lang w:eastAsia="fr-FR"/>
              </w:rPr>
              <w:t>Contributed a human rights perspective, assessing how euthanasia legislation aligns with national and international human rights standards. Their input is critical for evaluating broader human rights implications.</w:t>
            </w:r>
          </w:p>
        </w:tc>
      </w:tr>
      <w:tr w:rsidR="007F7A46" w:rsidRPr="001256EA" w14:paraId="350F0F0D" w14:textId="77777777" w:rsidTr="00EA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7FDB939F"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European Union Agency for Fundamental Rights (FRA)</w:t>
            </w:r>
          </w:p>
        </w:tc>
        <w:tc>
          <w:tcPr>
            <w:tcW w:w="1609" w:type="dxa"/>
            <w:vAlign w:val="center"/>
          </w:tcPr>
          <w:p w14:paraId="25BB332C" w14:textId="77777777" w:rsidR="007F7A46" w:rsidRPr="001256EA" w:rsidRDefault="007F7A46" w:rsidP="00EA68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Representatives</w:t>
            </w:r>
          </w:p>
        </w:tc>
        <w:tc>
          <w:tcPr>
            <w:tcW w:w="11441" w:type="dxa"/>
          </w:tcPr>
          <w:p w14:paraId="19A6F4EE" w14:textId="77777777" w:rsidR="007F7A46" w:rsidRPr="001256EA" w:rsidRDefault="007F7A46" w:rsidP="00EA68D9">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1256EA">
              <w:rPr>
                <w:rFonts w:ascii="Times New Roman" w:eastAsia="Times New Roman" w:hAnsi="Times New Roman" w:cs="Times New Roman"/>
                <w:color w:val="000000"/>
                <w:sz w:val="20"/>
                <w:szCs w:val="20"/>
                <w:lang w:eastAsia="fr-FR"/>
              </w:rPr>
              <w:t xml:space="preserve">Offered a European perspective by highlighting regulatory approaches in different EU countries and the influence of European human rights frameworks on national policies. </w:t>
            </w:r>
          </w:p>
        </w:tc>
      </w:tr>
      <w:tr w:rsidR="007F7A46" w:rsidRPr="001256EA" w14:paraId="394FAD36" w14:textId="77777777" w:rsidTr="00EA68D9">
        <w:tc>
          <w:tcPr>
            <w:cnfStyle w:val="001000000000" w:firstRow="0" w:lastRow="0" w:firstColumn="1" w:lastColumn="0" w:oddVBand="0" w:evenVBand="0" w:oddHBand="0" w:evenHBand="0" w:firstRowFirstColumn="0" w:firstRowLastColumn="0" w:lastRowFirstColumn="0" w:lastRowLastColumn="0"/>
            <w:tcW w:w="2970" w:type="dxa"/>
            <w:vAlign w:val="center"/>
          </w:tcPr>
          <w:p w14:paraId="1DC12F3B" w14:textId="77777777" w:rsidR="007F7A46" w:rsidRPr="001256EA" w:rsidRDefault="007F7A46" w:rsidP="00EA68D9">
            <w:pPr>
              <w:spacing w:line="360" w:lineRule="auto"/>
              <w:jc w:val="center"/>
              <w:rPr>
                <w:rFonts w:ascii="Times New Roman" w:hAnsi="Times New Roman" w:cs="Times New Roman"/>
                <w:sz w:val="20"/>
                <w:szCs w:val="20"/>
              </w:rPr>
            </w:pPr>
            <w:r w:rsidRPr="001256EA">
              <w:rPr>
                <w:rFonts w:ascii="Times New Roman" w:hAnsi="Times New Roman" w:cs="Times New Roman"/>
                <w:sz w:val="20"/>
                <w:szCs w:val="20"/>
              </w:rPr>
              <w:t>International Centre for Health and Human Rights (ICHHR)</w:t>
            </w:r>
          </w:p>
        </w:tc>
        <w:tc>
          <w:tcPr>
            <w:tcW w:w="1609" w:type="dxa"/>
            <w:vAlign w:val="center"/>
          </w:tcPr>
          <w:p w14:paraId="173DA52E" w14:textId="77777777" w:rsidR="007F7A46" w:rsidRPr="001256EA" w:rsidRDefault="007F7A46" w:rsidP="00EA68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Representatives</w:t>
            </w:r>
          </w:p>
        </w:tc>
        <w:tc>
          <w:tcPr>
            <w:tcW w:w="11441" w:type="dxa"/>
          </w:tcPr>
          <w:p w14:paraId="32F698C6" w14:textId="77777777" w:rsidR="007F7A46" w:rsidRPr="001256EA" w:rsidRDefault="007F7A46" w:rsidP="00EA68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 xml:space="preserve">Provided a global perspective on health and human rights, presenting </w:t>
            </w:r>
            <w:proofErr w:type="gramStart"/>
            <w:r w:rsidRPr="001256EA">
              <w:rPr>
                <w:rFonts w:ascii="Times New Roman" w:hAnsi="Times New Roman" w:cs="Times New Roman"/>
                <w:sz w:val="20"/>
                <w:szCs w:val="20"/>
              </w:rPr>
              <w:t>international best</w:t>
            </w:r>
            <w:proofErr w:type="gramEnd"/>
            <w:r w:rsidRPr="001256EA">
              <w:rPr>
                <w:rFonts w:ascii="Times New Roman" w:hAnsi="Times New Roman" w:cs="Times New Roman"/>
                <w:sz w:val="20"/>
                <w:szCs w:val="20"/>
              </w:rPr>
              <w:t xml:space="preserve"> practices and challenges in euthanasia regulation. Their contributions place Lithuania within a broader international context.</w:t>
            </w:r>
          </w:p>
        </w:tc>
      </w:tr>
    </w:tbl>
    <w:p w14:paraId="17BC60F6" w14:textId="79DF5B32" w:rsidR="007F7A46" w:rsidRPr="001256EA" w:rsidRDefault="007F7A46" w:rsidP="00DE1673">
      <w:pPr>
        <w:spacing w:line="240" w:lineRule="auto"/>
        <w:rPr>
          <w:rFonts w:ascii="Times New Roman" w:hAnsi="Times New Roman" w:cs="Times New Roman"/>
          <w:b/>
          <w:bCs/>
          <w:sz w:val="24"/>
          <w:szCs w:val="24"/>
        </w:rPr>
      </w:pPr>
    </w:p>
    <w:p w14:paraId="08BA8594" w14:textId="77777777" w:rsidR="004A7A0D" w:rsidRPr="001256EA" w:rsidRDefault="004A7A0D" w:rsidP="00DE1673">
      <w:pPr>
        <w:spacing w:line="240" w:lineRule="auto"/>
        <w:rPr>
          <w:rFonts w:ascii="Times New Roman" w:hAnsi="Times New Roman" w:cs="Times New Roman"/>
          <w:sz w:val="24"/>
          <w:szCs w:val="24"/>
        </w:rPr>
      </w:pPr>
    </w:p>
    <w:p w14:paraId="319FF5EC" w14:textId="1BE0BCEC"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lastRenderedPageBreak/>
        <w:t xml:space="preserve">Appendix </w:t>
      </w:r>
      <w:r w:rsidR="0019538E" w:rsidRPr="001256EA">
        <w:rPr>
          <w:rFonts w:ascii="Times New Roman" w:hAnsi="Times New Roman" w:cs="Times New Roman"/>
          <w:b/>
          <w:bCs/>
          <w:sz w:val="24"/>
          <w:szCs w:val="24"/>
        </w:rPr>
        <w:t>6</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w:t>
      </w:r>
      <w:bookmarkEnd w:id="85"/>
      <w:r w:rsidRPr="001256EA">
        <w:rPr>
          <w:rFonts w:ascii="Times New Roman" w:hAnsi="Times New Roman" w:cs="Times New Roman"/>
          <w:sz w:val="24"/>
          <w:szCs w:val="24"/>
        </w:rPr>
        <w:t>Interpretative observations based on thematic findings for question 1</w:t>
      </w:r>
      <w:r w:rsidR="007B2F4F" w:rsidRPr="001256EA">
        <w:rPr>
          <w:rFonts w:ascii="Times New Roman" w:hAnsi="Times New Roman" w:cs="Times New Roman"/>
          <w:sz w:val="24"/>
          <w:szCs w:val="24"/>
        </w:rPr>
        <w:t xml:space="preserve"> (created by the author)</w:t>
      </w:r>
    </w:p>
    <w:tbl>
      <w:tblPr>
        <w:tblStyle w:val="PlainTable22"/>
        <w:tblW w:w="15598" w:type="dxa"/>
        <w:tblInd w:w="-720" w:type="dxa"/>
        <w:tblLook w:val="04A0" w:firstRow="1" w:lastRow="0" w:firstColumn="1" w:lastColumn="0" w:noHBand="0" w:noVBand="1"/>
      </w:tblPr>
      <w:tblGrid>
        <w:gridCol w:w="1402"/>
        <w:gridCol w:w="10118"/>
        <w:gridCol w:w="4078"/>
      </w:tblGrid>
      <w:tr w:rsidR="00CE5861" w:rsidRPr="001256EA" w14:paraId="07AE0C73"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60AA2025"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118" w:type="dxa"/>
          </w:tcPr>
          <w:p w14:paraId="79A01B3B"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Illustrative responses</w:t>
            </w:r>
          </w:p>
        </w:tc>
        <w:tc>
          <w:tcPr>
            <w:tcW w:w="4078" w:type="dxa"/>
          </w:tcPr>
          <w:p w14:paraId="0E41A6F0"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5B92999F"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3B20414A"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118" w:type="dxa"/>
          </w:tcPr>
          <w:p w14:paraId="5F757F7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 xml:space="preserve">“International legal frameworks provide a solid foundation for safeguarding patients' rights and ensuring safety in euthanasia practices. However, it's crucial to </w:t>
            </w:r>
            <w:proofErr w:type="gramStart"/>
            <w:r w:rsidRPr="001256EA">
              <w:rPr>
                <w:rFonts w:ascii="Times New Roman" w:hAnsi="Times New Roman" w:cs="Times New Roman"/>
                <w:i/>
                <w:iCs/>
                <w:sz w:val="20"/>
                <w:szCs w:val="20"/>
              </w:rPr>
              <w:t>take into account</w:t>
            </w:r>
            <w:proofErr w:type="gramEnd"/>
            <w:r w:rsidRPr="001256EA">
              <w:rPr>
                <w:rFonts w:ascii="Times New Roman" w:hAnsi="Times New Roman" w:cs="Times New Roman"/>
                <w:i/>
                <w:iCs/>
                <w:sz w:val="20"/>
                <w:szCs w:val="20"/>
              </w:rPr>
              <w:t xml:space="preserve"> the cultural and ethical context of Lithuania before moving towards legalization”</w:t>
            </w:r>
          </w:p>
          <w:p w14:paraId="39A89C7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“There is a strong need for clear, transparent regulations if euthanasia is to be legalized in Lithuania to protect both patients and healthcare providers”</w:t>
            </w:r>
          </w:p>
          <w:p w14:paraId="1486D0E8"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“While international regulations provide a good starting point, Lithuania needs to adapt these to our specific legal and ethical environment to ensure patient safety and rights”</w:t>
            </w:r>
          </w:p>
        </w:tc>
        <w:tc>
          <w:tcPr>
            <w:tcW w:w="4078" w:type="dxa"/>
            <w:vAlign w:val="center"/>
          </w:tcPr>
          <w:p w14:paraId="130901B1"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legalization needs transparent regulations adapted to Lithuania’s ethical and cultural context to ensure both patient safety and healthcare provider protection.</w:t>
            </w:r>
          </w:p>
        </w:tc>
      </w:tr>
      <w:tr w:rsidR="00CE5861" w:rsidRPr="001256EA" w14:paraId="661CF78C"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221C5D0D"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118" w:type="dxa"/>
          </w:tcPr>
          <w:p w14:paraId="352A91F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legal standards set important precedents, but Lithuania must develop its own comprehensive legal framework to ensure patient safety in euthanasia”</w:t>
            </w:r>
          </w:p>
          <w:p w14:paraId="3D2E8D31"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“Legalizing euthanasia in Lithuania requires not only adopting international practices but also addressing local medical, ethical, and legal challenges to safeguard patient rights”</w:t>
            </w:r>
          </w:p>
          <w:p w14:paraId="3DEB702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“Patient safety and rights can be adequately protected under international legal regulations, but their implementation in Lithuania must be carefully tailored to our healthcare system” </w:t>
            </w:r>
          </w:p>
        </w:tc>
        <w:tc>
          <w:tcPr>
            <w:tcW w:w="4078" w:type="dxa"/>
            <w:vAlign w:val="center"/>
          </w:tcPr>
          <w:p w14:paraId="0C3B9DAF"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Legalization requires a comprehensive Lithuanian legal framework informed by international practices yet responsive to local medical, ethical, and legal challenges.</w:t>
            </w:r>
          </w:p>
        </w:tc>
      </w:tr>
      <w:tr w:rsidR="00CE5861" w:rsidRPr="001256EA" w14:paraId="2FC10D9D"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00519FD0"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118" w:type="dxa"/>
          </w:tcPr>
          <w:p w14:paraId="566C9BE5"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regulations are crucial, but they need to be supplemented with stringent local guidelines to protect patients' rights and safety effectively”</w:t>
            </w:r>
          </w:p>
          <w:p w14:paraId="1FA575EA"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legalization of euthanasia in Lithuania should be guided by international examples but must also incorporate our unique health rights concerns”</w:t>
            </w:r>
          </w:p>
          <w:p w14:paraId="29A94C1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“Patient safety and rights can be maintained through a combination of international legal standards and rigorous national oversight”</w:t>
            </w:r>
          </w:p>
        </w:tc>
        <w:tc>
          <w:tcPr>
            <w:tcW w:w="4078" w:type="dxa"/>
            <w:vAlign w:val="center"/>
          </w:tcPr>
          <w:p w14:paraId="5ED86C56"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Combining international legal standards with strong local oversight is essential to protect patient rights and safety in euthanasia practices.</w:t>
            </w:r>
          </w:p>
        </w:tc>
      </w:tr>
      <w:tr w:rsidR="00CE5861" w:rsidRPr="001256EA" w14:paraId="002B159F"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C3408DE"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118" w:type="dxa"/>
          </w:tcPr>
          <w:p w14:paraId="1344F56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regulations provide a framework for protecting patients, but Lithuania needs to ensure these standards are met and adapted to local human rights contexts”</w:t>
            </w:r>
          </w:p>
          <w:p w14:paraId="57875891"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“Legalizing euthanasia in Lithuania would require a thorough review and adaptation of international regulations to ensure they align with national human rights principles”</w:t>
            </w:r>
          </w:p>
          <w:p w14:paraId="7E5D9EF2"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protection of patients' rights and safety in euthanasia practices must be grounded in both international law and robust national human rights safeguards”</w:t>
            </w:r>
          </w:p>
        </w:tc>
        <w:tc>
          <w:tcPr>
            <w:tcW w:w="4078" w:type="dxa"/>
            <w:vAlign w:val="center"/>
          </w:tcPr>
          <w:p w14:paraId="68A795CF"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International standards need contextual adaptation to national human rights frameworks for safe and rights‑based euthanasia legalization.</w:t>
            </w:r>
          </w:p>
        </w:tc>
      </w:tr>
      <w:tr w:rsidR="00CE5861" w:rsidRPr="001256EA" w14:paraId="76D96CF2"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0FE92C10"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118" w:type="dxa"/>
          </w:tcPr>
          <w:p w14:paraId="7F4C173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legal standards are designed to protect patients effectively, but national adaptation is crucial for ensuring these protections in Lithuania”</w:t>
            </w:r>
          </w:p>
          <w:p w14:paraId="25245490"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“There is a clear need for Lithuania to develop its own euthanasia laws, informed by international regulations, to ensure patient safety and rights”</w:t>
            </w:r>
          </w:p>
          <w:p w14:paraId="7DCCD66D"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legalization process in Lithuania should be guided by international standards, ensuring that patient rights and safety are paramount”</w:t>
            </w:r>
          </w:p>
        </w:tc>
        <w:tc>
          <w:tcPr>
            <w:tcW w:w="4078" w:type="dxa"/>
            <w:vAlign w:val="center"/>
          </w:tcPr>
          <w:p w14:paraId="364B03B1"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National euthanasia laws should be built on international principles but customized to ensure strong patient safety and rights protection.</w:t>
            </w:r>
          </w:p>
        </w:tc>
      </w:tr>
      <w:tr w:rsidR="00CE5861" w:rsidRPr="001256EA" w14:paraId="37CC847E"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0E358357"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118" w:type="dxa"/>
          </w:tcPr>
          <w:p w14:paraId="35FC6B29"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regulations on euthanasia set a strong precedent for protecting patient rights, but Lithuania must contextualize these to fit its legal and ethical landscape”</w:t>
            </w:r>
          </w:p>
          <w:p w14:paraId="2FA7D37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“Adopting international regulations is essential, but they must be carefully integrated with Lithuania’s health and human rights standards to protect patients”</w:t>
            </w:r>
          </w:p>
          <w:p w14:paraId="546878A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lastRenderedPageBreak/>
              <w:t>“The need for legalizing euthanasia in Lithuania is clear, but it must be done with careful consideration of international regulations and local human rights protections”</w:t>
            </w:r>
          </w:p>
        </w:tc>
        <w:tc>
          <w:tcPr>
            <w:tcW w:w="4078" w:type="dxa"/>
            <w:vAlign w:val="center"/>
          </w:tcPr>
          <w:p w14:paraId="46EAC676"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lastRenderedPageBreak/>
              <w:t>Adoption of international frameworks requires careful alignment with Lithuanian health and human rights standards for safe and ethical legalization.</w:t>
            </w:r>
          </w:p>
        </w:tc>
      </w:tr>
    </w:tbl>
    <w:p w14:paraId="3156EA7A" w14:textId="77777777" w:rsidR="00DE1673" w:rsidRPr="001256EA" w:rsidRDefault="00DE1673" w:rsidP="00DE1673">
      <w:pPr>
        <w:spacing w:line="240" w:lineRule="auto"/>
        <w:rPr>
          <w:rFonts w:ascii="Times New Roman" w:hAnsi="Times New Roman" w:cs="Times New Roman"/>
          <w:b/>
          <w:bCs/>
          <w:sz w:val="24"/>
          <w:szCs w:val="24"/>
        </w:rPr>
      </w:pPr>
    </w:p>
    <w:p w14:paraId="75A87DDE" w14:textId="1ED55866" w:rsidR="00CE5861" w:rsidRPr="001256EA" w:rsidRDefault="00CE5861" w:rsidP="00DE1673">
      <w:pPr>
        <w:spacing w:line="240" w:lineRule="auto"/>
        <w:rPr>
          <w:rFonts w:ascii="Times New Roman" w:hAnsi="Times New Roman" w:cs="Times New Roman"/>
          <w:b/>
          <w:bCs/>
          <w:sz w:val="24"/>
          <w:szCs w:val="24"/>
        </w:rPr>
      </w:pPr>
      <w:r w:rsidRPr="001256EA">
        <w:rPr>
          <w:rFonts w:ascii="Times New Roman" w:hAnsi="Times New Roman" w:cs="Times New Roman"/>
          <w:b/>
          <w:bCs/>
          <w:sz w:val="24"/>
          <w:szCs w:val="24"/>
        </w:rPr>
        <w:t xml:space="preserve">Appendix </w:t>
      </w:r>
      <w:r w:rsidR="007B2F4F" w:rsidRPr="001256EA">
        <w:rPr>
          <w:rFonts w:ascii="Times New Roman" w:hAnsi="Times New Roman" w:cs="Times New Roman"/>
          <w:b/>
          <w:bCs/>
          <w:sz w:val="24"/>
          <w:szCs w:val="24"/>
        </w:rPr>
        <w:t>7</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2</w:t>
      </w:r>
      <w:r w:rsidR="007B2F4F" w:rsidRPr="001256EA">
        <w:rPr>
          <w:rFonts w:ascii="Times New Roman" w:hAnsi="Times New Roman" w:cs="Times New Roman"/>
          <w:sz w:val="24"/>
          <w:szCs w:val="24"/>
        </w:rPr>
        <w:t xml:space="preserve"> (created by the author)</w:t>
      </w:r>
    </w:p>
    <w:tbl>
      <w:tblPr>
        <w:tblStyle w:val="PlainTable22"/>
        <w:tblW w:w="15688" w:type="dxa"/>
        <w:tblInd w:w="-630" w:type="dxa"/>
        <w:tblLook w:val="04A0" w:firstRow="1" w:lastRow="0" w:firstColumn="1" w:lastColumn="0" w:noHBand="0" w:noVBand="1"/>
      </w:tblPr>
      <w:tblGrid>
        <w:gridCol w:w="1402"/>
        <w:gridCol w:w="10208"/>
        <w:gridCol w:w="4078"/>
      </w:tblGrid>
      <w:tr w:rsidR="00CE5861" w:rsidRPr="001256EA" w14:paraId="1E30CC58"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5BF19A71"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5EBED75C"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tcPr>
          <w:p w14:paraId="5A58DD5B"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30D7C8FE"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511C0F1B"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3C7C4F0F"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ethical and moral considerations are deeply rooted in the cultural context of each country. For Lithuania, it is crucial to ensure that any regulation on euthanasia aligns with our societal values and ethical standards”</w:t>
            </w:r>
          </w:p>
          <w:p w14:paraId="07F1BA8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legal frameworks attempt to address ethical issues, but the local ethical and moral landscape must guide the specific regulations in Lithuania”</w:t>
            </w:r>
          </w:p>
          <w:p w14:paraId="5F8DC33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“Balancing the legal, ethical, and moral aspects is challenging, but necessary to ensure that the regulations are accepted by society and uphold human dignity”</w:t>
            </w:r>
          </w:p>
        </w:tc>
        <w:tc>
          <w:tcPr>
            <w:tcW w:w="4078" w:type="dxa"/>
            <w:vAlign w:val="center"/>
          </w:tcPr>
          <w:p w14:paraId="5C868CE3"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regulation must balance international guidance with Lithuania’s ethical and cultural values to ensure societal acceptance and respect for human dignity.</w:t>
            </w:r>
          </w:p>
        </w:tc>
      </w:tr>
      <w:tr w:rsidR="00CE5861" w:rsidRPr="001256EA" w14:paraId="66ACB822"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61467AA8"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67DC7CA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legal regulation of euthanasia must be grounded in ethical principles to ensure it is morally acceptable to both the public and healthcare professionals”</w:t>
            </w:r>
          </w:p>
          <w:p w14:paraId="10A836DE"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“There is a significant ethical debate surrounding euthanasia, and any legal framework must carefully navigate these moral considerations to be effective”</w:t>
            </w:r>
          </w:p>
          <w:p w14:paraId="204DAEB4"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“Ethical standards must be integrated into the legal regulations to ensure that euthanasia practices do not violate moral norms and respect patient autonomy”</w:t>
            </w:r>
          </w:p>
        </w:tc>
        <w:tc>
          <w:tcPr>
            <w:tcW w:w="4078" w:type="dxa"/>
            <w:vAlign w:val="center"/>
          </w:tcPr>
          <w:p w14:paraId="5F33F0E0"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Ethical principles must be embedded in euthanasia legislation to ensure moral acceptability and alignment with both public values and professional standards.</w:t>
            </w:r>
          </w:p>
        </w:tc>
      </w:tr>
      <w:tr w:rsidR="00CE5861" w:rsidRPr="001256EA" w14:paraId="7DA79C3C"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0B20ECBC"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0926AFDB"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“Ethical and moral standards are paramount in the regulation of euthanasia, ensuring that patient rights and dignity are preserved throughout the process”</w:t>
            </w:r>
          </w:p>
          <w:p w14:paraId="2C3529F2"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must reflect ethical considerations, ensuring that the practice of euthanasia aligns with broader societal values and moral beliefs”</w:t>
            </w:r>
          </w:p>
          <w:p w14:paraId="0E96E40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intersection of ethics and law in euthanasia is complex, but essential to creating a regulatory framework that is both effective and morally acceptable”</w:t>
            </w:r>
          </w:p>
        </w:tc>
        <w:tc>
          <w:tcPr>
            <w:tcW w:w="4078" w:type="dxa"/>
            <w:vAlign w:val="center"/>
          </w:tcPr>
          <w:p w14:paraId="4DB6ECCF"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law should combine ethical considerations with legal standards to safeguard patient dignity and align with societal moral values.</w:t>
            </w:r>
          </w:p>
        </w:tc>
      </w:tr>
      <w:tr w:rsidR="00CE5861" w:rsidRPr="001256EA" w14:paraId="3E75D137"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22219E3D"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7EC0481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“Euthanasia regulations must be founded on ethical principles that respect human rights and dignity, ensuring that moral standards are upheld”</w:t>
            </w:r>
          </w:p>
          <w:p w14:paraId="319BD5C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moral implications of euthanasia are significant, and legal regulations must reflect these ethical concerns to protect individuals and society”</w:t>
            </w:r>
          </w:p>
          <w:p w14:paraId="426531B2"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legal frameworks meet ethical and moral standards is crucial to maintaining public trust and the integrity of the healthcare system”</w:t>
            </w:r>
          </w:p>
        </w:tc>
        <w:tc>
          <w:tcPr>
            <w:tcW w:w="4078" w:type="dxa"/>
            <w:vAlign w:val="center"/>
          </w:tcPr>
          <w:p w14:paraId="3F3063EA"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Regulatory frameworks must uphold ethical standards and human rights to maintain public confidence and protect healthcare system integrity.</w:t>
            </w:r>
          </w:p>
        </w:tc>
      </w:tr>
      <w:tr w:rsidR="00CE5861" w:rsidRPr="001256EA" w14:paraId="1294C427"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48E7F037"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04F74188"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“Ethical and moral standards vary across cultures, but international regulations strive to establish a baseline that respects human dignity and ethical principles”</w:t>
            </w:r>
          </w:p>
          <w:p w14:paraId="1C999FD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essence of euthanasia regulation must align with ethical standards to ensure it is morally defensible and respects the rights of individuals”</w:t>
            </w:r>
          </w:p>
          <w:p w14:paraId="4C953BF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“Creating a legal framework for euthanasia requires careful consideration of ethical and moral standards to ensure it is accepted and respected by society”</w:t>
            </w:r>
          </w:p>
        </w:tc>
        <w:tc>
          <w:tcPr>
            <w:tcW w:w="4078" w:type="dxa"/>
            <w:vAlign w:val="center"/>
          </w:tcPr>
          <w:p w14:paraId="142961AC"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regulation should align with universal ethical principles while considering cultural differences to ensure legitimacy and societal respect.</w:t>
            </w:r>
          </w:p>
        </w:tc>
      </w:tr>
      <w:tr w:rsidR="00CE5861" w:rsidRPr="001256EA" w14:paraId="085F31A9"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7035B646"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208" w:type="dxa"/>
          </w:tcPr>
          <w:p w14:paraId="579E9EC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ethical and moral dimensions of euthanasia are critical, and legal regulations must address these to ensure the practice is humane and respectful of human rights”</w:t>
            </w:r>
          </w:p>
          <w:p w14:paraId="7B3E222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lastRenderedPageBreak/>
              <w:t>“Integrating ethical standards into the legal framework of euthanasia ensures that the practice respects the moral values of society and protects patient dignity”</w:t>
            </w:r>
          </w:p>
          <w:p w14:paraId="19B1985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regulation of euthanasia must meet ethical and moral standards to ensure that it is not only legally sound but also morally acceptable and respectful of human dignity”</w:t>
            </w:r>
          </w:p>
        </w:tc>
        <w:tc>
          <w:tcPr>
            <w:tcW w:w="4078" w:type="dxa"/>
            <w:vAlign w:val="center"/>
          </w:tcPr>
          <w:p w14:paraId="4D2E682C"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lastRenderedPageBreak/>
              <w:t xml:space="preserve">Legal frameworks must integrate ethical values and human rights protections to </w:t>
            </w:r>
            <w:r w:rsidRPr="001256EA">
              <w:rPr>
                <w:rFonts w:ascii="Times New Roman" w:hAnsi="Times New Roman" w:cs="Times New Roman"/>
                <w:b/>
                <w:bCs/>
                <w:sz w:val="20"/>
                <w:szCs w:val="20"/>
              </w:rPr>
              <w:lastRenderedPageBreak/>
              <w:t>ensure humane and morally acceptable euthanasia practices.</w:t>
            </w:r>
          </w:p>
        </w:tc>
      </w:tr>
    </w:tbl>
    <w:p w14:paraId="4700D36C" w14:textId="77777777" w:rsidR="00CE5861" w:rsidRPr="001256EA" w:rsidRDefault="00CE5861" w:rsidP="00DE1673">
      <w:pPr>
        <w:spacing w:line="240" w:lineRule="auto"/>
        <w:rPr>
          <w:rFonts w:ascii="Times New Roman" w:hAnsi="Times New Roman" w:cs="Times New Roman"/>
          <w:b/>
          <w:bCs/>
          <w:sz w:val="24"/>
          <w:szCs w:val="24"/>
        </w:rPr>
      </w:pPr>
    </w:p>
    <w:p w14:paraId="05BBA477" w14:textId="6C22D87D"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t xml:space="preserve">Appendix </w:t>
      </w:r>
      <w:r w:rsidR="007B2F4F" w:rsidRPr="001256EA">
        <w:rPr>
          <w:rFonts w:ascii="Times New Roman" w:hAnsi="Times New Roman" w:cs="Times New Roman"/>
          <w:b/>
          <w:bCs/>
          <w:sz w:val="24"/>
          <w:szCs w:val="24"/>
        </w:rPr>
        <w:t>8</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3</w:t>
      </w:r>
      <w:r w:rsidR="007B2F4F" w:rsidRPr="001256EA">
        <w:rPr>
          <w:rFonts w:ascii="Times New Roman" w:hAnsi="Times New Roman" w:cs="Times New Roman"/>
          <w:sz w:val="24"/>
          <w:szCs w:val="24"/>
        </w:rPr>
        <w:t xml:space="preserve"> (created by the author)</w:t>
      </w:r>
    </w:p>
    <w:tbl>
      <w:tblPr>
        <w:tblStyle w:val="PlainTable22"/>
        <w:tblW w:w="15688" w:type="dxa"/>
        <w:tblInd w:w="-630" w:type="dxa"/>
        <w:tblLook w:val="04A0" w:firstRow="1" w:lastRow="0" w:firstColumn="1" w:lastColumn="0" w:noHBand="0" w:noVBand="1"/>
      </w:tblPr>
      <w:tblGrid>
        <w:gridCol w:w="1402"/>
        <w:gridCol w:w="10208"/>
        <w:gridCol w:w="4078"/>
      </w:tblGrid>
      <w:tr w:rsidR="00CE5861" w:rsidRPr="001256EA" w14:paraId="22E44D04"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0AA10EA0"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5FBAB5BD"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tcPr>
          <w:p w14:paraId="18DAF48C"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42F1A7AD"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2B6B6819"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5285522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“Establishing a robust legal framework is essential, with clear guidelines and protocols for the practice of euthanasia to ensure proper regulation and control”</w:t>
            </w:r>
          </w:p>
          <w:p w14:paraId="5FADC8E2"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 audits and oversight by an independent regulatory body can help maintain high standards and compliance with legal requirements”</w:t>
            </w:r>
          </w:p>
          <w:p w14:paraId="290065B6"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“Transparency and accountability mechanisms must be built into the regulation to ensure that all practices are monitored and evaluated consistently”</w:t>
            </w:r>
          </w:p>
        </w:tc>
        <w:tc>
          <w:tcPr>
            <w:tcW w:w="4078" w:type="dxa"/>
            <w:vAlign w:val="center"/>
          </w:tcPr>
          <w:p w14:paraId="0F4AC845"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Strong legal frameworks with independent oversight and transparency are essential to regulate euthanasia effectively and maintain accountability.</w:t>
            </w:r>
          </w:p>
        </w:tc>
      </w:tr>
      <w:tr w:rsidR="00CE5861" w:rsidRPr="001256EA" w14:paraId="65F4916C"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4BBA82EB"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4D3D60DD"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creation of a specialized regulatory authority is crucial to oversee euthanasia practices and ensure adherence to legal and ethical standards”</w:t>
            </w:r>
          </w:p>
          <w:p w14:paraId="46B9E2E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“Training healthcare professionals on legal aspects and ethical considerations of euthanasia is vital to ensure that regulations are properly implemented”</w:t>
            </w:r>
          </w:p>
          <w:p w14:paraId="644302AC"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“Implementing strict documentation and reporting requirements can help track euthanasia cases and ensure that all procedures follow legal guidelines”</w:t>
            </w:r>
          </w:p>
        </w:tc>
        <w:tc>
          <w:tcPr>
            <w:tcW w:w="4078" w:type="dxa"/>
            <w:vAlign w:val="center"/>
          </w:tcPr>
          <w:p w14:paraId="79CA6E40"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A specialized regulatory body, professional training, and strict reporting are necessary to ensure ethical compliance and proper implementation of euthanasia laws.</w:t>
            </w:r>
          </w:p>
        </w:tc>
      </w:tr>
      <w:tr w:rsidR="00CE5861" w:rsidRPr="001256EA" w14:paraId="42CB812A"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727BC5F5"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11662D2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should include clear criteria and procedures for euthanasia to ensure consistency and compliance across all cases”</w:t>
            </w:r>
          </w:p>
          <w:p w14:paraId="17DF39C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 review and updates of the legal framework are necessary to adapt to new ethical, medical, and social developments”</w:t>
            </w:r>
          </w:p>
          <w:p w14:paraId="69B7CCB2"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“Collaboration with international bodies can provide additional oversight and help align national regulations with global standards”</w:t>
            </w:r>
          </w:p>
        </w:tc>
        <w:tc>
          <w:tcPr>
            <w:tcW w:w="4078" w:type="dxa"/>
            <w:vAlign w:val="center"/>
          </w:tcPr>
          <w:p w14:paraId="4B34C738"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Consistent euthanasia regulation requires clear procedures, continuous legal updates, and alignment with international standards.</w:t>
            </w:r>
          </w:p>
        </w:tc>
      </w:tr>
      <w:tr w:rsidR="00CE5861" w:rsidRPr="001256EA" w14:paraId="58E84D62"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4270F96"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398DB37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euthanasia is legally regulated requires comprehensive legislation that balances patient rights with ethical considerations”</w:t>
            </w:r>
          </w:p>
          <w:p w14:paraId="0C2B1BD3"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“Independent review boards should be established to oversee euthanasia requests and ensure that all legal criteria are met”</w:t>
            </w:r>
          </w:p>
          <w:p w14:paraId="6CD73295"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“Public transparency and involvement in the regulatory process can help build trust and ensure that regulations are upheld”</w:t>
            </w:r>
          </w:p>
        </w:tc>
        <w:tc>
          <w:tcPr>
            <w:tcW w:w="4078" w:type="dxa"/>
            <w:vAlign w:val="center"/>
          </w:tcPr>
          <w:p w14:paraId="16BC8288"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regulation must balance rights and ethics through independent reviews and public transparency to ensure trust and fairness.</w:t>
            </w:r>
          </w:p>
        </w:tc>
      </w:tr>
      <w:tr w:rsidR="00CE5861" w:rsidRPr="001256EA" w14:paraId="1065593B"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62ED885C"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4D95108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“Adopting best practices from countries with established euthanasia regulations can help ensure robust and effective control mechanisms”</w:t>
            </w:r>
          </w:p>
          <w:p w14:paraId="6AA711F5"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 multi-disciplinary approach, involving legal, medical, and ethical experts, is essential for developing comprehensive regulations”</w:t>
            </w:r>
          </w:p>
          <w:p w14:paraId="2668CFD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“Continuous monitoring and evaluation of euthanasia practices are necessary to ensure compliance and address any emerging issues promptly”</w:t>
            </w:r>
          </w:p>
        </w:tc>
        <w:tc>
          <w:tcPr>
            <w:tcW w:w="4078" w:type="dxa"/>
            <w:vAlign w:val="center"/>
          </w:tcPr>
          <w:p w14:paraId="1DF9BA1B"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Best practices, multidisciplinary expertise, and ongoing monitoring are vital for robust and adaptable euthanasia regulation.</w:t>
            </w:r>
          </w:p>
        </w:tc>
      </w:tr>
      <w:tr w:rsidR="00CE5861" w:rsidRPr="001256EA" w14:paraId="6052F93E"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B1CE17C"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lastRenderedPageBreak/>
              <w:t>ICHHR</w:t>
            </w:r>
          </w:p>
        </w:tc>
        <w:tc>
          <w:tcPr>
            <w:tcW w:w="10208" w:type="dxa"/>
          </w:tcPr>
          <w:p w14:paraId="3E031C9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“Clear legal guidelines and strict regulatory oversight are key to ensuring that euthanasia practices are controlled and comply with ethical standards”</w:t>
            </w:r>
          </w:p>
          <w:p w14:paraId="186D0F86"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“Establishing an independent regulatory body with the power to enforce regulations and conduct regular inspections is crucial”</w:t>
            </w:r>
          </w:p>
          <w:p w14:paraId="2AF93769"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“Public education and awareness campaigns can help ensure that the public understands the legal and ethical framework governing euthanasia”</w:t>
            </w:r>
          </w:p>
        </w:tc>
        <w:tc>
          <w:tcPr>
            <w:tcW w:w="4078" w:type="dxa"/>
            <w:vAlign w:val="center"/>
          </w:tcPr>
          <w:p w14:paraId="35CF85AC"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Ethical and effective euthanasia regulation requires independent enforcement and public awareness to ensure compliance and societal acceptance.</w:t>
            </w:r>
          </w:p>
          <w:p w14:paraId="7547D8BE"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bl>
    <w:p w14:paraId="6A30A20D" w14:textId="77777777" w:rsidR="00CE5861" w:rsidRPr="001256EA" w:rsidRDefault="00CE5861" w:rsidP="00DE1673">
      <w:pPr>
        <w:spacing w:line="240" w:lineRule="auto"/>
        <w:rPr>
          <w:rFonts w:ascii="Times New Roman" w:hAnsi="Times New Roman" w:cs="Times New Roman"/>
          <w:sz w:val="24"/>
          <w:szCs w:val="24"/>
        </w:rPr>
      </w:pPr>
    </w:p>
    <w:p w14:paraId="66C5C774" w14:textId="0AFE512A"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t xml:space="preserve">Appendix </w:t>
      </w:r>
      <w:r w:rsidR="007B2F4F" w:rsidRPr="001256EA">
        <w:rPr>
          <w:rFonts w:ascii="Times New Roman" w:hAnsi="Times New Roman" w:cs="Times New Roman"/>
          <w:b/>
          <w:bCs/>
          <w:sz w:val="24"/>
          <w:szCs w:val="24"/>
        </w:rPr>
        <w:t>9</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4</w:t>
      </w:r>
      <w:r w:rsidR="007B2F4F" w:rsidRPr="001256EA">
        <w:rPr>
          <w:rFonts w:ascii="Times New Roman" w:hAnsi="Times New Roman" w:cs="Times New Roman"/>
          <w:sz w:val="24"/>
          <w:szCs w:val="24"/>
        </w:rPr>
        <w:t xml:space="preserve"> (created by the author)</w:t>
      </w:r>
    </w:p>
    <w:tbl>
      <w:tblPr>
        <w:tblStyle w:val="PlainTable22"/>
        <w:tblW w:w="15688" w:type="dxa"/>
        <w:tblInd w:w="-720" w:type="dxa"/>
        <w:tblLook w:val="04A0" w:firstRow="1" w:lastRow="0" w:firstColumn="1" w:lastColumn="0" w:noHBand="0" w:noVBand="1"/>
      </w:tblPr>
      <w:tblGrid>
        <w:gridCol w:w="1402"/>
        <w:gridCol w:w="10208"/>
        <w:gridCol w:w="4078"/>
      </w:tblGrid>
      <w:tr w:rsidR="00CE5861" w:rsidRPr="001256EA" w14:paraId="05868D41"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4C819B36"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232C39F1"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tcPr>
          <w:p w14:paraId="72B7856D"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4029737C"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15E5A466"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25E08FD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“Implementing strict eligibility criteria and thorough vetting processes for euthanasia requests can help prevent abuses”</w:t>
            </w:r>
          </w:p>
          <w:p w14:paraId="32FBA43E"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 audits and surprise inspections by an independent body can ensure compliance and identify any potential misconduct”</w:t>
            </w:r>
          </w:p>
          <w:p w14:paraId="7AD8B6A3"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“Establishing a clear, transparent complaint and review process for cases of suspected abuse is essential to maintain integrity”</w:t>
            </w:r>
          </w:p>
        </w:tc>
        <w:tc>
          <w:tcPr>
            <w:tcW w:w="4078" w:type="dxa"/>
            <w:vAlign w:val="center"/>
          </w:tcPr>
          <w:p w14:paraId="66E37C6E"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Abuse prevention requires strict eligibility checks, independent oversight, and transparent complaint mechanisms to safeguard integrity in euthanasia.</w:t>
            </w:r>
          </w:p>
        </w:tc>
      </w:tr>
      <w:tr w:rsidR="00CE5861" w:rsidRPr="001256EA" w14:paraId="31F649B8"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14028A0"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65634E0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“Mandatory second opinions from independent medical professionals can help ensure that euthanasia requests are valid and justified”</w:t>
            </w:r>
          </w:p>
          <w:p w14:paraId="2DB53C75"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“Creating detailed documentation and reporting requirements can provide a paper trail to identify and prevent abuses”</w:t>
            </w:r>
          </w:p>
          <w:p w14:paraId="1CDD2D26"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“Continuous training for healthcare providers on ethical practices and legal standards is crucial to prevent misconduct”</w:t>
            </w:r>
          </w:p>
        </w:tc>
        <w:tc>
          <w:tcPr>
            <w:tcW w:w="4078" w:type="dxa"/>
            <w:vAlign w:val="center"/>
          </w:tcPr>
          <w:p w14:paraId="6C19B9B5"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Preventing misconduct depends on second opinions, comprehensive documentation, and ongoing ethical training for healthcare providers.</w:t>
            </w:r>
          </w:p>
        </w:tc>
      </w:tr>
      <w:tr w:rsidR="00CE5861" w:rsidRPr="001256EA" w14:paraId="29B579CD"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5076E026"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7B81F68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 robust oversight framework with clear protocols for monitoring and evaluating euthanasia practices can prevent abuses”</w:t>
            </w:r>
          </w:p>
          <w:p w14:paraId="43DAB7D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“Engaging in regular ethical reviews and updates to regulations can help adapt to new challenges and prevent exploitation” </w:t>
            </w:r>
          </w:p>
          <w:p w14:paraId="38CC5CA5"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“Establishing strict penalties for violations of euthanasia regulations can act as a deterrent against abuses”</w:t>
            </w:r>
          </w:p>
        </w:tc>
        <w:tc>
          <w:tcPr>
            <w:tcW w:w="4078" w:type="dxa"/>
            <w:vAlign w:val="center"/>
          </w:tcPr>
          <w:p w14:paraId="130B0B19"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Strong monitoring, ethical review, and strict penalties are essential to deter abuse and adapt to evolving challenges in euthanasia regulation.</w:t>
            </w:r>
          </w:p>
        </w:tc>
      </w:tr>
      <w:tr w:rsidR="00CE5861" w:rsidRPr="001256EA" w14:paraId="5D91B3FB"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320E7E65"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7113C91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all euthanasia procedures are thoroughly reviewed by an independent ethics committee can prevent misuse”</w:t>
            </w:r>
          </w:p>
          <w:p w14:paraId="1F17A1B3"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“Implementing comprehensive informed consent processes can ensure that patients fully understand their rights and options”</w:t>
            </w:r>
          </w:p>
          <w:p w14:paraId="68A3182E"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“Public transparency and accountability measures can help maintain trust and deter potential abuses”</w:t>
            </w:r>
          </w:p>
        </w:tc>
        <w:tc>
          <w:tcPr>
            <w:tcW w:w="4078" w:type="dxa"/>
            <w:vAlign w:val="center"/>
          </w:tcPr>
          <w:p w14:paraId="53E399D7"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Independent ethical reviews, informed consent, and transparency are critical to prevent misuse and uphold public trust.</w:t>
            </w:r>
          </w:p>
        </w:tc>
      </w:tr>
      <w:tr w:rsidR="00CE5861" w:rsidRPr="001256EA" w14:paraId="628590C1"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39B28D15"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11DB43D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“Adopting best practices from countries with stringent euthanasia regulations can help minimize the risk of abuse”</w:t>
            </w:r>
          </w:p>
          <w:p w14:paraId="23C7119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“Regularly reviewing and updating legal and ethical guidelines can ensure they remain effective in preventing abuses”</w:t>
            </w:r>
          </w:p>
          <w:p w14:paraId="26FB5A7A"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“Encouraging a culture of ethical responsibility among healthcare providers can help prevent misconduct in euthanasia practices”</w:t>
            </w:r>
          </w:p>
        </w:tc>
        <w:tc>
          <w:tcPr>
            <w:tcW w:w="4078" w:type="dxa"/>
            <w:vAlign w:val="center"/>
          </w:tcPr>
          <w:p w14:paraId="13CAB4C4"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Minimizing abuse risk requires adopting best practices, updating regulations, and promoting ethical responsibility within healthcare.</w:t>
            </w:r>
          </w:p>
        </w:tc>
      </w:tr>
      <w:tr w:rsidR="00CE5861" w:rsidRPr="001256EA" w14:paraId="5BE714DC"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390F15E1"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208" w:type="dxa"/>
          </w:tcPr>
          <w:p w14:paraId="12C72372"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“Establishing a comprehensive regulatory framework with clear checks and balances can help prevent abuses in euthanasia practices”</w:t>
            </w:r>
          </w:p>
          <w:p w14:paraId="7CA7838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“Independent oversight and regular external audits can ensure that all procedures are carried out ethically and legally”</w:t>
            </w:r>
          </w:p>
          <w:p w14:paraId="416EF92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“Raising public awareness about the ethical standards and legal requirements for euthanasia can help prevent potential abuses” </w:t>
            </w:r>
          </w:p>
        </w:tc>
        <w:tc>
          <w:tcPr>
            <w:tcW w:w="4078" w:type="dxa"/>
            <w:vAlign w:val="center"/>
          </w:tcPr>
          <w:p w14:paraId="59598F9B"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Preventing misconduct relies on robust checks and balances, independent audits, and public awareness of ethical and legal standards.</w:t>
            </w:r>
          </w:p>
        </w:tc>
      </w:tr>
    </w:tbl>
    <w:p w14:paraId="4B1816CF" w14:textId="77777777" w:rsidR="00CE5861" w:rsidRPr="001256EA" w:rsidRDefault="00CE5861" w:rsidP="00DE1673">
      <w:pPr>
        <w:spacing w:line="240" w:lineRule="auto"/>
        <w:rPr>
          <w:rFonts w:ascii="Times New Roman" w:hAnsi="Times New Roman" w:cs="Times New Roman"/>
          <w:b/>
          <w:bCs/>
          <w:sz w:val="24"/>
          <w:szCs w:val="24"/>
        </w:rPr>
      </w:pPr>
    </w:p>
    <w:p w14:paraId="762FE9B3" w14:textId="1E5C10BB"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t xml:space="preserve">Appendix </w:t>
      </w:r>
      <w:r w:rsidR="00450870" w:rsidRPr="001256EA">
        <w:rPr>
          <w:rFonts w:ascii="Times New Roman" w:hAnsi="Times New Roman" w:cs="Times New Roman"/>
          <w:b/>
          <w:bCs/>
          <w:sz w:val="24"/>
          <w:szCs w:val="24"/>
        </w:rPr>
        <w:t>10</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5</w:t>
      </w:r>
      <w:r w:rsidR="00450870" w:rsidRPr="001256EA">
        <w:rPr>
          <w:rFonts w:ascii="Times New Roman" w:hAnsi="Times New Roman" w:cs="Times New Roman"/>
          <w:sz w:val="24"/>
          <w:szCs w:val="24"/>
        </w:rPr>
        <w:t xml:space="preserve"> (created by the author)</w:t>
      </w:r>
    </w:p>
    <w:tbl>
      <w:tblPr>
        <w:tblStyle w:val="PlainTable22"/>
        <w:tblW w:w="15688" w:type="dxa"/>
        <w:tblInd w:w="-630" w:type="dxa"/>
        <w:tblLook w:val="04A0" w:firstRow="1" w:lastRow="0" w:firstColumn="1" w:lastColumn="0" w:noHBand="0" w:noVBand="1"/>
      </w:tblPr>
      <w:tblGrid>
        <w:gridCol w:w="1402"/>
        <w:gridCol w:w="10208"/>
        <w:gridCol w:w="4078"/>
      </w:tblGrid>
      <w:tr w:rsidR="00CE5861" w:rsidRPr="001256EA" w14:paraId="440B611D"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27256473"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608B6352"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vAlign w:val="center"/>
          </w:tcPr>
          <w:p w14:paraId="5E6E2EEF"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224819C7"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03996AA8"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2F9D6FB2"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patients receive comprehensive information and provide informed consent is fundamental to the ethical practice of euthanasia”</w:t>
            </w:r>
          </w:p>
          <w:p w14:paraId="45D2D023"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must include clear procedures for obtaining and documenting patient consent to protect their rights and interests”</w:t>
            </w:r>
          </w:p>
          <w:p w14:paraId="4387ABB3"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“Balancing the need for thorough patient information with respect for individual autonomy is crucial in euthanasia regulation”</w:t>
            </w:r>
          </w:p>
        </w:tc>
        <w:tc>
          <w:tcPr>
            <w:tcW w:w="4078" w:type="dxa"/>
            <w:vAlign w:val="center"/>
          </w:tcPr>
          <w:p w14:paraId="46D2DBD3"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Ethical euthanasia regulation requires comprehensive patient information, transparent consent procedures, and respect for individual autonomy.</w:t>
            </w:r>
          </w:p>
        </w:tc>
      </w:tr>
      <w:tr w:rsidR="00CE5861" w:rsidRPr="001256EA" w14:paraId="272F54B4"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43119EE4"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16096221"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legal framework should mandate that patients are fully informed about all aspects of euthanasia, ensuring their consent is truly informed”</w:t>
            </w:r>
          </w:p>
          <w:p w14:paraId="0106428A"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“Regulations must safeguard the rights of individuals by requiring explicit and voluntary consent for euthanasia procedures”</w:t>
            </w:r>
          </w:p>
          <w:p w14:paraId="68336499"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“Ensuring that patient consent is obtained in a transparent and documented manner helps protect their legitimate interests”</w:t>
            </w:r>
          </w:p>
        </w:tc>
        <w:tc>
          <w:tcPr>
            <w:tcW w:w="4078" w:type="dxa"/>
            <w:vAlign w:val="center"/>
          </w:tcPr>
          <w:p w14:paraId="16A731D4"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Protecting patient rights requires mandatory full disclosure and explicit, documented consent for euthanasia procedures.</w:t>
            </w:r>
          </w:p>
        </w:tc>
      </w:tr>
      <w:tr w:rsidR="00CE5861" w:rsidRPr="001256EA" w14:paraId="03D190E9"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5DD14A31"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41181A9C"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“Patients must be provided with detailed information about euthanasia, including potential risks and alternatives, to make an informed decision”</w:t>
            </w:r>
          </w:p>
          <w:p w14:paraId="54C1A03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 regulation of euthanasia must prioritize informed consent to uphold the rights and autonomy of the individual”</w:t>
            </w:r>
          </w:p>
          <w:p w14:paraId="232C847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“Clear guidelines for obtaining patient consent are essential to ensure that euthanasia practices do not violate individual rights”</w:t>
            </w:r>
          </w:p>
        </w:tc>
        <w:tc>
          <w:tcPr>
            <w:tcW w:w="4078" w:type="dxa"/>
            <w:vAlign w:val="center"/>
          </w:tcPr>
          <w:p w14:paraId="7DE2E0A8"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Informed consent with clear guidelines and disclosure of risks and alternatives is essential to safeguard patient autonomy and rights.</w:t>
            </w:r>
          </w:p>
        </w:tc>
      </w:tr>
      <w:tr w:rsidR="00CE5861" w:rsidRPr="001256EA" w14:paraId="0D2F5AAD"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9B0E222"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31E001A0"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must ensure that patients are adequately informed and that their consent is obtained without coercion” </w:t>
            </w:r>
          </w:p>
          <w:p w14:paraId="79AB37B4"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“Protecting the rights and interests of patients requires stringent consent procedures embedded in the legal framework”</w:t>
            </w:r>
          </w:p>
          <w:p w14:paraId="3884F9C4"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 xml:space="preserve">“Ensuring that patients understand their choices and the </w:t>
            </w:r>
            <w:proofErr w:type="gramStart"/>
            <w:r w:rsidRPr="001256EA">
              <w:rPr>
                <w:rFonts w:ascii="Times New Roman" w:hAnsi="Times New Roman" w:cs="Times New Roman"/>
                <w:i/>
                <w:iCs/>
                <w:sz w:val="20"/>
                <w:szCs w:val="20"/>
              </w:rPr>
              <w:t>implications</w:t>
            </w:r>
            <w:proofErr w:type="gramEnd"/>
            <w:r w:rsidRPr="001256EA">
              <w:rPr>
                <w:rFonts w:ascii="Times New Roman" w:hAnsi="Times New Roman" w:cs="Times New Roman"/>
                <w:i/>
                <w:iCs/>
                <w:sz w:val="20"/>
                <w:szCs w:val="20"/>
              </w:rPr>
              <w:t xml:space="preserve"> of euthanasia is vital to protecting their rights”</w:t>
            </w:r>
          </w:p>
        </w:tc>
        <w:tc>
          <w:tcPr>
            <w:tcW w:w="4078" w:type="dxa"/>
            <w:vAlign w:val="center"/>
          </w:tcPr>
          <w:p w14:paraId="606E93F7"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consent must be free from coercion, based on adequate information, and embedded within strong legal safeguards.</w:t>
            </w:r>
          </w:p>
        </w:tc>
      </w:tr>
      <w:tr w:rsidR="00CE5861" w:rsidRPr="001256EA" w14:paraId="29EAC812"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6CB6608F"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2BA3334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best practices highlight the importance of informed consent in euthanasia, which should be reflected in national regulations”</w:t>
            </w:r>
          </w:p>
          <w:p w14:paraId="2EF20E45"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safeguards must ensure that the information provided to patients is comprehensive and that their consent is unequivocal”</w:t>
            </w:r>
          </w:p>
          <w:p w14:paraId="171A35C0"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“Respecting patient autonomy through informed consent is key to upholding the ethical standards of euthanasia practices”</w:t>
            </w:r>
          </w:p>
        </w:tc>
        <w:tc>
          <w:tcPr>
            <w:tcW w:w="4078" w:type="dxa"/>
            <w:vAlign w:val="center"/>
          </w:tcPr>
          <w:p w14:paraId="638CC191"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National regulations must reflect international best practices by ensuring unequivocal informed consent and respect for patient autonomy.</w:t>
            </w:r>
          </w:p>
        </w:tc>
      </w:tr>
      <w:tr w:rsidR="00CE5861" w:rsidRPr="001256EA" w14:paraId="14F38CA1"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2F0A1FB3"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208" w:type="dxa"/>
          </w:tcPr>
          <w:p w14:paraId="326EE29B"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must stipulate those patients are fully informed and that their consent is obtained in a manner that respects their rights”</w:t>
            </w:r>
          </w:p>
          <w:p w14:paraId="62F82036"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transparency in the consent process helps protect the legitimate interests of individuals undergoing euthanasia”</w:t>
            </w:r>
          </w:p>
          <w:p w14:paraId="63F8918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i/>
                <w:iCs/>
                <w:sz w:val="20"/>
                <w:szCs w:val="20"/>
              </w:rPr>
              <w:t>“A robust consent framework is essential to ensure that the practice of euthanasia is ethical and respects patient rights”</w:t>
            </w:r>
          </w:p>
        </w:tc>
        <w:tc>
          <w:tcPr>
            <w:tcW w:w="4078" w:type="dxa"/>
            <w:vAlign w:val="center"/>
          </w:tcPr>
          <w:p w14:paraId="51F3E70C"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A transparent and robust consent framework is necessary to ensure ethical practice and protection of patient rights in euthanasia.</w:t>
            </w:r>
          </w:p>
        </w:tc>
      </w:tr>
    </w:tbl>
    <w:p w14:paraId="1E177369" w14:textId="549337C9" w:rsidR="00DE1673" w:rsidRPr="001256EA" w:rsidRDefault="00DE1673" w:rsidP="00DE1673">
      <w:pPr>
        <w:spacing w:line="240" w:lineRule="auto"/>
        <w:rPr>
          <w:rFonts w:ascii="Times New Roman" w:hAnsi="Times New Roman" w:cs="Times New Roman"/>
          <w:sz w:val="24"/>
          <w:szCs w:val="24"/>
        </w:rPr>
      </w:pPr>
    </w:p>
    <w:p w14:paraId="2ECFEDB7" w14:textId="77777777" w:rsidR="004A7A0D" w:rsidRDefault="004A7A0D" w:rsidP="00DE1673">
      <w:pPr>
        <w:spacing w:line="240" w:lineRule="auto"/>
        <w:rPr>
          <w:rFonts w:ascii="Times New Roman" w:hAnsi="Times New Roman" w:cs="Times New Roman"/>
          <w:sz w:val="24"/>
          <w:szCs w:val="24"/>
        </w:rPr>
      </w:pPr>
    </w:p>
    <w:p w14:paraId="2A3A47B6" w14:textId="77777777" w:rsidR="00FE686B" w:rsidRPr="001256EA" w:rsidRDefault="00FE686B" w:rsidP="00DE1673">
      <w:pPr>
        <w:spacing w:line="240" w:lineRule="auto"/>
        <w:rPr>
          <w:rFonts w:ascii="Times New Roman" w:hAnsi="Times New Roman" w:cs="Times New Roman"/>
          <w:sz w:val="24"/>
          <w:szCs w:val="24"/>
        </w:rPr>
      </w:pPr>
    </w:p>
    <w:p w14:paraId="2889F997" w14:textId="76BB3E3F"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lastRenderedPageBreak/>
        <w:t xml:space="preserve">Appendix </w:t>
      </w:r>
      <w:r w:rsidR="00450870" w:rsidRPr="001256EA">
        <w:rPr>
          <w:rFonts w:ascii="Times New Roman" w:hAnsi="Times New Roman" w:cs="Times New Roman"/>
          <w:b/>
          <w:bCs/>
          <w:sz w:val="24"/>
          <w:szCs w:val="24"/>
        </w:rPr>
        <w:t>11</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6</w:t>
      </w:r>
      <w:r w:rsidR="00450870" w:rsidRPr="001256EA">
        <w:rPr>
          <w:rFonts w:ascii="Times New Roman" w:hAnsi="Times New Roman" w:cs="Times New Roman"/>
          <w:sz w:val="24"/>
          <w:szCs w:val="24"/>
        </w:rPr>
        <w:t xml:space="preserve"> (created by the author)</w:t>
      </w:r>
    </w:p>
    <w:tbl>
      <w:tblPr>
        <w:tblStyle w:val="PlainTable22"/>
        <w:tblW w:w="15688" w:type="dxa"/>
        <w:tblInd w:w="-630" w:type="dxa"/>
        <w:tblLook w:val="04A0" w:firstRow="1" w:lastRow="0" w:firstColumn="1" w:lastColumn="0" w:noHBand="0" w:noVBand="1"/>
      </w:tblPr>
      <w:tblGrid>
        <w:gridCol w:w="1402"/>
        <w:gridCol w:w="10208"/>
        <w:gridCol w:w="4078"/>
      </w:tblGrid>
      <w:tr w:rsidR="00CE5861" w:rsidRPr="001256EA" w14:paraId="5D22DCCD"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5038CD3A"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2E260CD4"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vAlign w:val="center"/>
          </w:tcPr>
          <w:p w14:paraId="04C6E3EE"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5BB8EDBC"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1D7D9F48"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77545BD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“Engaging in public consultations and debates can help ensure that euthanasia regulations reflect the values and interests of society”</w:t>
            </w:r>
          </w:p>
          <w:p w14:paraId="7A53C993"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“It's crucial to balance individual autonomy with societal values by involving community representatives in the regulatory process”</w:t>
            </w:r>
          </w:p>
          <w:p w14:paraId="7B690C74"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“Regularly reviewing and updating regulations based on societal feedback can ensure they remain aligned with public interests and values”</w:t>
            </w:r>
          </w:p>
        </w:tc>
        <w:tc>
          <w:tcPr>
            <w:tcW w:w="4078" w:type="dxa"/>
            <w:vAlign w:val="center"/>
          </w:tcPr>
          <w:p w14:paraId="080FA851"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Euthanasia regulations should integrate public consultation and feedback to balance individual autonomy with evolving societal values and interests.</w:t>
            </w:r>
          </w:p>
        </w:tc>
      </w:tr>
      <w:tr w:rsidR="00CE5861" w:rsidRPr="001256EA" w14:paraId="4698EF51"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60853BFB"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725B019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the legal framework for euthanasia includes public input can help align it with societal values”</w:t>
            </w:r>
          </w:p>
          <w:p w14:paraId="28591643"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“Educational campaigns can raise awareness and understanding, ensuring that society's values are considered in the regulation of euthanasia” </w:t>
            </w:r>
          </w:p>
          <w:p w14:paraId="7CB7CD7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regulations should be flexible enough to adapt to changing societal values and interests over time” </w:t>
            </w:r>
          </w:p>
        </w:tc>
        <w:tc>
          <w:tcPr>
            <w:tcW w:w="4078" w:type="dxa"/>
            <w:vAlign w:val="center"/>
          </w:tcPr>
          <w:p w14:paraId="32537414"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Public engagement and flexible legal frameworks are essential to align euthanasia regulation with societal values and evolving public awareness.</w:t>
            </w:r>
          </w:p>
        </w:tc>
      </w:tr>
      <w:tr w:rsidR="00CE5861" w:rsidRPr="001256EA" w14:paraId="6DD2E3AA"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7421DE46"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52591A3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“Involving a broad range of stakeholders in the discussion about euthanasia can help ensure that regulations reflect societal values” </w:t>
            </w:r>
          </w:p>
          <w:p w14:paraId="3F4E9FE5"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“Surveys and public opinion polls can provide insights into societal attitudes and help shape euthanasia policies accordingly” </w:t>
            </w:r>
          </w:p>
          <w:p w14:paraId="4658E2B7"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“Transparent decision-making processes are essential to ensure that the euthanasia institute aligns with societal values and interests”</w:t>
            </w:r>
          </w:p>
        </w:tc>
        <w:tc>
          <w:tcPr>
            <w:tcW w:w="4078" w:type="dxa"/>
            <w:vAlign w:val="center"/>
          </w:tcPr>
          <w:p w14:paraId="5AFE6E1B"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Broad stakeholder participation and transparent decision-making ensure euthanasia regulations reflect societal attitudes and interests.</w:t>
            </w:r>
          </w:p>
        </w:tc>
      </w:tr>
      <w:tr w:rsidR="00CE5861" w:rsidRPr="001256EA" w14:paraId="156C835B"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4E74D323"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72D4D295"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euthanasia regulations are developed through an inclusive process can help them meet societal interests and values”</w:t>
            </w:r>
          </w:p>
          <w:p w14:paraId="699F9B6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“Regularly engaging with human rights organizations can ensure that euthanasia practices respect societal values”</w:t>
            </w:r>
          </w:p>
          <w:p w14:paraId="2B19D999"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“Implementing feedback mechanisms where the public can voice their concerns and opinions on euthanasia practices is crucial”</w:t>
            </w:r>
          </w:p>
        </w:tc>
        <w:tc>
          <w:tcPr>
            <w:tcW w:w="4078" w:type="dxa"/>
            <w:vAlign w:val="center"/>
          </w:tcPr>
          <w:p w14:paraId="19BD7CE1"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Inclusive processes and feedback mechanisms are key to ensuring euthanasia regulations respect societal values and human rights perspectives.</w:t>
            </w:r>
          </w:p>
        </w:tc>
      </w:tr>
      <w:tr w:rsidR="00CE5861" w:rsidRPr="001256EA" w14:paraId="0E4E0596"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7EF7F5B3"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0999C45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“Comparative studies with other countries can help understand how euthanasia regulations can align with societal values”</w:t>
            </w:r>
          </w:p>
          <w:p w14:paraId="6B0E4898"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 “Public consultations and forums are effective ways to gauge societal values and incorporate them into euthanasia regulations”</w:t>
            </w:r>
          </w:p>
          <w:p w14:paraId="1E03ED40"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“Ensuring that societal values are integrated into the legal framework for euthanasia is essential for public acceptance and trust”</w:t>
            </w:r>
          </w:p>
        </w:tc>
        <w:tc>
          <w:tcPr>
            <w:tcW w:w="4078" w:type="dxa"/>
            <w:vAlign w:val="center"/>
          </w:tcPr>
          <w:p w14:paraId="17B177CF"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Comparative evidence and public consultations are vital to embed societal values and foster trust in euthanasia regulation.</w:t>
            </w:r>
          </w:p>
        </w:tc>
      </w:tr>
      <w:tr w:rsidR="00CE5861" w:rsidRPr="001256EA" w14:paraId="44ACC90E"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6239069C"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208" w:type="dxa"/>
          </w:tcPr>
          <w:p w14:paraId="40BF7493"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“Incorporating cultural, ethical, and religious perspectives into the euthanasia regulatory framework can ensure it meets societal values”</w:t>
            </w:r>
          </w:p>
          <w:p w14:paraId="0BE80672"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“Establishing advisory committees that include representatives from various societal groups can help align euthanasia practices with public interests”</w:t>
            </w:r>
          </w:p>
          <w:p w14:paraId="5F4BEB20"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“Continuous dialogue with society through public forums and educational initiatives can ensure that euthanasia regulations remain relevant and aligned with societal values”</w:t>
            </w:r>
          </w:p>
        </w:tc>
        <w:tc>
          <w:tcPr>
            <w:tcW w:w="4078" w:type="dxa"/>
            <w:vAlign w:val="center"/>
          </w:tcPr>
          <w:p w14:paraId="7E880ECD"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Continuous dialogue and cultural inclusivity ensure euthanasia regulations remain socially relevant and publicly supported.</w:t>
            </w:r>
          </w:p>
        </w:tc>
      </w:tr>
    </w:tbl>
    <w:p w14:paraId="7204FD51" w14:textId="60C0BE0B" w:rsidR="007874CD" w:rsidRPr="001256EA" w:rsidRDefault="007874CD" w:rsidP="00DE1673">
      <w:pPr>
        <w:spacing w:line="240" w:lineRule="auto"/>
        <w:rPr>
          <w:rFonts w:ascii="Times New Roman" w:hAnsi="Times New Roman" w:cs="Times New Roman"/>
          <w:sz w:val="24"/>
          <w:szCs w:val="24"/>
        </w:rPr>
      </w:pPr>
    </w:p>
    <w:p w14:paraId="5D478B61" w14:textId="1CBAEAD9" w:rsidR="004A7A0D" w:rsidRPr="001256EA" w:rsidRDefault="004A7A0D" w:rsidP="00DE1673">
      <w:pPr>
        <w:spacing w:line="240" w:lineRule="auto"/>
        <w:rPr>
          <w:rFonts w:ascii="Times New Roman" w:hAnsi="Times New Roman" w:cs="Times New Roman"/>
          <w:sz w:val="24"/>
          <w:szCs w:val="24"/>
        </w:rPr>
      </w:pPr>
    </w:p>
    <w:p w14:paraId="1B8A85E9" w14:textId="7D9C158A" w:rsidR="00CE5861" w:rsidRPr="001256EA" w:rsidRDefault="00CE5861" w:rsidP="00DE1673">
      <w:pPr>
        <w:spacing w:line="240" w:lineRule="auto"/>
        <w:rPr>
          <w:rFonts w:ascii="Times New Roman" w:hAnsi="Times New Roman" w:cs="Times New Roman"/>
          <w:sz w:val="24"/>
          <w:szCs w:val="24"/>
        </w:rPr>
      </w:pPr>
      <w:r w:rsidRPr="001256EA">
        <w:rPr>
          <w:rFonts w:ascii="Times New Roman" w:hAnsi="Times New Roman" w:cs="Times New Roman"/>
          <w:b/>
          <w:bCs/>
          <w:sz w:val="24"/>
          <w:szCs w:val="24"/>
        </w:rPr>
        <w:lastRenderedPageBreak/>
        <w:t xml:space="preserve">Appendix </w:t>
      </w:r>
      <w:r w:rsidR="00450870" w:rsidRPr="001256EA">
        <w:rPr>
          <w:rFonts w:ascii="Times New Roman" w:hAnsi="Times New Roman" w:cs="Times New Roman"/>
          <w:b/>
          <w:bCs/>
          <w:sz w:val="24"/>
          <w:szCs w:val="24"/>
        </w:rPr>
        <w:t>12</w:t>
      </w:r>
      <w:r w:rsidRPr="001256EA">
        <w:rPr>
          <w:rFonts w:ascii="Times New Roman" w:hAnsi="Times New Roman" w:cs="Times New Roman"/>
          <w:b/>
          <w:bCs/>
          <w:sz w:val="24"/>
          <w:szCs w:val="24"/>
        </w:rPr>
        <w:t>.</w:t>
      </w:r>
      <w:r w:rsidRPr="001256EA">
        <w:rPr>
          <w:rFonts w:ascii="Times New Roman" w:hAnsi="Times New Roman" w:cs="Times New Roman"/>
          <w:sz w:val="24"/>
          <w:szCs w:val="24"/>
        </w:rPr>
        <w:t xml:space="preserve"> Interpretative observations based on thematic findings for question 7</w:t>
      </w:r>
      <w:r w:rsidR="00450870" w:rsidRPr="001256EA">
        <w:rPr>
          <w:rFonts w:ascii="Times New Roman" w:hAnsi="Times New Roman" w:cs="Times New Roman"/>
          <w:sz w:val="24"/>
          <w:szCs w:val="24"/>
        </w:rPr>
        <w:t xml:space="preserve"> (created by the author)</w:t>
      </w:r>
    </w:p>
    <w:tbl>
      <w:tblPr>
        <w:tblStyle w:val="PlainTable22"/>
        <w:tblW w:w="15688" w:type="dxa"/>
        <w:tblInd w:w="-540" w:type="dxa"/>
        <w:tblLook w:val="04A0" w:firstRow="1" w:lastRow="0" w:firstColumn="1" w:lastColumn="0" w:noHBand="0" w:noVBand="1"/>
      </w:tblPr>
      <w:tblGrid>
        <w:gridCol w:w="1402"/>
        <w:gridCol w:w="10208"/>
        <w:gridCol w:w="4078"/>
      </w:tblGrid>
      <w:tr w:rsidR="00CE5861" w:rsidRPr="001256EA" w14:paraId="756C7B8E" w14:textId="77777777" w:rsidTr="004B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2C3FEDC6" w14:textId="77777777" w:rsidR="00CE5861" w:rsidRPr="001256EA" w:rsidRDefault="00CE5861" w:rsidP="00DE1673">
            <w:pPr>
              <w:jc w:val="center"/>
              <w:rPr>
                <w:rFonts w:ascii="Times New Roman" w:hAnsi="Times New Roman" w:cs="Times New Roman"/>
                <w:sz w:val="20"/>
                <w:szCs w:val="20"/>
              </w:rPr>
            </w:pPr>
            <w:r w:rsidRPr="001256EA">
              <w:rPr>
                <w:rFonts w:ascii="Times New Roman" w:hAnsi="Times New Roman" w:cs="Times New Roman"/>
                <w:sz w:val="20"/>
                <w:szCs w:val="20"/>
              </w:rPr>
              <w:t>Interviewers</w:t>
            </w:r>
          </w:p>
        </w:tc>
        <w:tc>
          <w:tcPr>
            <w:tcW w:w="10208" w:type="dxa"/>
          </w:tcPr>
          <w:p w14:paraId="2B918C43"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Verbatim</w:t>
            </w:r>
          </w:p>
        </w:tc>
        <w:tc>
          <w:tcPr>
            <w:tcW w:w="4078" w:type="dxa"/>
            <w:vAlign w:val="center"/>
          </w:tcPr>
          <w:p w14:paraId="09BEBD2F" w14:textId="77777777" w:rsidR="00CE5861" w:rsidRPr="001256EA" w:rsidRDefault="00CE5861" w:rsidP="00DE16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56EA">
              <w:rPr>
                <w:rFonts w:ascii="Times New Roman" w:hAnsi="Times New Roman" w:cs="Times New Roman"/>
                <w:sz w:val="20"/>
                <w:szCs w:val="20"/>
              </w:rPr>
              <w:t>Principal observation</w:t>
            </w:r>
          </w:p>
        </w:tc>
      </w:tr>
      <w:tr w:rsidR="00CE5861" w:rsidRPr="001256EA" w14:paraId="4511F5A0"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5DCCDB5D"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MOJ</w:t>
            </w:r>
          </w:p>
        </w:tc>
        <w:tc>
          <w:tcPr>
            <w:tcW w:w="10208" w:type="dxa"/>
          </w:tcPr>
          <w:p w14:paraId="17086477"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“There should be stringent legal penalties for anyone involved in illegal activities or abuse within the euthanasia institute to serve as a deterrent”</w:t>
            </w:r>
          </w:p>
          <w:p w14:paraId="3802EF5D"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“Clear accountability mechanisms must be established, including criminal charges for severe breaches of the law”</w:t>
            </w:r>
          </w:p>
          <w:p w14:paraId="63A59D3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“A dedicated regulatory body should oversee investigations and enforcement to ensure that abuses are swiftly and effectively addressed”</w:t>
            </w:r>
          </w:p>
        </w:tc>
        <w:tc>
          <w:tcPr>
            <w:tcW w:w="4078" w:type="dxa"/>
            <w:vAlign w:val="center"/>
          </w:tcPr>
          <w:p w14:paraId="638D76C3"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Strong legal penalties and dedicated oversight mechanisms are needed to deter abuse and ensure swift accountability in euthanasia practices.</w:t>
            </w:r>
          </w:p>
        </w:tc>
      </w:tr>
      <w:tr w:rsidR="00CE5861" w:rsidRPr="001256EA" w14:paraId="6BE0736E"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5D08CC59"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MOH</w:t>
            </w:r>
          </w:p>
        </w:tc>
        <w:tc>
          <w:tcPr>
            <w:tcW w:w="10208" w:type="dxa"/>
          </w:tcPr>
          <w:p w14:paraId="3594484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“Healthcare professionals found guilty of illegal activities or abuse should face strict disciplinary actions, including loss of medical license”</w:t>
            </w:r>
          </w:p>
          <w:p w14:paraId="14A58C62"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frameworks should mandate severe penalties, including imprisonment, for those who exploit the euthanasia system for illegal purposes”</w:t>
            </w:r>
          </w:p>
          <w:p w14:paraId="2E07551C"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“Regular audits and transparent reporting systems can help detect and prevent abuses, ensuring those responsible are held accountable”</w:t>
            </w:r>
          </w:p>
        </w:tc>
        <w:tc>
          <w:tcPr>
            <w:tcW w:w="4078" w:type="dxa"/>
            <w:vAlign w:val="center"/>
          </w:tcPr>
          <w:p w14:paraId="6A58CDEA"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Disciplinary sanctions, severe legal penalties, and transparent audits are essential to detect and punish illegal activities in euthanasia systems.</w:t>
            </w:r>
          </w:p>
        </w:tc>
      </w:tr>
      <w:tr w:rsidR="00CE5861" w:rsidRPr="001256EA" w14:paraId="5FB7E74D"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1CB9329B"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LHRI</w:t>
            </w:r>
          </w:p>
        </w:tc>
        <w:tc>
          <w:tcPr>
            <w:tcW w:w="10208" w:type="dxa"/>
          </w:tcPr>
          <w:p w14:paraId="07D730AA"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“Ethical breaches or illegal activities in euthanasia should result in both legal and professional consequences to maintain public trust”</w:t>
            </w:r>
          </w:p>
          <w:p w14:paraId="6572A0C1"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“Comprehensive laws should be in place to define and penalize illegal activities, ensuring that justice is served”</w:t>
            </w:r>
          </w:p>
          <w:p w14:paraId="798DF263"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“Public awareness and clear reporting mechanisms can help identify abuses early and ensure responsible parties are prosecuted »can help identify abuses early and ensure responsible parties are prosecuted”</w:t>
            </w:r>
          </w:p>
        </w:tc>
        <w:tc>
          <w:tcPr>
            <w:tcW w:w="4078" w:type="dxa"/>
            <w:vAlign w:val="center"/>
          </w:tcPr>
          <w:p w14:paraId="5598BDD8"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Legal and professional sanctions, supported by public reporting mechanisms, are vital for detecting and prosecuting abuses to maintain public trust.</w:t>
            </w:r>
          </w:p>
        </w:tc>
      </w:tr>
      <w:tr w:rsidR="00CE5861" w:rsidRPr="001256EA" w14:paraId="645F4551"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2D315B07"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LNHRI</w:t>
            </w:r>
          </w:p>
        </w:tc>
        <w:tc>
          <w:tcPr>
            <w:tcW w:w="10208" w:type="dxa"/>
          </w:tcPr>
          <w:p w14:paraId="597DDE2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“Violations of euthanasia regulations must be met with strict legal actions to protect human rights and maintain ethical standards”</w:t>
            </w:r>
          </w:p>
          <w:p w14:paraId="4CC06A5D"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“There should be a zero-tolerance policy towards abuse, with legal repercussions that reflect the severity of the offense”</w:t>
            </w:r>
          </w:p>
          <w:p w14:paraId="0CBD56B8"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“Independent oversight bodies should be empowered to investigate and act on reports of abuse within the euthanasia institute”</w:t>
            </w:r>
          </w:p>
        </w:tc>
        <w:tc>
          <w:tcPr>
            <w:tcW w:w="4078" w:type="dxa"/>
            <w:vAlign w:val="center"/>
          </w:tcPr>
          <w:p w14:paraId="56B477A8" w14:textId="77777777" w:rsidR="00CE5861" w:rsidRPr="001256EA"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Zero-tolerance enforcement and independent oversight are critical to address abuses and protect ethical and human rights standards.</w:t>
            </w:r>
          </w:p>
        </w:tc>
      </w:tr>
      <w:tr w:rsidR="00CE5861" w:rsidRPr="001256EA" w14:paraId="693B2E20" w14:textId="77777777" w:rsidTr="004B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35F313BC"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FRA</w:t>
            </w:r>
          </w:p>
        </w:tc>
        <w:tc>
          <w:tcPr>
            <w:tcW w:w="10208" w:type="dxa"/>
          </w:tcPr>
          <w:p w14:paraId="4948EEEF"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“Illegal activities or abuse within the euthanasia institute should lead to severe penalties, including imprisonment and fines”</w:t>
            </w:r>
          </w:p>
          <w:p w14:paraId="0E032649"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“International cooperation may be necessary to address cross-border issues related to euthanasia abuse”</w:t>
            </w:r>
          </w:p>
          <w:p w14:paraId="29E081BB" w14:textId="77777777" w:rsidR="00CE5861" w:rsidRPr="001256EA" w:rsidRDefault="00CE5861" w:rsidP="00DE1673">
            <w:pPr>
              <w:numPr>
                <w:ilvl w:val="0"/>
                <w:numId w:val="20"/>
              </w:numPr>
              <w:ind w:left="195"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“Legal frameworks should ensure that all instances of abuse are thoroughly investigated and prosecuted to uphold justice” </w:t>
            </w:r>
          </w:p>
        </w:tc>
        <w:tc>
          <w:tcPr>
            <w:tcW w:w="4078" w:type="dxa"/>
            <w:vAlign w:val="center"/>
          </w:tcPr>
          <w:p w14:paraId="24DDBA27" w14:textId="77777777" w:rsidR="00CE5861" w:rsidRPr="001256EA" w:rsidRDefault="00CE5861" w:rsidP="00DE16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Severe penalties, cross-border cooperation, and thorough investigations ensure justice and deter abuse in euthanasia regulation.</w:t>
            </w:r>
          </w:p>
        </w:tc>
      </w:tr>
      <w:tr w:rsidR="00CE5861" w:rsidRPr="006E12F1" w14:paraId="233D1F57" w14:textId="77777777" w:rsidTr="004B5AD9">
        <w:tc>
          <w:tcPr>
            <w:cnfStyle w:val="001000000000" w:firstRow="0" w:lastRow="0" w:firstColumn="1" w:lastColumn="0" w:oddVBand="0" w:evenVBand="0" w:oddHBand="0" w:evenHBand="0" w:firstRowFirstColumn="0" w:firstRowLastColumn="0" w:lastRowFirstColumn="0" w:lastRowLastColumn="0"/>
            <w:tcW w:w="1402" w:type="dxa"/>
            <w:vAlign w:val="center"/>
          </w:tcPr>
          <w:p w14:paraId="1E65782A" w14:textId="77777777" w:rsidR="00CE5861" w:rsidRPr="001256EA" w:rsidRDefault="00CE5861" w:rsidP="00DE1673">
            <w:pPr>
              <w:jc w:val="center"/>
              <w:rPr>
                <w:rFonts w:ascii="Times New Roman" w:hAnsi="Times New Roman" w:cs="Times New Roman"/>
                <w:sz w:val="20"/>
                <w:szCs w:val="20"/>
              </w:rPr>
            </w:pPr>
            <w:r w:rsidRPr="001256EA">
              <w:rPr>
                <w:rFonts w:ascii="Times New Roman" w:eastAsia="Times New Roman" w:hAnsi="Times New Roman" w:cs="Times New Roman"/>
                <w:sz w:val="20"/>
                <w:szCs w:val="20"/>
                <w:lang w:eastAsia="fr-FR"/>
              </w:rPr>
              <w:t>ICHHR</w:t>
            </w:r>
          </w:p>
        </w:tc>
        <w:tc>
          <w:tcPr>
            <w:tcW w:w="10208" w:type="dxa"/>
          </w:tcPr>
          <w:p w14:paraId="35BFA45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“Strict regulatory and legal frameworks should be established to hold individuals accountable for any form of abuse within the euthanasia system”</w:t>
            </w:r>
          </w:p>
          <w:p w14:paraId="1411A46F"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“Transparency in handling cases of abuse is essential to maintain public trust and ensure justice is served”</w:t>
            </w:r>
          </w:p>
          <w:p w14:paraId="03DDFA97" w14:textId="77777777" w:rsidR="00CE5861" w:rsidRPr="001256EA" w:rsidRDefault="00CE5861" w:rsidP="00DE1673">
            <w:pPr>
              <w:numPr>
                <w:ilvl w:val="0"/>
                <w:numId w:val="20"/>
              </w:numPr>
              <w:ind w:left="195"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56EA">
              <w:rPr>
                <w:rFonts w:ascii="Times New Roman" w:hAnsi="Times New Roman" w:cs="Times New Roman"/>
                <w:i/>
                <w:iCs/>
                <w:sz w:val="20"/>
                <w:szCs w:val="20"/>
              </w:rPr>
              <w:t>“Ethical and legal violations must be met with appropriate legal consequences to protect the integrity of the euthanasia institute”</w:t>
            </w:r>
          </w:p>
        </w:tc>
        <w:tc>
          <w:tcPr>
            <w:tcW w:w="4078" w:type="dxa"/>
            <w:vAlign w:val="center"/>
          </w:tcPr>
          <w:p w14:paraId="75E3122C" w14:textId="77777777" w:rsidR="00CE5861" w:rsidRPr="006E12F1" w:rsidRDefault="00CE5861" w:rsidP="00DE16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256EA">
              <w:rPr>
                <w:rFonts w:ascii="Times New Roman" w:hAnsi="Times New Roman" w:cs="Times New Roman"/>
                <w:b/>
                <w:bCs/>
                <w:sz w:val="20"/>
                <w:szCs w:val="20"/>
              </w:rPr>
              <w:t>Transparent enforcement and strict legal accountability are necessary to safeguard the integrity and public trust of euthanasia frameworks.</w:t>
            </w:r>
          </w:p>
        </w:tc>
      </w:tr>
    </w:tbl>
    <w:p w14:paraId="3F51CADE" w14:textId="1670C528" w:rsidR="00D655D3" w:rsidRPr="006E12F1" w:rsidRDefault="00D655D3" w:rsidP="007874CD">
      <w:pPr>
        <w:tabs>
          <w:tab w:val="left" w:pos="1418"/>
        </w:tabs>
        <w:rPr>
          <w:rFonts w:ascii="Times New Roman" w:hAnsi="Times New Roman" w:cs="Times New Roman"/>
        </w:rPr>
      </w:pPr>
    </w:p>
    <w:sectPr w:rsidR="00D655D3" w:rsidRPr="006E12F1" w:rsidSect="004A7A0D">
      <w:pgSz w:w="16838" w:h="11906" w:orient="landscape"/>
      <w:pgMar w:top="1260" w:right="1417" w:bottom="1350" w:left="1417" w:header="720" w:footer="720" w:gutter="0"/>
      <w:pgNumType w:start="17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A35F7" w14:textId="77777777" w:rsidR="004B385A" w:rsidRDefault="004B385A" w:rsidP="006F0829">
      <w:pPr>
        <w:spacing w:after="0" w:line="240" w:lineRule="auto"/>
      </w:pPr>
      <w:r>
        <w:separator/>
      </w:r>
    </w:p>
  </w:endnote>
  <w:endnote w:type="continuationSeparator" w:id="0">
    <w:p w14:paraId="6874DB18" w14:textId="77777777" w:rsidR="004B385A" w:rsidRDefault="004B385A" w:rsidP="006F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505878"/>
      <w:docPartObj>
        <w:docPartGallery w:val="Page Numbers (Bottom of Page)"/>
        <w:docPartUnique/>
      </w:docPartObj>
    </w:sdtPr>
    <w:sdtEndPr>
      <w:rPr>
        <w:noProof/>
      </w:rPr>
    </w:sdtEndPr>
    <w:sdtContent>
      <w:p w14:paraId="4B2DBCC6" w14:textId="38069D12" w:rsidR="004646AE" w:rsidRDefault="004646AE" w:rsidP="00464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CA6EFA" w14:textId="77777777" w:rsidR="00293B92" w:rsidRDefault="00293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B76AB" w14:textId="77777777" w:rsidR="004B385A" w:rsidRDefault="004B385A" w:rsidP="006F0829">
      <w:pPr>
        <w:spacing w:after="0" w:line="240" w:lineRule="auto"/>
      </w:pPr>
      <w:r>
        <w:separator/>
      </w:r>
    </w:p>
  </w:footnote>
  <w:footnote w:type="continuationSeparator" w:id="0">
    <w:p w14:paraId="65985139" w14:textId="77777777" w:rsidR="004B385A" w:rsidRDefault="004B385A" w:rsidP="006F0829">
      <w:pPr>
        <w:spacing w:after="0" w:line="240" w:lineRule="auto"/>
      </w:pPr>
      <w:r>
        <w:continuationSeparator/>
      </w:r>
    </w:p>
  </w:footnote>
  <w:footnote w:id="1">
    <w:p w14:paraId="1D0ED2E0" w14:textId="1E077271" w:rsidR="005C4B01" w:rsidRPr="00EA5C5B" w:rsidRDefault="005C4B01" w:rsidP="0008753C">
      <w:pPr>
        <w:pStyle w:val="FootnoteText"/>
        <w:jc w:val="both"/>
      </w:pPr>
      <w:r>
        <w:rPr>
          <w:rStyle w:val="FootnoteReference"/>
        </w:rPr>
        <w:footnoteRef/>
      </w:r>
      <w:r w:rsidRPr="009C53F4">
        <w:rPr>
          <w:lang w:val="en-US"/>
        </w:rPr>
        <w:t xml:space="preserve"> Schüklenk, U. (2024). Rethinking assisted dying. Social Philosophy and Policy, 41(2), 327–349. </w:t>
      </w:r>
      <w:hyperlink r:id="rId1" w:history="1">
        <w:r w:rsidRPr="00EA5C5B">
          <w:rPr>
            <w:rStyle w:val="Hyperlink"/>
          </w:rPr>
          <w:t>https://www.cambridge.org/core/journals/social-philosophy-and-policy/article/rethinking-assisted-dying/69362519137C62FDD637E5FDAA49FEF4</w:t>
        </w:r>
      </w:hyperlink>
    </w:p>
  </w:footnote>
  <w:footnote w:id="2">
    <w:p w14:paraId="5CBC8A94" w14:textId="1EBE1419" w:rsidR="005C4B01" w:rsidRPr="004646AE" w:rsidRDefault="005C4B01" w:rsidP="0008753C">
      <w:pPr>
        <w:pStyle w:val="FootnoteText"/>
        <w:jc w:val="both"/>
        <w:rPr>
          <w:lang w:val="pl-PL"/>
        </w:rPr>
      </w:pPr>
      <w:r>
        <w:rPr>
          <w:rStyle w:val="FootnoteReference"/>
        </w:rPr>
        <w:footnoteRef/>
      </w:r>
      <w:r w:rsidRPr="004646AE">
        <w:rPr>
          <w:lang w:val="pl-PL"/>
        </w:rPr>
        <w:t xml:space="preserve">  Michalkiewicz-Kadziela, E., &amp; Simic, G. (2023). </w:t>
      </w:r>
      <w:r w:rsidRPr="009C53F4">
        <w:rPr>
          <w:lang w:val="en-US"/>
        </w:rPr>
        <w:t xml:space="preserve">The right to dignified death: A comparative legal discussion of euthanasia and assisted termination of life. </w:t>
      </w:r>
      <w:r w:rsidRPr="004646AE">
        <w:rPr>
          <w:lang w:val="pl-PL"/>
        </w:rPr>
        <w:t xml:space="preserve">Bialostockie Studia Prawnicze, 28, 181. </w:t>
      </w:r>
      <w:hyperlink r:id="rId2" w:history="1">
        <w:r w:rsidRPr="004646AE">
          <w:rPr>
            <w:rStyle w:val="Hyperlink"/>
            <w:lang w:val="pl-PL"/>
          </w:rPr>
          <w:t>https://heinonline.org/hol-cgi-bin/get_pdf.cgi?handle=hein.journals/bialspw28&amp;section=44</w:t>
        </w:r>
      </w:hyperlink>
    </w:p>
  </w:footnote>
  <w:footnote w:id="3">
    <w:p w14:paraId="481D3A3D" w14:textId="7D15BBA6" w:rsidR="005C4B01" w:rsidRPr="009C53F4" w:rsidRDefault="005C4B01" w:rsidP="0008753C">
      <w:pPr>
        <w:pStyle w:val="FootnoteText"/>
        <w:jc w:val="both"/>
        <w:rPr>
          <w:lang w:val="en-US"/>
        </w:rPr>
      </w:pPr>
      <w:r>
        <w:rPr>
          <w:rStyle w:val="FootnoteReference"/>
        </w:rPr>
        <w:footnoteRef/>
      </w:r>
      <w:r w:rsidRPr="004646AE">
        <w:rPr>
          <w:lang w:val="pl-PL"/>
        </w:rPr>
        <w:t xml:space="preserve"> Chekhovska, I. V., Balynska, O. M., Blahuta, R. I., Sereda, V. V., &amp; Mosondz, S. O. (2019). </w:t>
      </w:r>
      <w:r w:rsidRPr="009C53F4">
        <w:rPr>
          <w:lang w:val="en-US"/>
        </w:rPr>
        <w:t xml:space="preserve">Euthanasia or palliative care: Legal principles of the implementation in the context of the realization of human rights to life. </w:t>
      </w:r>
      <w:r w:rsidRPr="00DE73E3">
        <w:rPr>
          <w:lang w:val="sv-SE"/>
        </w:rPr>
        <w:t xml:space="preserve">Wiad Lek, 72(4), 677–681. </w:t>
      </w:r>
      <w:hyperlink r:id="rId3" w:anchor="page=171" w:history="1">
        <w:r w:rsidRPr="00DE73E3">
          <w:rPr>
            <w:rStyle w:val="Hyperlink"/>
            <w:lang w:val="sv-SE"/>
          </w:rPr>
          <w:t>https://www.academia.edu/download/87065460/wlek201904136.pdf#page=171</w:t>
        </w:r>
      </w:hyperlink>
      <w:r w:rsidRPr="00DE73E3">
        <w:rPr>
          <w:lang w:val="sv-SE"/>
        </w:rPr>
        <w:t xml:space="preserve">;  de Oliveira, C. T. (2022). </w:t>
      </w:r>
      <w:r w:rsidRPr="009C53F4">
        <w:rPr>
          <w:lang w:val="en-US"/>
        </w:rPr>
        <w:t xml:space="preserve">Bioethics and human rights in international law: Genetic engineering, euthanasia and/or physician assisted suicide. </w:t>
      </w:r>
      <w:hyperlink r:id="rId4" w:history="1">
        <w:r w:rsidRPr="00111517">
          <w:rPr>
            <w:rStyle w:val="Hyperlink"/>
            <w:lang w:val="en-US"/>
          </w:rPr>
          <w:t>https://open.uct.ac.za/handle/11427/37406</w:t>
        </w:r>
      </w:hyperlink>
    </w:p>
  </w:footnote>
  <w:footnote w:id="4">
    <w:p w14:paraId="24501446" w14:textId="4A6191EC" w:rsidR="005C4B01" w:rsidRPr="00A04232" w:rsidRDefault="005C4B01" w:rsidP="0008753C">
      <w:pPr>
        <w:pStyle w:val="FootnoteText"/>
        <w:jc w:val="both"/>
        <w:rPr>
          <w:lang w:val="en-US"/>
        </w:rPr>
      </w:pPr>
      <w:r>
        <w:rPr>
          <w:rStyle w:val="FootnoteReference"/>
        </w:rPr>
        <w:footnoteRef/>
      </w:r>
      <w:r w:rsidR="001277AC">
        <w:rPr>
          <w:lang w:val="en-US"/>
        </w:rPr>
        <w:t xml:space="preserve"> </w:t>
      </w:r>
      <w:r w:rsidRPr="00E154F8">
        <w:rPr>
          <w:lang w:val="en-US"/>
        </w:rPr>
        <w:t>Morrison, E. E. (2009). Health care ethics: Critical issues for the 21st century. Jones &amp; Bartlett Learning.</w:t>
      </w:r>
    </w:p>
  </w:footnote>
  <w:footnote w:id="5">
    <w:p w14:paraId="52BE02D3" w14:textId="65621DE3" w:rsidR="003E08D6" w:rsidRPr="003E08D6" w:rsidRDefault="003E08D6">
      <w:pPr>
        <w:pStyle w:val="FootnoteText"/>
        <w:rPr>
          <w:lang w:val="lt-LT"/>
        </w:rPr>
      </w:pPr>
      <w:r>
        <w:rPr>
          <w:rStyle w:val="FootnoteReference"/>
        </w:rPr>
        <w:footnoteRef/>
      </w:r>
      <w:r w:rsidRPr="00851E2A">
        <w:rPr>
          <w:lang w:val="en-GB"/>
        </w:rPr>
        <w:t xml:space="preserve"> </w:t>
      </w:r>
      <w:r w:rsidRPr="00A27EAE">
        <w:rPr>
          <w:lang w:val="en-US"/>
        </w:rPr>
        <w:t xml:space="preserve">Criminal Code of the Republic of Lithuania, Valstybės žinios, 2000, Nr. 89-2741. Retrieved 08.22.2025, From: </w:t>
      </w:r>
      <w:hyperlink r:id="rId5" w:history="1">
        <w:r w:rsidRPr="00A27EAE">
          <w:rPr>
            <w:rStyle w:val="Hyperlink"/>
            <w:lang w:val="en-US"/>
          </w:rPr>
          <w:t>https://www.e-tar.lt/portal/lt/legalAct/TAR.2B866DFF7D43/asr</w:t>
        </w:r>
      </w:hyperlink>
      <w:r w:rsidRPr="00851E2A">
        <w:rPr>
          <w:lang w:val="en-GB"/>
        </w:rPr>
        <w:t xml:space="preserve">, </w:t>
      </w:r>
    </w:p>
  </w:footnote>
  <w:footnote w:id="6">
    <w:p w14:paraId="20AC2ABB" w14:textId="1500EFAE" w:rsidR="003E08D6" w:rsidRPr="003E08D6" w:rsidRDefault="003E08D6">
      <w:pPr>
        <w:pStyle w:val="FootnoteText"/>
        <w:rPr>
          <w:lang w:val="lt-LT"/>
        </w:rPr>
      </w:pPr>
      <w:r>
        <w:rPr>
          <w:rStyle w:val="FootnoteReference"/>
        </w:rPr>
        <w:footnoteRef/>
      </w:r>
      <w:r w:rsidRPr="00851E2A">
        <w:rPr>
          <w:lang w:val="en-GB"/>
        </w:rPr>
        <w:t xml:space="preserve"> </w:t>
      </w:r>
      <w:r w:rsidRPr="001277AC">
        <w:rPr>
          <w:lang w:val="en-US"/>
        </w:rPr>
        <w:t xml:space="preserve">Bachmetjev, B., Airapetian, A., &amp; Zablockis, R. (2024, March). Attitude of the Lithuanian public toward medical assistance in dying: A cross-sectional study. In </w:t>
      </w:r>
      <w:r w:rsidRPr="001277AC">
        <w:rPr>
          <w:i/>
          <w:iCs/>
          <w:lang w:val="en-US"/>
        </w:rPr>
        <w:t>Healthcare</w:t>
      </w:r>
      <w:r w:rsidRPr="001277AC">
        <w:rPr>
          <w:lang w:val="en-US"/>
        </w:rPr>
        <w:t xml:space="preserve"> (Vol. 12, No. 6, p. 626). MDPI.</w:t>
      </w:r>
      <w:r w:rsidRPr="001277AC">
        <w:rPr>
          <w:rFonts w:asciiTheme="minorHAnsi" w:eastAsiaTheme="minorHAnsi" w:hAnsiTheme="minorHAnsi" w:cstheme="minorBidi"/>
          <w:sz w:val="22"/>
          <w:szCs w:val="22"/>
          <w:lang w:val="en-US" w:eastAsia="en-US"/>
        </w:rPr>
        <w:t xml:space="preserve"> </w:t>
      </w:r>
      <w:hyperlink r:id="rId6" w:history="1">
        <w:r w:rsidRPr="001277AC">
          <w:rPr>
            <w:rStyle w:val="Hyperlink"/>
            <w:u w:val="none"/>
            <w:lang w:val="en-US"/>
          </w:rPr>
          <w:t>https://doi.org/10.3390/healthcare12060626</w:t>
        </w:r>
      </w:hyperlink>
    </w:p>
  </w:footnote>
  <w:footnote w:id="7">
    <w:p w14:paraId="722EB0A4" w14:textId="2FDCB74D" w:rsidR="005C4B01" w:rsidRPr="00623E3C" w:rsidRDefault="005C4B01" w:rsidP="0008753C">
      <w:pPr>
        <w:pStyle w:val="FootnoteText"/>
        <w:jc w:val="both"/>
        <w:rPr>
          <w:lang w:val="en-US"/>
        </w:rPr>
      </w:pPr>
      <w:r>
        <w:rPr>
          <w:rStyle w:val="FootnoteReference"/>
        </w:rPr>
        <w:footnoteRef/>
      </w:r>
      <w:r w:rsidR="001277AC">
        <w:rPr>
          <w:lang w:val="en-US"/>
        </w:rPr>
        <w:t xml:space="preserve"> </w:t>
      </w:r>
      <w:r w:rsidRPr="00623E3C">
        <w:rPr>
          <w:lang w:val="en-US"/>
        </w:rPr>
        <w:t xml:space="preserve">Cholbi, M., &amp; Varelius, J. (Eds.). (2023). New Directions in the Ethics of Assisted Suicide and Euthanasia (Vol. 103). Springer International Publishing. </w:t>
      </w:r>
      <w:hyperlink r:id="rId7" w:history="1">
        <w:r w:rsidRPr="00111517">
          <w:rPr>
            <w:rStyle w:val="Hyperlink"/>
            <w:lang w:val="en-US"/>
          </w:rPr>
          <w:t>https://doi.org/10.1007/978-3-031-25315-7</w:t>
        </w:r>
      </w:hyperlink>
    </w:p>
  </w:footnote>
  <w:footnote w:id="8">
    <w:p w14:paraId="14A941A7" w14:textId="0F5D21D3" w:rsidR="009B0179" w:rsidRPr="001277AC" w:rsidRDefault="009B0179">
      <w:pPr>
        <w:pStyle w:val="FootnoteText"/>
        <w:rPr>
          <w:lang w:val="lt-LT"/>
        </w:rPr>
      </w:pPr>
      <w:r w:rsidRPr="001277AC">
        <w:rPr>
          <w:rStyle w:val="FootnoteReference"/>
        </w:rPr>
        <w:footnoteRef/>
      </w:r>
      <w:r w:rsidRPr="001277AC">
        <w:rPr>
          <w:lang w:val="en-GB"/>
        </w:rPr>
        <w:t xml:space="preserve"> </w:t>
      </w:r>
      <w:r w:rsidR="001277AC" w:rsidRPr="001277AC">
        <w:rPr>
          <w:lang w:val="en-US"/>
        </w:rPr>
        <w:t xml:space="preserve">Cholbi, M., &amp; Varelius, J. (Eds.). (2023). New Directions in the Ethics of Assisted Suicide and Euthanasia (Vol. 103). Springer International Publishing. </w:t>
      </w:r>
      <w:hyperlink r:id="rId8" w:history="1">
        <w:r w:rsidR="001277AC" w:rsidRPr="001277AC">
          <w:rPr>
            <w:rStyle w:val="Hyperlink"/>
            <w:lang w:val="en-US"/>
          </w:rPr>
          <w:t>https://doi.org/10.1007/978-3-031-25315-7</w:t>
        </w:r>
      </w:hyperlink>
    </w:p>
  </w:footnote>
  <w:footnote w:id="9">
    <w:p w14:paraId="043B6729" w14:textId="72A9CC42" w:rsidR="005C4B01" w:rsidRPr="007840EB" w:rsidRDefault="005C4B01" w:rsidP="0008753C">
      <w:pPr>
        <w:pStyle w:val="FootnoteText"/>
        <w:jc w:val="both"/>
        <w:rPr>
          <w:lang w:val="en-US"/>
        </w:rPr>
      </w:pPr>
      <w:r>
        <w:rPr>
          <w:rStyle w:val="FootnoteReference"/>
        </w:rPr>
        <w:footnoteRef/>
      </w:r>
      <w:r w:rsidRPr="007840EB">
        <w:rPr>
          <w:lang w:val="en-US"/>
        </w:rPr>
        <w:t xml:space="preserve"> Cohen-Almagor, R. (2008). Euthanasia policy and practice in Belgium: Critical observations and suggestions for improvement. Issues L. &amp; Med., 24, 187. </w:t>
      </w:r>
      <w:hyperlink r:id="rId9" w:history="1">
        <w:r w:rsidRPr="00111517">
          <w:rPr>
            <w:rStyle w:val="Hyperlink"/>
            <w:lang w:val="en-US"/>
          </w:rPr>
          <w:t>https://heinonline.org/hol-cgi-bin/get_pdf.cgi?handle=hein.journals/ilmed24&amp;section=20</w:t>
        </w:r>
      </w:hyperlink>
    </w:p>
  </w:footnote>
  <w:footnote w:id="10">
    <w:p w14:paraId="75F152CD" w14:textId="24C91FD1" w:rsidR="005C4B01" w:rsidRPr="00AC4B28" w:rsidRDefault="005C4B01" w:rsidP="0008753C">
      <w:pPr>
        <w:pStyle w:val="FootnoteText"/>
        <w:jc w:val="both"/>
        <w:rPr>
          <w:lang w:val="en-US"/>
        </w:rPr>
      </w:pPr>
      <w:r>
        <w:rPr>
          <w:rStyle w:val="FootnoteReference"/>
        </w:rPr>
        <w:footnoteRef/>
      </w:r>
      <w:r w:rsidRPr="00ED3976">
        <w:rPr>
          <w:lang w:val="en-GB"/>
        </w:rPr>
        <w:t xml:space="preserve"> Fontalis, A., Prousali, E., &amp; Kulkarni, K. (2018). </w:t>
      </w:r>
      <w:r w:rsidRPr="00AC4B28">
        <w:rPr>
          <w:lang w:val="en-US"/>
        </w:rPr>
        <w:t xml:space="preserve">Euthanasia and assisted dying: What is the current position and what are the key arguments informing the debate? Journal of the Royal Society of Medicine, 111(11), 407–413. </w:t>
      </w:r>
      <w:hyperlink r:id="rId10" w:history="1">
        <w:r w:rsidRPr="00111517">
          <w:rPr>
            <w:rStyle w:val="Hyperlink"/>
            <w:lang w:val="en-US"/>
          </w:rPr>
          <w:t>https://doi.org/10.1177/0141076818803452</w:t>
        </w:r>
      </w:hyperlink>
    </w:p>
  </w:footnote>
  <w:footnote w:id="11">
    <w:p w14:paraId="46028A8B" w14:textId="03CC5043" w:rsidR="005C4B01" w:rsidRPr="00A04232" w:rsidRDefault="005C4B01" w:rsidP="0008753C">
      <w:pPr>
        <w:pStyle w:val="FootnoteText"/>
        <w:jc w:val="both"/>
        <w:rPr>
          <w:lang w:val="en-US"/>
        </w:rPr>
      </w:pPr>
      <w:r>
        <w:rPr>
          <w:rStyle w:val="FootnoteReference"/>
        </w:rPr>
        <w:footnoteRef/>
      </w:r>
      <w:r w:rsidRPr="00AC4B28">
        <w:rPr>
          <w:lang w:val="en-US"/>
        </w:rPr>
        <w:t xml:space="preserve"> McLachlan, H. V. (2008). The ethics of killing and letting die: Active and passive euthanasia. </w:t>
      </w:r>
      <w:r w:rsidRPr="00A04232">
        <w:rPr>
          <w:lang w:val="en-US"/>
        </w:rPr>
        <w:t xml:space="preserve">Journal of Medical Ethics, 34(8), 636–638. </w:t>
      </w:r>
      <w:hyperlink r:id="rId11" w:history="1">
        <w:r w:rsidRPr="00A04232">
          <w:rPr>
            <w:rStyle w:val="Hyperlink"/>
            <w:lang w:val="en-US"/>
          </w:rPr>
          <w:t>https://jme.bmj.com/content/34/8/636.short</w:t>
        </w:r>
      </w:hyperlink>
    </w:p>
  </w:footnote>
  <w:footnote w:id="12">
    <w:p w14:paraId="5534D645" w14:textId="37387C59" w:rsidR="005C4B01" w:rsidRPr="004646AE" w:rsidRDefault="005C4B01" w:rsidP="002732ED">
      <w:pPr>
        <w:pStyle w:val="FootnoteText"/>
        <w:jc w:val="both"/>
        <w:rPr>
          <w:lang w:val="de-DE"/>
        </w:rPr>
      </w:pPr>
      <w:r>
        <w:rPr>
          <w:rStyle w:val="FootnoteReference"/>
        </w:rPr>
        <w:footnoteRef/>
      </w:r>
      <w:r w:rsidR="00113846">
        <w:rPr>
          <w:lang w:val="en-US"/>
        </w:rPr>
        <w:t xml:space="preserve"> </w:t>
      </w:r>
      <w:r w:rsidRPr="00A4329B">
        <w:rPr>
          <w:lang w:val="en-US"/>
        </w:rPr>
        <w:t xml:space="preserve">Przybylak-Brouillard, A. (2016). The Meaning of Suffering: Shaping Conceptualizations of Assisted-Death [PhD Thesis, Université d’Ottawa/University of Ottawa]. </w:t>
      </w:r>
      <w:hyperlink r:id="rId12" w:history="1">
        <w:r w:rsidRPr="004646AE">
          <w:rPr>
            <w:rStyle w:val="Hyperlink"/>
            <w:lang w:val="de-DE"/>
          </w:rPr>
          <w:t>https://ruor.uottawa.ca/items/c60b954e-3317-4a6a-a41d-d2d1c06f9ccd</w:t>
        </w:r>
      </w:hyperlink>
    </w:p>
  </w:footnote>
  <w:footnote w:id="13">
    <w:p w14:paraId="670CEEAE" w14:textId="2AF29485" w:rsidR="005C4B01" w:rsidRPr="00A4329B" w:rsidRDefault="005C4B01" w:rsidP="002732ED">
      <w:pPr>
        <w:pStyle w:val="FootnoteText"/>
        <w:jc w:val="both"/>
        <w:rPr>
          <w:lang w:val="en-US"/>
        </w:rPr>
      </w:pPr>
      <w:r>
        <w:rPr>
          <w:rStyle w:val="FootnoteReference"/>
        </w:rPr>
        <w:footnoteRef/>
      </w:r>
      <w:r w:rsidR="00113846">
        <w:rPr>
          <w:lang w:val="de-DE"/>
        </w:rPr>
        <w:t xml:space="preserve"> </w:t>
      </w:r>
      <w:r w:rsidRPr="004646AE">
        <w:rPr>
          <w:lang w:val="de-DE"/>
        </w:rPr>
        <w:t xml:space="preserve">Gruman, G. J. (1979). </w:t>
      </w:r>
      <w:r w:rsidRPr="00A4329B">
        <w:rPr>
          <w:lang w:val="en-US"/>
        </w:rPr>
        <w:t xml:space="preserve">Ethics of Death and Dying: Historical Perspective. OMEGA - Journal of Death and Dying, 9(3), 203–237. </w:t>
      </w:r>
      <w:hyperlink r:id="rId13" w:history="1">
        <w:r w:rsidRPr="00111517">
          <w:rPr>
            <w:rStyle w:val="Hyperlink"/>
            <w:lang w:val="en-US"/>
          </w:rPr>
          <w:t>https://doi.org/10.2190/1HPQ-G1GQ-TWVB-BWW5</w:t>
        </w:r>
      </w:hyperlink>
    </w:p>
  </w:footnote>
  <w:footnote w:id="14">
    <w:p w14:paraId="762D6C57" w14:textId="69F551A5" w:rsidR="005C4B01" w:rsidRPr="00DE73E3" w:rsidRDefault="005C4B01" w:rsidP="002732ED">
      <w:pPr>
        <w:pStyle w:val="FootnoteText"/>
        <w:jc w:val="both"/>
        <w:rPr>
          <w:lang w:val="es-ES"/>
        </w:rPr>
      </w:pPr>
      <w:r>
        <w:rPr>
          <w:rStyle w:val="FootnoteReference"/>
        </w:rPr>
        <w:footnoteRef/>
      </w:r>
      <w:r w:rsidRPr="001F3BBF">
        <w:rPr>
          <w:lang w:val="en-US"/>
        </w:rPr>
        <w:t xml:space="preserve"> Baksheev, A., Turchina, Z., Gusarenko, V., Rakhinsky, D., Rukavitsyna, E., &amp; Bershadskaja, S. (2020). Euthanasia and Human Right to Life in International and National Law. </w:t>
      </w:r>
      <w:r w:rsidRPr="00DE73E3">
        <w:rPr>
          <w:lang w:val="es-ES"/>
        </w:rPr>
        <w:t xml:space="preserve">Revista Inclusiones, 329–341. </w:t>
      </w:r>
      <w:hyperlink r:id="rId14" w:history="1">
        <w:r w:rsidRPr="00DE73E3">
          <w:rPr>
            <w:rStyle w:val="Hyperlink"/>
            <w:lang w:val="es-ES"/>
          </w:rPr>
          <w:t>http://www.revistainclusiones.org/index.php/inclu/article/view/369</w:t>
        </w:r>
      </w:hyperlink>
    </w:p>
  </w:footnote>
  <w:footnote w:id="15">
    <w:p w14:paraId="47A22B5C" w14:textId="4CD57EBF" w:rsidR="005C4B01" w:rsidRPr="001F3BBF" w:rsidRDefault="005C4B01" w:rsidP="002732ED">
      <w:pPr>
        <w:pStyle w:val="FootnoteText"/>
        <w:jc w:val="both"/>
        <w:rPr>
          <w:lang w:val="en-US"/>
        </w:rPr>
      </w:pPr>
      <w:r>
        <w:rPr>
          <w:rStyle w:val="FootnoteReference"/>
        </w:rPr>
        <w:footnoteRef/>
      </w:r>
      <w:r w:rsidR="00113846">
        <w:rPr>
          <w:lang w:val="en-US"/>
        </w:rPr>
        <w:t xml:space="preserve"> </w:t>
      </w:r>
      <w:r w:rsidRPr="001F3BBF">
        <w:rPr>
          <w:lang w:val="en-US"/>
        </w:rPr>
        <w:t xml:space="preserve">UDHR. (1948, December 10). Universal Declaration of Human Rights (UDHR). United Nations. Retrieved 07/23/2025, From: </w:t>
      </w:r>
      <w:hyperlink r:id="rId15" w:history="1">
        <w:r w:rsidRPr="00111517">
          <w:rPr>
            <w:rStyle w:val="Hyperlink"/>
            <w:lang w:val="en-US"/>
          </w:rPr>
          <w:t>https://www.un.org/en/about-us/universal-declaration-of-human-rights</w:t>
        </w:r>
      </w:hyperlink>
    </w:p>
  </w:footnote>
  <w:footnote w:id="16">
    <w:p w14:paraId="336635AD" w14:textId="3F7898B3" w:rsidR="005C4B01" w:rsidRPr="000A77E0" w:rsidRDefault="005C4B01" w:rsidP="002732ED">
      <w:pPr>
        <w:pStyle w:val="FootnoteText"/>
        <w:jc w:val="both"/>
        <w:rPr>
          <w:lang w:val="en-US"/>
        </w:rPr>
      </w:pPr>
      <w:r>
        <w:rPr>
          <w:rStyle w:val="FootnoteReference"/>
        </w:rPr>
        <w:footnoteRef/>
      </w:r>
      <w:r w:rsidR="00276CE7">
        <w:rPr>
          <w:lang w:val="en-US"/>
        </w:rPr>
        <w:t xml:space="preserve"> </w:t>
      </w:r>
      <w:r w:rsidRPr="000A77E0">
        <w:rPr>
          <w:lang w:val="en-US"/>
        </w:rPr>
        <w:t xml:space="preserve">ICCPR. (1966, December 16). International Covenant on Civil and Political Rights (ICCPR). Retrieved 07/23/2025, From: </w:t>
      </w:r>
      <w:hyperlink r:id="rId16" w:history="1">
        <w:r w:rsidRPr="00111517">
          <w:rPr>
            <w:rStyle w:val="Hyperlink"/>
            <w:lang w:val="en-US"/>
          </w:rPr>
          <w:t>https://www.ohchr.org/en/instruments-mechanisms/instruments/international-covenant-civil-and-political-rights</w:t>
        </w:r>
      </w:hyperlink>
    </w:p>
  </w:footnote>
  <w:footnote w:id="17">
    <w:p w14:paraId="7325EBBC" w14:textId="1086E5C5" w:rsidR="005C4B01" w:rsidRPr="001F3FB0" w:rsidRDefault="005C4B01" w:rsidP="002732ED">
      <w:pPr>
        <w:pStyle w:val="FootnoteText"/>
        <w:jc w:val="both"/>
        <w:rPr>
          <w:lang w:val="en-US"/>
        </w:rPr>
      </w:pPr>
      <w:r>
        <w:rPr>
          <w:rStyle w:val="FootnoteReference"/>
        </w:rPr>
        <w:footnoteRef/>
      </w:r>
      <w:r w:rsidRPr="001F3FB0">
        <w:rPr>
          <w:lang w:val="en-US"/>
        </w:rPr>
        <w:t xml:space="preserve"> Zannoni, D. (2020). Right or duty to live? Euthanasia and assisted suicide from the perspective of the European Convention on Human Rights. Eur. J. Legal Stud., 12, 181. </w:t>
      </w:r>
      <w:hyperlink r:id="rId17" w:history="1">
        <w:r w:rsidRPr="001F3FB0">
          <w:rPr>
            <w:rStyle w:val="Hyperlink"/>
            <w:lang w:val="en-US"/>
          </w:rPr>
          <w:t>https://heinonline.org/hol-cgi-bin/get_pdf.cgi?handle=hein.journals/ejls12&amp;section=22</w:t>
        </w:r>
      </w:hyperlink>
    </w:p>
  </w:footnote>
  <w:footnote w:id="18">
    <w:p w14:paraId="10D18CDA" w14:textId="0ED4925F" w:rsidR="005C4B01" w:rsidRPr="00A04232" w:rsidRDefault="005C4B01" w:rsidP="002732ED">
      <w:pPr>
        <w:pStyle w:val="FootnoteText"/>
        <w:jc w:val="both"/>
        <w:rPr>
          <w:lang w:val="en-US"/>
        </w:rPr>
      </w:pPr>
      <w:r>
        <w:rPr>
          <w:rStyle w:val="FootnoteReference"/>
        </w:rPr>
        <w:footnoteRef/>
      </w:r>
      <w:r w:rsidR="00276CE7">
        <w:rPr>
          <w:lang w:val="en-US"/>
        </w:rPr>
        <w:t xml:space="preserve"> </w:t>
      </w:r>
      <w:r w:rsidRPr="001F3FB0">
        <w:rPr>
          <w:lang w:val="en-US"/>
        </w:rPr>
        <w:t xml:space="preserve">Momen, M. N. (2023). United Nations Universal Declaration of Human Rights. In F. Maggino (Ed.), Encyclopedia of Quality of Life and Well-Being Research (pp. 7372–7376). </w:t>
      </w:r>
      <w:r w:rsidRPr="00A04232">
        <w:rPr>
          <w:lang w:val="en-US"/>
        </w:rPr>
        <w:t xml:space="preserve">Springer International Publishing. </w:t>
      </w:r>
      <w:hyperlink r:id="rId18" w:history="1">
        <w:r w:rsidRPr="00A04232">
          <w:rPr>
            <w:rStyle w:val="Hyperlink"/>
            <w:lang w:val="en-US"/>
          </w:rPr>
          <w:t>https://doi.org/10.1007/978-3-031-17299-1_104661</w:t>
        </w:r>
      </w:hyperlink>
    </w:p>
  </w:footnote>
  <w:footnote w:id="19">
    <w:p w14:paraId="68681D24" w14:textId="0EFE7536" w:rsidR="00E4394A" w:rsidRPr="00E4394A" w:rsidRDefault="00E4394A" w:rsidP="00E4394A">
      <w:pPr>
        <w:pStyle w:val="FootnoteText"/>
        <w:jc w:val="both"/>
        <w:rPr>
          <w:lang w:val="lt-LT"/>
        </w:rPr>
      </w:pPr>
      <w:r>
        <w:rPr>
          <w:rStyle w:val="FootnoteReference"/>
        </w:rPr>
        <w:footnoteRef/>
      </w:r>
      <w:r w:rsidRPr="00851E2A">
        <w:rPr>
          <w:lang w:val="en-GB"/>
        </w:rPr>
        <w:t xml:space="preserve"> </w:t>
      </w:r>
      <w:r w:rsidRPr="001277AC">
        <w:rPr>
          <w:lang w:val="en-US"/>
        </w:rPr>
        <w:t xml:space="preserve">Bachmetjev, B., Airapetian, A., &amp; Zablockis, R. (2024, March). Attitude of the Lithuanian public toward medical assistance in dying: A cross-sectional study. In </w:t>
      </w:r>
      <w:r w:rsidRPr="001277AC">
        <w:rPr>
          <w:i/>
          <w:iCs/>
          <w:lang w:val="en-US"/>
        </w:rPr>
        <w:t>Healthcare</w:t>
      </w:r>
      <w:r w:rsidRPr="001277AC">
        <w:rPr>
          <w:lang w:val="en-US"/>
        </w:rPr>
        <w:t xml:space="preserve"> (Vol. 12, No. 6, p. 626). MDPI.</w:t>
      </w:r>
      <w:r w:rsidRPr="001277AC">
        <w:rPr>
          <w:rFonts w:asciiTheme="minorHAnsi" w:eastAsiaTheme="minorHAnsi" w:hAnsiTheme="minorHAnsi" w:cstheme="minorBidi"/>
          <w:sz w:val="22"/>
          <w:szCs w:val="22"/>
          <w:lang w:val="en-US" w:eastAsia="en-US"/>
        </w:rPr>
        <w:t xml:space="preserve"> </w:t>
      </w:r>
      <w:hyperlink r:id="rId19" w:history="1">
        <w:r w:rsidRPr="001277AC">
          <w:rPr>
            <w:rStyle w:val="Hyperlink"/>
            <w:u w:val="none"/>
            <w:lang w:val="en-US"/>
          </w:rPr>
          <w:t>https://doi.org/10.3390/healthcare12060626</w:t>
        </w:r>
      </w:hyperlink>
    </w:p>
  </w:footnote>
  <w:footnote w:id="20">
    <w:p w14:paraId="52153CEB" w14:textId="575D90B1" w:rsidR="005C4B01" w:rsidRPr="001F3FB0" w:rsidRDefault="005C4B01" w:rsidP="002732ED">
      <w:pPr>
        <w:pStyle w:val="FootnoteText"/>
        <w:jc w:val="both"/>
        <w:rPr>
          <w:lang w:val="en-US"/>
        </w:rPr>
      </w:pPr>
      <w:r>
        <w:rPr>
          <w:rStyle w:val="FootnoteReference"/>
        </w:rPr>
        <w:footnoteRef/>
      </w:r>
      <w:r w:rsidR="00276CE7">
        <w:rPr>
          <w:lang w:val="en-US"/>
        </w:rPr>
        <w:t xml:space="preserve"> </w:t>
      </w:r>
      <w:r w:rsidRPr="001F3FB0">
        <w:rPr>
          <w:lang w:val="en-US"/>
        </w:rPr>
        <w:t>Finnis, J. (1995). A philosophical case against euthanasia. Euthanasia Examined: Ethical, Clinical and Legal Perspectives, 23–35.</w:t>
      </w:r>
    </w:p>
  </w:footnote>
  <w:footnote w:id="21">
    <w:p w14:paraId="13CEE648" w14:textId="70377AC7" w:rsidR="005C4B01" w:rsidRPr="001F3FB0" w:rsidRDefault="005C4B01" w:rsidP="002732ED">
      <w:pPr>
        <w:pStyle w:val="FootnoteText"/>
        <w:jc w:val="both"/>
        <w:rPr>
          <w:lang w:val="en-US"/>
        </w:rPr>
      </w:pPr>
      <w:r>
        <w:rPr>
          <w:rStyle w:val="FootnoteReference"/>
        </w:rPr>
        <w:footnoteRef/>
      </w:r>
      <w:r w:rsidRPr="001F3FB0">
        <w:rPr>
          <w:lang w:val="en-US"/>
        </w:rPr>
        <w:t xml:space="preserve"> Edelstein, L. (1956). The professional ethics of the Greek physician. Bulletin of the History of Medicine, 30(5), 391–419. </w:t>
      </w:r>
      <w:hyperlink r:id="rId20" w:history="1">
        <w:r w:rsidRPr="00111517">
          <w:rPr>
            <w:rStyle w:val="Hyperlink"/>
            <w:lang w:val="en-US"/>
          </w:rPr>
          <w:t>https://www.jstor.org/stable/44449156</w:t>
        </w:r>
      </w:hyperlink>
    </w:p>
  </w:footnote>
  <w:footnote w:id="22">
    <w:p w14:paraId="036502A5" w14:textId="22D98877" w:rsidR="005C4B01" w:rsidRPr="0038054A" w:rsidRDefault="005C4B01" w:rsidP="002732ED">
      <w:pPr>
        <w:pStyle w:val="FootnoteText"/>
        <w:jc w:val="both"/>
        <w:rPr>
          <w:lang w:val="en-US"/>
        </w:rPr>
      </w:pPr>
      <w:r>
        <w:rPr>
          <w:rStyle w:val="FootnoteReference"/>
        </w:rPr>
        <w:footnoteRef/>
      </w:r>
      <w:r w:rsidRPr="0038054A">
        <w:rPr>
          <w:lang w:val="en-US"/>
        </w:rPr>
        <w:t xml:space="preserve">- Dominic Degnin, F. (1997). Levinas and the Hippocratic Oath: A discussion of physician-assisted suicide. The Journal of Medicine and Philosophy, 22(2), 99–123. </w:t>
      </w:r>
      <w:hyperlink r:id="rId21" w:history="1">
        <w:r w:rsidRPr="00111517">
          <w:rPr>
            <w:rStyle w:val="Hyperlink"/>
            <w:lang w:val="en-US"/>
          </w:rPr>
          <w:t>https://academic.oup.com/jmp/article-abstract/22/2/99/935684</w:t>
        </w:r>
      </w:hyperlink>
    </w:p>
  </w:footnote>
  <w:footnote w:id="23">
    <w:p w14:paraId="5523270B" w14:textId="5EA7816B" w:rsidR="005C4B01" w:rsidRPr="00A319E5" w:rsidRDefault="005C4B01" w:rsidP="002732ED">
      <w:pPr>
        <w:pStyle w:val="FootnoteText"/>
        <w:jc w:val="both"/>
        <w:rPr>
          <w:lang w:val="en-US"/>
        </w:rPr>
      </w:pPr>
      <w:r>
        <w:rPr>
          <w:rStyle w:val="FootnoteReference"/>
        </w:rPr>
        <w:footnoteRef/>
      </w:r>
      <w:r>
        <w:t xml:space="preserve"> </w:t>
      </w:r>
      <w:r w:rsidRPr="00A319E5">
        <w:t xml:space="preserve">Beauchamp, T. L., &amp; Davidson, A. I. (1979). </w:t>
      </w:r>
      <w:r w:rsidRPr="00A319E5">
        <w:rPr>
          <w:lang w:val="en-US"/>
        </w:rPr>
        <w:t xml:space="preserve">The definition of euthanasia. The Journal of Medicine and Philosophy, 4(3), 294–312. </w:t>
      </w:r>
      <w:hyperlink r:id="rId22" w:history="1">
        <w:r w:rsidRPr="00111517">
          <w:rPr>
            <w:rStyle w:val="Hyperlink"/>
            <w:lang w:val="en-US"/>
          </w:rPr>
          <w:t>https://academic.oup.com/jmp/article-abstract/4/3/294/899452</w:t>
        </w:r>
      </w:hyperlink>
    </w:p>
  </w:footnote>
  <w:footnote w:id="24">
    <w:p w14:paraId="7AFD6D6E" w14:textId="6C8BF6F3" w:rsidR="005C4B01" w:rsidRPr="00B17A29" w:rsidRDefault="005C4B01" w:rsidP="002732ED">
      <w:pPr>
        <w:pStyle w:val="FootnoteText"/>
        <w:jc w:val="both"/>
        <w:rPr>
          <w:lang w:val="en-US"/>
        </w:rPr>
      </w:pPr>
      <w:r>
        <w:rPr>
          <w:rStyle w:val="FootnoteReference"/>
        </w:rPr>
        <w:footnoteRef/>
      </w:r>
      <w:r w:rsidRPr="00B17A29">
        <w:rPr>
          <w:lang w:val="en-US"/>
        </w:rPr>
        <w:t xml:space="preserve">- Angel, J. L. (1947). The length of life in ancient Greece. Journal of Gerontology, 2(1), 18–24. </w:t>
      </w:r>
      <w:hyperlink r:id="rId23" w:history="1">
        <w:r w:rsidRPr="00111517">
          <w:rPr>
            <w:rStyle w:val="Hyperlink"/>
            <w:lang w:val="en-US"/>
          </w:rPr>
          <w:t>https://academic.oup.com/geronj/article-abstract/2/1/18/614828</w:t>
        </w:r>
      </w:hyperlink>
    </w:p>
  </w:footnote>
  <w:footnote w:id="25">
    <w:p w14:paraId="675C07AD" w14:textId="508DAD21" w:rsidR="005C4B01" w:rsidRPr="00DE73E3" w:rsidRDefault="005C4B01" w:rsidP="002732ED">
      <w:pPr>
        <w:pStyle w:val="FootnoteText"/>
        <w:jc w:val="both"/>
        <w:rPr>
          <w:lang w:val="nb-NO"/>
        </w:rPr>
      </w:pPr>
      <w:r>
        <w:rPr>
          <w:rStyle w:val="FootnoteReference"/>
        </w:rPr>
        <w:footnoteRef/>
      </w:r>
      <w:r w:rsidRPr="004E4C5F">
        <w:rPr>
          <w:lang w:val="en-US"/>
        </w:rPr>
        <w:t xml:space="preserve">- Toynbee, J. M. (1996). Death and burial in the Roman world. </w:t>
      </w:r>
      <w:r w:rsidRPr="00DE73E3">
        <w:rPr>
          <w:lang w:val="nb-NO"/>
        </w:rPr>
        <w:t>JHU Press.</w:t>
      </w:r>
    </w:p>
  </w:footnote>
  <w:footnote w:id="26">
    <w:p w14:paraId="509F5548" w14:textId="6637B7B5" w:rsidR="005C4B01" w:rsidRPr="00A04232" w:rsidRDefault="005C4B01" w:rsidP="002732ED">
      <w:pPr>
        <w:pStyle w:val="FootnoteText"/>
        <w:jc w:val="both"/>
        <w:rPr>
          <w:lang w:val="en-US"/>
        </w:rPr>
      </w:pPr>
      <w:r>
        <w:rPr>
          <w:rStyle w:val="FootnoteReference"/>
        </w:rPr>
        <w:footnoteRef/>
      </w:r>
      <w:r w:rsidRPr="00DE73E3">
        <w:rPr>
          <w:lang w:val="nb-NO"/>
        </w:rPr>
        <w:t xml:space="preserve">- Perrett, R. W. (1996). </w:t>
      </w:r>
      <w:r w:rsidRPr="0013218E">
        <w:rPr>
          <w:lang w:val="en-US"/>
        </w:rPr>
        <w:t xml:space="preserve">Buddhism, euthanasia and the sanctity of life. </w:t>
      </w:r>
      <w:r w:rsidRPr="00A04232">
        <w:rPr>
          <w:lang w:val="en-US"/>
        </w:rPr>
        <w:t xml:space="preserve">Journal of Medical Ethics, 22(5), 309–313. </w:t>
      </w:r>
      <w:hyperlink r:id="rId24" w:history="1">
        <w:r w:rsidRPr="00A04232">
          <w:rPr>
            <w:rStyle w:val="Hyperlink"/>
            <w:lang w:val="en-US"/>
          </w:rPr>
          <w:t>https://jme.bmj.com/content/22/5/309.short</w:t>
        </w:r>
      </w:hyperlink>
    </w:p>
  </w:footnote>
  <w:footnote w:id="27">
    <w:p w14:paraId="0B979868" w14:textId="028F8A1A" w:rsidR="005C4B01" w:rsidRPr="0013218E" w:rsidRDefault="005C4B01" w:rsidP="002732ED">
      <w:pPr>
        <w:pStyle w:val="FootnoteText"/>
        <w:jc w:val="both"/>
        <w:rPr>
          <w:lang w:val="fr-FR"/>
        </w:rPr>
      </w:pPr>
      <w:r>
        <w:rPr>
          <w:rStyle w:val="FootnoteReference"/>
        </w:rPr>
        <w:footnoteRef/>
      </w:r>
      <w:r w:rsidRPr="0013218E">
        <w:rPr>
          <w:lang w:val="en-US"/>
        </w:rPr>
        <w:t xml:space="preserve"> - Mannan, H. (1995). Deaths as Defined by Hinduism. . . </w:t>
      </w:r>
      <w:r w:rsidRPr="0013218E">
        <w:rPr>
          <w:lang w:val="fr-FR"/>
        </w:rPr>
        <w:t xml:space="preserve">Louis U. Pub. L. Rev., 15, 423. </w:t>
      </w:r>
      <w:hyperlink r:id="rId25" w:history="1">
        <w:r w:rsidRPr="00111517">
          <w:rPr>
            <w:rStyle w:val="Hyperlink"/>
            <w:lang w:val="fr-FR"/>
          </w:rPr>
          <w:t>https://heinonline.org/hol-cgi-bin/get_pdf.cgi?handle=hein.journals/stlpl15&amp;section=28</w:t>
        </w:r>
      </w:hyperlink>
    </w:p>
  </w:footnote>
  <w:footnote w:id="28">
    <w:p w14:paraId="51BE7AD0" w14:textId="57B1B7C6" w:rsidR="005C4B01" w:rsidRPr="0013218E" w:rsidRDefault="005C4B01" w:rsidP="002732ED">
      <w:pPr>
        <w:pStyle w:val="FootnoteText"/>
        <w:jc w:val="both"/>
        <w:rPr>
          <w:lang w:val="en-US"/>
        </w:rPr>
      </w:pPr>
      <w:r>
        <w:rPr>
          <w:rStyle w:val="FootnoteReference"/>
        </w:rPr>
        <w:footnoteRef/>
      </w:r>
      <w:r w:rsidRPr="0013218E">
        <w:rPr>
          <w:lang w:val="en-US"/>
        </w:rPr>
        <w:t xml:space="preserve"> - Molefe, M., &amp; Muade, E. (2023). African ethics and death: Moral status and human dignity in ubuntu thinking. Routledge. </w:t>
      </w:r>
      <w:hyperlink r:id="rId26" w:history="1">
        <w:r w:rsidRPr="00111517">
          <w:rPr>
            <w:rStyle w:val="Hyperlink"/>
            <w:lang w:val="en-US"/>
          </w:rPr>
          <w:t>https://www.taylorfrancis.com/books/mono/10.4324/9781032658490/african-ethics-death-motsamai-molefe-elphus-muade</w:t>
        </w:r>
      </w:hyperlink>
    </w:p>
  </w:footnote>
  <w:footnote w:id="29">
    <w:p w14:paraId="137A5DC6" w14:textId="516ABE2B" w:rsidR="005C4B01" w:rsidRPr="00645E1A" w:rsidRDefault="005C4B01" w:rsidP="002732ED">
      <w:pPr>
        <w:pStyle w:val="FootnoteText"/>
        <w:jc w:val="both"/>
        <w:rPr>
          <w:lang w:val="en-US"/>
        </w:rPr>
      </w:pPr>
      <w:r>
        <w:rPr>
          <w:rStyle w:val="FootnoteReference"/>
        </w:rPr>
        <w:footnoteRef/>
      </w:r>
      <w:r w:rsidRPr="00DE73E3">
        <w:rPr>
          <w:lang w:val="sv-SE"/>
        </w:rPr>
        <w:t xml:space="preserve">  Hegde, A., Bhatti, B. K., Dalvi, V., &amp; Chandora, P. (2024). </w:t>
      </w:r>
      <w:r w:rsidRPr="00645E1A">
        <w:rPr>
          <w:lang w:val="en-US"/>
        </w:rPr>
        <w:t xml:space="preserve">Balancing Personal Autonomy and the Right to Life in Euthanasia. International Jour-Nal of Legal Science and Innovation, 6(4), 61–80. </w:t>
      </w:r>
      <w:hyperlink r:id="rId27" w:history="1">
        <w:r w:rsidRPr="00111517">
          <w:rPr>
            <w:rStyle w:val="Hyperlink"/>
            <w:lang w:val="en-US"/>
          </w:rPr>
          <w:t>https://ijlsi.com/wp-content/uploads/Balancing-Personal-Autonomy-and-the-Right-to-Life-in-Euthanasia.pdf</w:t>
        </w:r>
      </w:hyperlink>
    </w:p>
  </w:footnote>
  <w:footnote w:id="30">
    <w:p w14:paraId="586C3119" w14:textId="070E66D2" w:rsidR="005C4B01" w:rsidRPr="00645E1A" w:rsidRDefault="005C4B01" w:rsidP="002732ED">
      <w:pPr>
        <w:pStyle w:val="FootnoteText"/>
        <w:jc w:val="both"/>
        <w:rPr>
          <w:lang w:val="en-US"/>
        </w:rPr>
      </w:pPr>
      <w:r>
        <w:rPr>
          <w:rStyle w:val="FootnoteReference"/>
        </w:rPr>
        <w:footnoteRef/>
      </w:r>
      <w:r w:rsidRPr="00645E1A">
        <w:rPr>
          <w:lang w:val="en-US"/>
        </w:rPr>
        <w:t xml:space="preserve">  Dowbiggin, I. (2003). A merciful end: The euthanasia movement in modern America. Oxford University Press.</w:t>
      </w:r>
    </w:p>
  </w:footnote>
  <w:footnote w:id="31">
    <w:p w14:paraId="49A46073" w14:textId="4E8B28AE" w:rsidR="005C4B01" w:rsidRPr="006E7F94" w:rsidRDefault="005C4B01" w:rsidP="002732ED">
      <w:pPr>
        <w:pStyle w:val="FootnoteText"/>
        <w:jc w:val="both"/>
        <w:rPr>
          <w:lang w:val="en-US"/>
        </w:rPr>
      </w:pPr>
      <w:r>
        <w:rPr>
          <w:rStyle w:val="FootnoteReference"/>
        </w:rPr>
        <w:footnoteRef/>
      </w:r>
      <w:r w:rsidRPr="006E7F94">
        <w:rPr>
          <w:lang w:val="en-US"/>
        </w:rPr>
        <w:t xml:space="preserve">  Emanuel, E. J. (1994a). Euthanasia: Historical, ethical, and empiric perspectives. Archives of Internal Medicine, 154(17), 1890–1901. </w:t>
      </w:r>
      <w:hyperlink r:id="rId28" w:history="1">
        <w:r w:rsidRPr="00111517">
          <w:rPr>
            <w:rStyle w:val="Hyperlink"/>
            <w:lang w:val="en-US"/>
          </w:rPr>
          <w:t>https://jamanetwork.com/journals/jamainternalmedicine/article-abstract/619263</w:t>
        </w:r>
      </w:hyperlink>
    </w:p>
  </w:footnote>
  <w:footnote w:id="32">
    <w:p w14:paraId="421509D9" w14:textId="4BA4835C" w:rsidR="005C4B01" w:rsidRPr="006E7F94" w:rsidRDefault="005C4B01" w:rsidP="002732ED">
      <w:pPr>
        <w:pStyle w:val="FootnoteText"/>
        <w:jc w:val="both"/>
        <w:rPr>
          <w:lang w:val="en-US"/>
        </w:rPr>
      </w:pPr>
      <w:r>
        <w:rPr>
          <w:rStyle w:val="FootnoteReference"/>
        </w:rPr>
        <w:footnoteRef/>
      </w:r>
      <w:r w:rsidRPr="006E7F94">
        <w:rPr>
          <w:lang w:val="en-US"/>
        </w:rPr>
        <w:t xml:space="preserve">  Rachels, J. (1986). The end of life: Euthanasia and morality. </w:t>
      </w:r>
      <w:hyperlink r:id="rId29" w:history="1">
        <w:r w:rsidRPr="00111517">
          <w:rPr>
            <w:rStyle w:val="Hyperlink"/>
            <w:lang w:val="en-US"/>
          </w:rPr>
          <w:t>https://philpapers.org/rec/RACTEO</w:t>
        </w:r>
      </w:hyperlink>
    </w:p>
  </w:footnote>
  <w:footnote w:id="33">
    <w:p w14:paraId="7A680E60" w14:textId="01B40F24" w:rsidR="005C4B01" w:rsidRPr="00A04232" w:rsidRDefault="005C4B01" w:rsidP="002732ED">
      <w:pPr>
        <w:pStyle w:val="FootnoteText"/>
        <w:jc w:val="both"/>
        <w:rPr>
          <w:lang w:val="en-US"/>
        </w:rPr>
      </w:pPr>
      <w:r>
        <w:rPr>
          <w:rStyle w:val="FootnoteReference"/>
        </w:rPr>
        <w:footnoteRef/>
      </w:r>
      <w:r w:rsidRPr="00707D7C">
        <w:rPr>
          <w:lang w:val="en-US"/>
        </w:rPr>
        <w:t xml:space="preserve">  Emanuel, E. J. (1994b). The History of Euthanasia Debates in the United States and Britain. </w:t>
      </w:r>
      <w:r w:rsidRPr="00A04232">
        <w:rPr>
          <w:lang w:val="en-US"/>
        </w:rPr>
        <w:t xml:space="preserve">Annals of Internal Medicine, 121(10), 793–802. </w:t>
      </w:r>
      <w:hyperlink r:id="rId30" w:history="1">
        <w:r w:rsidRPr="00A04232">
          <w:rPr>
            <w:rStyle w:val="Hyperlink"/>
            <w:lang w:val="en-US"/>
          </w:rPr>
          <w:t>https://doi.org/10.7326/0003-4819-121-10-199411150-00010</w:t>
        </w:r>
      </w:hyperlink>
    </w:p>
  </w:footnote>
  <w:footnote w:id="34">
    <w:p w14:paraId="04FC769C" w14:textId="0081707C" w:rsidR="005C4B01" w:rsidRPr="00C409F0" w:rsidRDefault="005C4B01" w:rsidP="002732ED">
      <w:pPr>
        <w:pStyle w:val="FootnoteText"/>
        <w:jc w:val="both"/>
        <w:rPr>
          <w:lang w:val="en-US"/>
        </w:rPr>
      </w:pPr>
      <w:r>
        <w:rPr>
          <w:rStyle w:val="FootnoteReference"/>
        </w:rPr>
        <w:footnoteRef/>
      </w:r>
      <w:r w:rsidRPr="00C409F0">
        <w:rPr>
          <w:lang w:val="en-US"/>
        </w:rPr>
        <w:t xml:space="preserve"> Kovačević, D. (2023). Euthanasia in the practice of the European Court of Human Rights. </w:t>
      </w:r>
      <w:r w:rsidRPr="00C409F0">
        <w:t>Анали</w:t>
      </w:r>
      <w:r w:rsidRPr="00C409F0">
        <w:rPr>
          <w:lang w:val="en-US"/>
        </w:rPr>
        <w:t xml:space="preserve"> </w:t>
      </w:r>
      <w:r w:rsidRPr="00C409F0">
        <w:t>Правног</w:t>
      </w:r>
      <w:r w:rsidRPr="00C409F0">
        <w:rPr>
          <w:lang w:val="en-US"/>
        </w:rPr>
        <w:t xml:space="preserve"> </w:t>
      </w:r>
      <w:r w:rsidRPr="00C409F0">
        <w:t>Факултета</w:t>
      </w:r>
      <w:r w:rsidRPr="00C409F0">
        <w:rPr>
          <w:lang w:val="en-US"/>
        </w:rPr>
        <w:t xml:space="preserve"> </w:t>
      </w:r>
      <w:r w:rsidRPr="00C409F0">
        <w:t>у</w:t>
      </w:r>
      <w:r w:rsidRPr="00C409F0">
        <w:rPr>
          <w:lang w:val="en-US"/>
        </w:rPr>
        <w:t xml:space="preserve"> </w:t>
      </w:r>
      <w:r w:rsidRPr="00C409F0">
        <w:t>Београду</w:t>
      </w:r>
      <w:r w:rsidRPr="00C409F0">
        <w:rPr>
          <w:lang w:val="en-US"/>
        </w:rPr>
        <w:t xml:space="preserve">, 71(2), 233–250. </w:t>
      </w:r>
      <w:hyperlink r:id="rId31" w:history="1">
        <w:r w:rsidRPr="00111517">
          <w:rPr>
            <w:rStyle w:val="Hyperlink"/>
            <w:lang w:val="en-US"/>
          </w:rPr>
          <w:t>https://www.ceeol.com/search/article-detail?id=1131037</w:t>
        </w:r>
      </w:hyperlink>
    </w:p>
  </w:footnote>
  <w:footnote w:id="35">
    <w:p w14:paraId="645EEA5A" w14:textId="799121C1" w:rsidR="005C4B01" w:rsidRPr="00A04232" w:rsidRDefault="005C4B01" w:rsidP="002732ED">
      <w:pPr>
        <w:pStyle w:val="FootnoteText"/>
        <w:jc w:val="both"/>
      </w:pPr>
      <w:r>
        <w:rPr>
          <w:rStyle w:val="FootnoteReference"/>
        </w:rPr>
        <w:footnoteRef/>
      </w:r>
      <w:r w:rsidRPr="000F1D5E">
        <w:rPr>
          <w:lang w:val="en-US"/>
        </w:rPr>
        <w:t xml:space="preserve"> Sanderson, M. A. (2002). Pretty v. United Kingdom. American Journal of International Law, 96(4), 943–949. </w:t>
      </w:r>
      <w:hyperlink r:id="rId32" w:history="1">
        <w:r w:rsidRPr="00A04232">
          <w:rPr>
            <w:rStyle w:val="Hyperlink"/>
          </w:rPr>
          <w:t>https://www.cambridge.org/core/journals/american-journal-of-international-law/article/pretty-v-united-kingdom/89701F3BCCFA5BB3769478FC99814057</w:t>
        </w:r>
      </w:hyperlink>
    </w:p>
  </w:footnote>
  <w:footnote w:id="36">
    <w:p w14:paraId="28517AEE" w14:textId="0D1A216A" w:rsidR="005C4B01" w:rsidRPr="00FA5383" w:rsidRDefault="005C4B01" w:rsidP="002732ED">
      <w:pPr>
        <w:pStyle w:val="FootnoteText"/>
        <w:jc w:val="both"/>
        <w:rPr>
          <w:lang w:val="en-US"/>
        </w:rPr>
      </w:pPr>
      <w:r>
        <w:rPr>
          <w:rStyle w:val="FootnoteReference"/>
        </w:rPr>
        <w:footnoteRef/>
      </w:r>
      <w:r w:rsidRPr="00FA5383">
        <w:rPr>
          <w:lang w:val="en-US"/>
        </w:rPr>
        <w:t xml:space="preserve"> Kamisar, Y. (2012). Are the Distinctions Drawn in the Debate about End-of-Life Decision Making “Principled”? If Not, How Much Does it Matter? Journal of Law, Medicine &amp; Ethics, 40(1), 66–84. </w:t>
      </w:r>
      <w:hyperlink r:id="rId33" w:history="1">
        <w:r w:rsidRPr="00111517">
          <w:rPr>
            <w:rStyle w:val="Hyperlink"/>
            <w:lang w:val="en-US"/>
          </w:rPr>
          <w:t>https://doi.org/10.1111/j.1748-720X.2012.00647.x</w:t>
        </w:r>
      </w:hyperlink>
    </w:p>
  </w:footnote>
  <w:footnote w:id="37">
    <w:p w14:paraId="58E5B614" w14:textId="64D6E9C8" w:rsidR="005C4B01" w:rsidRPr="00FA5383" w:rsidRDefault="005C4B01" w:rsidP="002732ED">
      <w:pPr>
        <w:pStyle w:val="FootnoteText"/>
        <w:jc w:val="both"/>
        <w:rPr>
          <w:lang w:val="fr-FR"/>
        </w:rPr>
      </w:pPr>
      <w:r>
        <w:rPr>
          <w:rStyle w:val="FootnoteReference"/>
        </w:rPr>
        <w:footnoteRef/>
      </w:r>
      <w:r w:rsidRPr="00FA5383">
        <w:rPr>
          <w:lang w:val="en-US"/>
        </w:rPr>
        <w:t xml:space="preserve"> Keown, J. (2018). Euthanasia, ethics and public policy: An argument against </w:t>
      </w:r>
      <w:r w:rsidR="00DE0FC8" w:rsidRPr="00FA5383">
        <w:rPr>
          <w:lang w:val="en-US"/>
        </w:rPr>
        <w:t>legalization</w:t>
      </w:r>
      <w:r w:rsidRPr="00FA5383">
        <w:rPr>
          <w:lang w:val="en-US"/>
        </w:rPr>
        <w:t xml:space="preserve">. </w:t>
      </w:r>
      <w:r w:rsidRPr="00FA5383">
        <w:rPr>
          <w:lang w:val="fr-FR"/>
        </w:rPr>
        <w:t>Cambridge University Press.</w:t>
      </w:r>
    </w:p>
  </w:footnote>
  <w:footnote w:id="38">
    <w:p w14:paraId="7F871140" w14:textId="3CBE8C54" w:rsidR="005C4B01" w:rsidRPr="00FA5383" w:rsidRDefault="005C4B01" w:rsidP="002732ED">
      <w:pPr>
        <w:pStyle w:val="FootnoteText"/>
        <w:jc w:val="both"/>
        <w:rPr>
          <w:lang w:val="fr-FR"/>
        </w:rPr>
      </w:pPr>
      <w:r>
        <w:rPr>
          <w:rStyle w:val="FootnoteReference"/>
        </w:rPr>
        <w:footnoteRef/>
      </w:r>
      <w:r>
        <w:t xml:space="preserve"> </w:t>
      </w:r>
      <w:r w:rsidRPr="00FA5383">
        <w:rPr>
          <w:lang w:val="fr-FR"/>
        </w:rPr>
        <w:t xml:space="preserve">Doublet, Y.-M. (2024). Suicide assisté, euthanasie: Le choix de la rupture et l’illusion d’un progrès. </w:t>
      </w:r>
      <w:hyperlink r:id="rId34" w:history="1">
        <w:r w:rsidRPr="00111517">
          <w:rPr>
            <w:rStyle w:val="Hyperlink"/>
            <w:lang w:val="fr-FR"/>
          </w:rPr>
          <w:t>https://www.fondapol.org/etude/suicide-assiste-euthanasie-le-choix-de-la-rupture-et-lillusion-dun-progres/</w:t>
        </w:r>
      </w:hyperlink>
    </w:p>
  </w:footnote>
  <w:footnote w:id="39">
    <w:p w14:paraId="7BADCB58" w14:textId="04FABB09" w:rsidR="005C4B01" w:rsidRPr="00A04232" w:rsidRDefault="005C4B01" w:rsidP="002732ED">
      <w:pPr>
        <w:pStyle w:val="FootnoteText"/>
        <w:jc w:val="both"/>
        <w:rPr>
          <w:lang w:val="en-US"/>
        </w:rPr>
      </w:pPr>
      <w:r>
        <w:rPr>
          <w:rStyle w:val="FootnoteReference"/>
        </w:rPr>
        <w:footnoteRef/>
      </w:r>
      <w:r w:rsidRPr="00101335">
        <w:rPr>
          <w:lang w:val="en-US"/>
        </w:rPr>
        <w:t xml:space="preserve"> Voulgaris, E. (2007). Early European attitudes towards" good death". </w:t>
      </w:r>
      <w:r w:rsidRPr="00A04232">
        <w:rPr>
          <w:lang w:val="en-US"/>
        </w:rPr>
        <w:t>J Med Ethics, 33, 1–4.</w:t>
      </w:r>
    </w:p>
  </w:footnote>
  <w:footnote w:id="40">
    <w:p w14:paraId="555EDBFD" w14:textId="3B33C057" w:rsidR="005C4B01" w:rsidRPr="007B281B" w:rsidRDefault="005C4B01" w:rsidP="002732ED">
      <w:pPr>
        <w:pStyle w:val="FootnoteText"/>
        <w:jc w:val="both"/>
        <w:rPr>
          <w:lang w:val="en-US"/>
        </w:rPr>
      </w:pPr>
      <w:r>
        <w:rPr>
          <w:rStyle w:val="FootnoteReference"/>
        </w:rPr>
        <w:footnoteRef/>
      </w:r>
      <w:r w:rsidRPr="007B281B">
        <w:rPr>
          <w:lang w:val="en-US"/>
        </w:rPr>
        <w:t xml:space="preserve"> Hornett, S. I. (1991). The sanctity of life and substituted judgement: The case of Baby J. </w:t>
      </w:r>
      <w:hyperlink r:id="rId35" w:history="1">
        <w:r w:rsidRPr="00111517">
          <w:rPr>
            <w:rStyle w:val="Hyperlink"/>
            <w:lang w:val="en-US"/>
          </w:rPr>
          <w:t>https://philpapers.org/rec/HORTSO-12</w:t>
        </w:r>
      </w:hyperlink>
    </w:p>
  </w:footnote>
  <w:footnote w:id="41">
    <w:p w14:paraId="332A5DD7" w14:textId="55C42961" w:rsidR="005C4B01" w:rsidRPr="002D11C0" w:rsidRDefault="005C4B01" w:rsidP="002732ED">
      <w:pPr>
        <w:pStyle w:val="FootnoteText"/>
        <w:jc w:val="both"/>
        <w:rPr>
          <w:lang w:val="en-US"/>
        </w:rPr>
      </w:pPr>
      <w:r>
        <w:rPr>
          <w:rStyle w:val="FootnoteReference"/>
        </w:rPr>
        <w:footnoteRef/>
      </w:r>
      <w:r w:rsidRPr="007B281B">
        <w:rPr>
          <w:lang w:val="en-US"/>
        </w:rPr>
        <w:t xml:space="preserve"> Bell, D. (2007). The legal framework for end of life care: A United Kingdom perspective. </w:t>
      </w:r>
      <w:r w:rsidRPr="002D11C0">
        <w:rPr>
          <w:lang w:val="en-US"/>
        </w:rPr>
        <w:t xml:space="preserve">Intensive Care Medicine, 33(1), 158–162. </w:t>
      </w:r>
      <w:hyperlink r:id="rId36" w:history="1">
        <w:r w:rsidRPr="002D11C0">
          <w:rPr>
            <w:rStyle w:val="Hyperlink"/>
            <w:lang w:val="en-US"/>
          </w:rPr>
          <w:t>https://doi.org/10.1007/s00134-006-0426-9</w:t>
        </w:r>
      </w:hyperlink>
    </w:p>
  </w:footnote>
  <w:footnote w:id="42">
    <w:p w14:paraId="7B5ECE47" w14:textId="037EDBC2" w:rsidR="005C4B01" w:rsidRPr="00A04232" w:rsidRDefault="005C4B01" w:rsidP="002732ED">
      <w:pPr>
        <w:pStyle w:val="FootnoteText"/>
        <w:jc w:val="both"/>
        <w:rPr>
          <w:lang w:val="en-US"/>
        </w:rPr>
      </w:pPr>
      <w:r>
        <w:rPr>
          <w:rStyle w:val="FootnoteReference"/>
        </w:rPr>
        <w:footnoteRef/>
      </w:r>
      <w:r w:rsidRPr="00A04232">
        <w:rPr>
          <w:lang w:val="en-US"/>
        </w:rPr>
        <w:t xml:space="preserve"> French National Ethics Advisory Committee (Director). </w:t>
      </w:r>
      <w:r w:rsidRPr="00A04232">
        <w:t xml:space="preserve">(2022). Avis 139 Questions éthiques relatives aux situations de fin de vie: Autonomie et solidarité | Comité Consultatif National d’Ethique [Broadcast]. </w:t>
      </w:r>
      <w:r w:rsidRPr="00A04232">
        <w:rPr>
          <w:lang w:val="en-US"/>
        </w:rPr>
        <w:t xml:space="preserve">Retrieved 08.12.2025, From: </w:t>
      </w:r>
      <w:hyperlink r:id="rId37" w:history="1">
        <w:r w:rsidRPr="00111517">
          <w:rPr>
            <w:rStyle w:val="Hyperlink"/>
            <w:lang w:val="en-US"/>
          </w:rPr>
          <w:t>https://www.ccne-ethique.fr/fr/publications/avis-139-questions-ethiques-relatives-aux-situations-de-fin-de-vie-autonomie-et</w:t>
        </w:r>
      </w:hyperlink>
    </w:p>
  </w:footnote>
  <w:footnote w:id="43">
    <w:p w14:paraId="7F1C7D70" w14:textId="0C153F43" w:rsidR="005C4B01" w:rsidRPr="004646AE" w:rsidRDefault="005C4B01" w:rsidP="002732ED">
      <w:pPr>
        <w:pStyle w:val="FootnoteText"/>
        <w:jc w:val="both"/>
        <w:rPr>
          <w:lang w:val="de-DE"/>
        </w:rPr>
      </w:pPr>
      <w:r>
        <w:rPr>
          <w:rStyle w:val="FootnoteReference"/>
        </w:rPr>
        <w:footnoteRef/>
      </w:r>
      <w:r w:rsidRPr="00EF1D57">
        <w:rPr>
          <w:lang w:val="en-US"/>
        </w:rPr>
        <w:t xml:space="preserve"> Kayacan, D. N. (2022). The Right to Die in Practice. In D. N. Kayacan, The Right to Die with Dignity (Vol. 6, pp. 11–164). </w:t>
      </w:r>
      <w:r w:rsidRPr="004646AE">
        <w:rPr>
          <w:lang w:val="de-DE"/>
        </w:rPr>
        <w:t xml:space="preserve">Springer International Publishing. </w:t>
      </w:r>
      <w:hyperlink r:id="rId38" w:history="1">
        <w:r w:rsidRPr="004646AE">
          <w:rPr>
            <w:rStyle w:val="Hyperlink"/>
            <w:lang w:val="de-DE"/>
          </w:rPr>
          <w:t>https://doi.org/10.1007/978-3-031-04516-5_3</w:t>
        </w:r>
      </w:hyperlink>
    </w:p>
  </w:footnote>
  <w:footnote w:id="44">
    <w:p w14:paraId="03053770" w14:textId="755DDAD9" w:rsidR="005C4B01" w:rsidRPr="00EF1D57" w:rsidRDefault="005C4B01" w:rsidP="002732ED">
      <w:pPr>
        <w:pStyle w:val="FootnoteText"/>
        <w:jc w:val="both"/>
        <w:rPr>
          <w:lang w:val="en-US"/>
        </w:rPr>
      </w:pPr>
      <w:r>
        <w:rPr>
          <w:rStyle w:val="FootnoteReference"/>
        </w:rPr>
        <w:footnoteRef/>
      </w:r>
      <w:r w:rsidRPr="004646AE">
        <w:rPr>
          <w:lang w:val="de-DE"/>
        </w:rPr>
        <w:t xml:space="preserve">- Van Der Heide, A., Onwuteaka-Philipsen, B. D., Rurup, M. L., Buiting, H. M., Van Delden, J. J. M., Hanssen-de Wolf, J. E., Janssen, A. G. J. M., Pasman, H. R. W., Rietjens, J. A. C., Prins, C. J. M., Deerenberg, I. M., Gevers, J. K. M., Van Der Maas, P. J., &amp; Van Der Wal, G. (2007). </w:t>
      </w:r>
      <w:r w:rsidRPr="00EF1D57">
        <w:rPr>
          <w:lang w:val="en-US"/>
        </w:rPr>
        <w:t xml:space="preserve">End-of-Life Practices in the Netherlands under the Euthanasia Act. New England Journal of Medicine, 356(19), 1957–1965. </w:t>
      </w:r>
      <w:hyperlink r:id="rId39" w:history="1">
        <w:r w:rsidRPr="00111517">
          <w:rPr>
            <w:rStyle w:val="Hyperlink"/>
            <w:lang w:val="en-US"/>
          </w:rPr>
          <w:t>https://doi.org/10.1056/NEJMsa071143</w:t>
        </w:r>
      </w:hyperlink>
    </w:p>
  </w:footnote>
  <w:footnote w:id="45">
    <w:p w14:paraId="7A2C8000" w14:textId="2A2440E1" w:rsidR="005C4B01" w:rsidRPr="00DE73E3" w:rsidRDefault="005C4B01" w:rsidP="002732ED">
      <w:pPr>
        <w:pStyle w:val="FootnoteText"/>
        <w:jc w:val="both"/>
        <w:rPr>
          <w:lang w:val="de-DE"/>
        </w:rPr>
      </w:pPr>
      <w:r>
        <w:rPr>
          <w:rStyle w:val="FootnoteReference"/>
        </w:rPr>
        <w:footnoteRef/>
      </w:r>
      <w:r w:rsidRPr="00EF1D57">
        <w:rPr>
          <w:lang w:val="en-US"/>
        </w:rPr>
        <w:t xml:space="preserve">  Cohen-Almagor, R. (2015). First do no harm: Euthanasia of patients with dementia in Belgium. The Journal of Medicine and Philosophy: A Forum for Bioethics and Philosophy of Medicine, 41(1), 74–89. </w:t>
      </w:r>
      <w:hyperlink r:id="rId40" w:history="1">
        <w:r w:rsidRPr="00DE73E3">
          <w:rPr>
            <w:rStyle w:val="Hyperlink"/>
            <w:lang w:val="de-DE"/>
          </w:rPr>
          <w:t>https://academic.oup.com/jmp/article-abstract/41/1/74/2563132</w:t>
        </w:r>
      </w:hyperlink>
    </w:p>
  </w:footnote>
  <w:footnote w:id="46">
    <w:p w14:paraId="183788AD" w14:textId="28655973" w:rsidR="005C4B01" w:rsidRPr="00435F1E" w:rsidRDefault="005C4B01" w:rsidP="002732ED">
      <w:pPr>
        <w:pStyle w:val="FootnoteText"/>
        <w:jc w:val="both"/>
        <w:rPr>
          <w:lang w:val="en-US"/>
        </w:rPr>
      </w:pPr>
      <w:r>
        <w:rPr>
          <w:rStyle w:val="FootnoteReference"/>
        </w:rPr>
        <w:footnoteRef/>
      </w:r>
      <w:r w:rsidRPr="00DE73E3">
        <w:rPr>
          <w:lang w:val="de-DE"/>
        </w:rPr>
        <w:t xml:space="preserve">  Chambaere, K., &amp; Bernheim, J. L. (2015). </w:t>
      </w:r>
      <w:r w:rsidRPr="00435F1E">
        <w:rPr>
          <w:lang w:val="en-US"/>
        </w:rPr>
        <w:t xml:space="preserve">Does legal physician-assisted dying impede development of palliative care? The Belgian and Benelux experience. Journal of Medical Ethics, 41(8), 657–660. </w:t>
      </w:r>
      <w:hyperlink r:id="rId41" w:history="1">
        <w:r w:rsidRPr="00111517">
          <w:rPr>
            <w:rStyle w:val="Hyperlink"/>
            <w:lang w:val="en-US"/>
          </w:rPr>
          <w:t>https://jme.bmj.com/content/41/8/657.short</w:t>
        </w:r>
      </w:hyperlink>
    </w:p>
  </w:footnote>
  <w:footnote w:id="47">
    <w:p w14:paraId="25830507" w14:textId="173EE6A5" w:rsidR="005C4B01" w:rsidRPr="002D11C0" w:rsidRDefault="005C4B01" w:rsidP="002732ED">
      <w:pPr>
        <w:pStyle w:val="FootnoteText"/>
        <w:jc w:val="both"/>
        <w:rPr>
          <w:lang w:val="en-US"/>
        </w:rPr>
      </w:pPr>
      <w:r>
        <w:rPr>
          <w:rStyle w:val="FootnoteReference"/>
        </w:rPr>
        <w:footnoteRef/>
      </w:r>
      <w:r w:rsidRPr="004A6FF7">
        <w:rPr>
          <w:lang w:val="en-US"/>
        </w:rPr>
        <w:t xml:space="preserve">  Archer, M., Willmott, L., Chambaere, K., Deliens, L., &amp; White, B. P. (2023). What Domains of Belgian Euthanasia Practice are Governed and by Which Sources of Regulation: A Scoping Review. </w:t>
      </w:r>
      <w:r w:rsidRPr="002D11C0">
        <w:rPr>
          <w:lang w:val="en-US"/>
        </w:rPr>
        <w:t xml:space="preserve">OMEGA - Journal of Death and Dying, 00302228231221839. </w:t>
      </w:r>
      <w:hyperlink r:id="rId42" w:history="1">
        <w:r w:rsidRPr="002D11C0">
          <w:rPr>
            <w:rStyle w:val="Hyperlink"/>
            <w:lang w:val="en-US"/>
          </w:rPr>
          <w:t>https://doi.org/10.1177/00302228231221839</w:t>
        </w:r>
      </w:hyperlink>
    </w:p>
  </w:footnote>
  <w:footnote w:id="48">
    <w:p w14:paraId="2E64AF84" w14:textId="6C81ACA5" w:rsidR="005C4B01" w:rsidRPr="00CB5B79" w:rsidRDefault="005C4B01" w:rsidP="002732ED">
      <w:pPr>
        <w:pStyle w:val="FootnoteText"/>
        <w:jc w:val="both"/>
        <w:rPr>
          <w:lang w:val="en-US"/>
        </w:rPr>
      </w:pPr>
      <w:r>
        <w:rPr>
          <w:rStyle w:val="FootnoteReference"/>
        </w:rPr>
        <w:footnoteRef/>
      </w:r>
      <w:r w:rsidRPr="00791D87">
        <w:rPr>
          <w:lang w:val="en-US"/>
        </w:rPr>
        <w:t xml:space="preserve"> Jones, D. A., &amp; Paton, D. (2015). </w:t>
      </w:r>
      <w:r w:rsidRPr="00CB5B79">
        <w:rPr>
          <w:lang w:val="en-US"/>
        </w:rPr>
        <w:t xml:space="preserve">How does legalization of physician assisted suicide affect rates of suicide? Southern Medical Journal, 108(10), 599–694. </w:t>
      </w:r>
      <w:hyperlink r:id="rId43" w:history="1">
        <w:r w:rsidRPr="00111517">
          <w:rPr>
            <w:rStyle w:val="Hyperlink"/>
            <w:lang w:val="en-US"/>
          </w:rPr>
          <w:t>http://research.stmarys.ac.uk/id/eprint/3664/</w:t>
        </w:r>
      </w:hyperlink>
    </w:p>
  </w:footnote>
  <w:footnote w:id="49">
    <w:p w14:paraId="75066159" w14:textId="5573A648" w:rsidR="00D46B8F" w:rsidRPr="00D46B8F" w:rsidRDefault="00D46B8F" w:rsidP="00D46B8F">
      <w:pPr>
        <w:pStyle w:val="FootnoteText"/>
        <w:jc w:val="both"/>
        <w:rPr>
          <w:lang w:val="lt-LT"/>
        </w:rPr>
      </w:pPr>
      <w:r>
        <w:rPr>
          <w:rStyle w:val="FootnoteReference"/>
        </w:rPr>
        <w:footnoteRef/>
      </w:r>
      <w:r w:rsidRPr="00851E2A">
        <w:rPr>
          <w:lang w:val="en-GB"/>
        </w:rPr>
        <w:t xml:space="preserve"> </w:t>
      </w:r>
      <w:r w:rsidRPr="001277AC">
        <w:rPr>
          <w:lang w:val="en-GB"/>
        </w:rPr>
        <w:t>Bachmetjev B, Airapetian A, Jakubauskienė M, Zablockis R and Čekanauskaitė A (2025) Demographic influences on Lithuanian physicians’ attitudes toward medical assistance in dying: a cross-sectional study. Front. Psychiatry 15:1507790. doi: 10.3389/fpsyt.2024.1507790</w:t>
      </w:r>
    </w:p>
  </w:footnote>
  <w:footnote w:id="50">
    <w:p w14:paraId="67AE29DA" w14:textId="06E3CED0" w:rsidR="005C4B01" w:rsidRPr="004646AE" w:rsidRDefault="005C4B01" w:rsidP="002732ED">
      <w:pPr>
        <w:pStyle w:val="FootnoteText"/>
        <w:jc w:val="both"/>
        <w:rPr>
          <w:lang w:val="de-DE"/>
        </w:rPr>
      </w:pPr>
      <w:r>
        <w:rPr>
          <w:rStyle w:val="FootnoteReference"/>
        </w:rPr>
        <w:footnoteRef/>
      </w:r>
      <w:r w:rsidRPr="00914F62">
        <w:rPr>
          <w:lang w:val="en-US"/>
        </w:rPr>
        <w:t xml:space="preserve"> Mroz, S., Deliens, L., Cohen, J., &amp; Chambaere, K. (2022). Developments under assisted dying legislation: The experience in Belgium and other countries. </w:t>
      </w:r>
      <w:r w:rsidRPr="004646AE">
        <w:rPr>
          <w:lang w:val="de-DE"/>
        </w:rPr>
        <w:t xml:space="preserve">Deutsches Ärzteblatt International, 119(48), 829. </w:t>
      </w:r>
      <w:hyperlink r:id="rId44" w:history="1">
        <w:r w:rsidRPr="004646AE">
          <w:rPr>
            <w:rStyle w:val="Hyperlink"/>
            <w:lang w:val="de-DE"/>
          </w:rPr>
          <w:t>https://pmc.ncbi.nlm.nih.gov/articles/PMC10074264/</w:t>
        </w:r>
      </w:hyperlink>
    </w:p>
  </w:footnote>
  <w:footnote w:id="51">
    <w:p w14:paraId="1F88744D" w14:textId="4FFBC01F" w:rsidR="005C4B01" w:rsidRPr="0052585D" w:rsidRDefault="005C4B01" w:rsidP="002732ED">
      <w:pPr>
        <w:pStyle w:val="FootnoteText"/>
        <w:jc w:val="both"/>
        <w:rPr>
          <w:lang w:val="en-US"/>
        </w:rPr>
      </w:pPr>
      <w:r>
        <w:rPr>
          <w:rStyle w:val="FootnoteReference"/>
        </w:rPr>
        <w:footnoteRef/>
      </w:r>
      <w:r w:rsidRPr="004646AE">
        <w:rPr>
          <w:lang w:val="en-GB"/>
        </w:rPr>
        <w:t xml:space="preserve"> Cavalieri, T. A. (2001). </w:t>
      </w:r>
      <w:r w:rsidRPr="0052585D">
        <w:rPr>
          <w:lang w:val="en-US"/>
        </w:rPr>
        <w:t xml:space="preserve">Ethical issues at the end of life. Journal of Osteopathic Medicine, 101(10), 616–624. </w:t>
      </w:r>
      <w:hyperlink r:id="rId45" w:history="1">
        <w:r w:rsidRPr="00111517">
          <w:rPr>
            <w:rStyle w:val="Hyperlink"/>
            <w:lang w:val="en-US"/>
          </w:rPr>
          <w:t>https://www.degruyterbrill.com/document/doi/10.7556/jaoa.2001.101.10.616/html</w:t>
        </w:r>
      </w:hyperlink>
    </w:p>
  </w:footnote>
  <w:footnote w:id="52">
    <w:p w14:paraId="50E27B39" w14:textId="727EBC50" w:rsidR="005C4B01" w:rsidRPr="002D11C0" w:rsidRDefault="005C4B01" w:rsidP="002732ED">
      <w:pPr>
        <w:pStyle w:val="FootnoteText"/>
        <w:jc w:val="both"/>
        <w:rPr>
          <w:lang w:val="en-US"/>
        </w:rPr>
      </w:pPr>
      <w:r>
        <w:rPr>
          <w:rStyle w:val="FootnoteReference"/>
        </w:rPr>
        <w:footnoteRef/>
      </w:r>
      <w:r>
        <w:rPr>
          <w:lang w:val="fr-FR"/>
        </w:rPr>
        <w:t xml:space="preserve"> </w:t>
      </w:r>
      <w:r w:rsidRPr="0021397B">
        <w:rPr>
          <w:lang w:val="fr-FR"/>
        </w:rPr>
        <w:t xml:space="preserve">Verspieren, P. (2019). La participation de l’Eglise Catholique au débat bioéthique. </w:t>
      </w:r>
      <w:r w:rsidRPr="002D11C0">
        <w:rPr>
          <w:lang w:val="en-US"/>
        </w:rPr>
        <w:t>Lebanese Medical Journal, 103(8215), 1–4.</w:t>
      </w:r>
    </w:p>
  </w:footnote>
  <w:footnote w:id="53">
    <w:p w14:paraId="1B9E1DF7" w14:textId="030B4227" w:rsidR="005C4B01" w:rsidRPr="00DE73E3" w:rsidRDefault="005C4B01" w:rsidP="002732ED">
      <w:pPr>
        <w:pStyle w:val="FootnoteText"/>
        <w:jc w:val="both"/>
        <w:rPr>
          <w:lang w:val="de-DE"/>
        </w:rPr>
      </w:pPr>
      <w:r>
        <w:rPr>
          <w:rStyle w:val="FootnoteReference"/>
        </w:rPr>
        <w:footnoteRef/>
      </w:r>
      <w:r w:rsidRPr="0021397B">
        <w:rPr>
          <w:lang w:val="en-US"/>
        </w:rPr>
        <w:t xml:space="preserve"> Mroz, S., Deliens, L., Cohen, J., &amp; Chambaere, K. (2022). Developments under assisted dying legislation: The experience in Belgium and other countries. </w:t>
      </w:r>
      <w:r w:rsidRPr="00DE73E3">
        <w:rPr>
          <w:lang w:val="de-DE"/>
        </w:rPr>
        <w:t xml:space="preserve">Deutsches Ärzteblatt International, 119(48), 829. </w:t>
      </w:r>
      <w:hyperlink r:id="rId46" w:history="1">
        <w:r w:rsidRPr="00DE73E3">
          <w:rPr>
            <w:rStyle w:val="Hyperlink"/>
            <w:lang w:val="de-DE"/>
          </w:rPr>
          <w:t>https://pmc.ncbi.nlm.nih.gov/articles/PMC10074264/</w:t>
        </w:r>
      </w:hyperlink>
    </w:p>
  </w:footnote>
  <w:footnote w:id="54">
    <w:p w14:paraId="1BF0418F" w14:textId="6F040A58" w:rsidR="005C4B01" w:rsidRPr="002D11C0" w:rsidRDefault="005C4B01" w:rsidP="002732ED">
      <w:pPr>
        <w:pStyle w:val="FootnoteText"/>
        <w:jc w:val="both"/>
        <w:rPr>
          <w:lang w:val="en-US"/>
        </w:rPr>
      </w:pPr>
      <w:r>
        <w:rPr>
          <w:rStyle w:val="FootnoteReference"/>
        </w:rPr>
        <w:footnoteRef/>
      </w:r>
      <w:r w:rsidRPr="008514B9">
        <w:rPr>
          <w:lang w:val="en-US"/>
        </w:rPr>
        <w:t xml:space="preserve"> Delbeke, E. (2013). The legal permissiblity of continuous deep sedation at the end of life: A comparison of laws and a proposal. </w:t>
      </w:r>
      <w:r w:rsidRPr="002D11C0">
        <w:rPr>
          <w:lang w:val="en-US"/>
        </w:rPr>
        <w:t>Sterckx, Raus and Mortier Eds, 132–148.</w:t>
      </w:r>
    </w:p>
  </w:footnote>
  <w:footnote w:id="55">
    <w:p w14:paraId="6B0FC098" w14:textId="5E1EE927" w:rsidR="005C4B01" w:rsidRPr="008A13B1" w:rsidRDefault="005C4B01" w:rsidP="002732ED">
      <w:pPr>
        <w:pStyle w:val="FootnoteText"/>
        <w:jc w:val="both"/>
        <w:rPr>
          <w:lang w:val="en-US"/>
        </w:rPr>
      </w:pPr>
      <w:r>
        <w:rPr>
          <w:rStyle w:val="FootnoteReference"/>
        </w:rPr>
        <w:footnoteRef/>
      </w:r>
      <w:bookmarkStart w:id="4" w:name="_Hlk207289963"/>
      <w:r w:rsidR="0026279B">
        <w:rPr>
          <w:lang w:val="en-US"/>
        </w:rPr>
        <w:t xml:space="preserve"> </w:t>
      </w:r>
      <w:r w:rsidRPr="008A13B1">
        <w:rPr>
          <w:lang w:val="en-US"/>
        </w:rPr>
        <w:t xml:space="preserve">Rachels, J. (1986). The end of life: Euthanasia and morality. </w:t>
      </w:r>
      <w:hyperlink r:id="rId47" w:history="1">
        <w:r w:rsidRPr="00111517">
          <w:rPr>
            <w:rStyle w:val="Hyperlink"/>
            <w:lang w:val="en-US"/>
          </w:rPr>
          <w:t>https://philpapers.org/rec/RACTEO</w:t>
        </w:r>
      </w:hyperlink>
      <w:bookmarkEnd w:id="4"/>
    </w:p>
  </w:footnote>
  <w:footnote w:id="56">
    <w:p w14:paraId="565C8985" w14:textId="3E70A4F1" w:rsidR="005C4B01" w:rsidRPr="002446B0" w:rsidRDefault="005C4B01" w:rsidP="002732ED">
      <w:pPr>
        <w:pStyle w:val="FootnoteText"/>
        <w:jc w:val="both"/>
        <w:rPr>
          <w:lang w:val="en-US"/>
        </w:rPr>
      </w:pPr>
      <w:r>
        <w:rPr>
          <w:rStyle w:val="FootnoteReference"/>
        </w:rPr>
        <w:footnoteRef/>
      </w:r>
      <w:r w:rsidRPr="002446B0">
        <w:rPr>
          <w:lang w:val="en-US"/>
        </w:rPr>
        <w:t xml:space="preserve"> McKenzie, D. (2004). Church, state, and physician-assisted suicide. Journal of Church and State, 46(4), 787–809. </w:t>
      </w:r>
      <w:hyperlink r:id="rId48" w:history="1">
        <w:r w:rsidRPr="00111517">
          <w:rPr>
            <w:rStyle w:val="Hyperlink"/>
            <w:lang w:val="en-US"/>
          </w:rPr>
          <w:t>https://academic.oup.com/jcs/article-abstract/46/4/787/783219</w:t>
        </w:r>
      </w:hyperlink>
    </w:p>
  </w:footnote>
  <w:footnote w:id="57">
    <w:p w14:paraId="3714885C" w14:textId="4C17F55A" w:rsidR="005C4B01" w:rsidRPr="002D11C0" w:rsidRDefault="005C4B01" w:rsidP="002732ED">
      <w:pPr>
        <w:pStyle w:val="FootnoteText"/>
        <w:jc w:val="both"/>
        <w:rPr>
          <w:lang w:val="en-US"/>
        </w:rPr>
      </w:pPr>
      <w:r>
        <w:rPr>
          <w:rStyle w:val="FootnoteReference"/>
        </w:rPr>
        <w:footnoteRef/>
      </w:r>
      <w:r w:rsidRPr="005153F7">
        <w:rPr>
          <w:lang w:val="en-US"/>
        </w:rPr>
        <w:t xml:space="preserve"> Coelho, R., &amp; Herx, L. (2024). 7 The rapid expansion of euthanasia and assisted suicide: The view from Canada. </w:t>
      </w:r>
      <w:r w:rsidRPr="002D11C0">
        <w:rPr>
          <w:lang w:val="en-US"/>
        </w:rPr>
        <w:t>The Reality of Assisted Dying: Understanding the Issues, 51.</w:t>
      </w:r>
    </w:p>
  </w:footnote>
  <w:footnote w:id="58">
    <w:p w14:paraId="29C0117B" w14:textId="36248AAA" w:rsidR="005C4B01" w:rsidRPr="002D11C0" w:rsidRDefault="005C4B01" w:rsidP="002732ED">
      <w:pPr>
        <w:pStyle w:val="FootnoteText"/>
        <w:jc w:val="both"/>
        <w:rPr>
          <w:lang w:val="en-US"/>
        </w:rPr>
      </w:pPr>
      <w:r>
        <w:rPr>
          <w:rStyle w:val="FootnoteReference"/>
        </w:rPr>
        <w:footnoteRef/>
      </w:r>
      <w:r w:rsidRPr="00FD4E78">
        <w:rPr>
          <w:lang w:val="en-US"/>
        </w:rPr>
        <w:t xml:space="preserve"> Emanuel, L. L. (1998). Facing requests for physician-assisted suicide: Toward a practical and principled clinical skill set. </w:t>
      </w:r>
      <w:r w:rsidRPr="002D11C0">
        <w:rPr>
          <w:lang w:val="en-US"/>
        </w:rPr>
        <w:t xml:space="preserve">Jama, 280(7), 643–647. </w:t>
      </w:r>
      <w:hyperlink r:id="rId49" w:history="1">
        <w:r w:rsidRPr="002D11C0">
          <w:rPr>
            <w:rStyle w:val="Hyperlink"/>
            <w:lang w:val="en-US"/>
          </w:rPr>
          <w:t>https://jamanetwork.com/journals/jama/article-abstract/187873</w:t>
        </w:r>
      </w:hyperlink>
    </w:p>
  </w:footnote>
  <w:footnote w:id="59">
    <w:p w14:paraId="486B7047" w14:textId="1A89E50B" w:rsidR="005C4B01" w:rsidRPr="002D11C0" w:rsidRDefault="005C4B01" w:rsidP="002732ED">
      <w:pPr>
        <w:pStyle w:val="FootnoteText"/>
        <w:jc w:val="both"/>
        <w:rPr>
          <w:lang w:val="en-US"/>
        </w:rPr>
      </w:pPr>
      <w:r>
        <w:rPr>
          <w:rStyle w:val="FootnoteReference"/>
        </w:rPr>
        <w:footnoteRef/>
      </w:r>
      <w:r w:rsidRPr="00C86B7C">
        <w:rPr>
          <w:lang w:val="en-US"/>
        </w:rPr>
        <w:t xml:space="preserve"> Sabriseilabi, S., &amp; Williams, J. (2022). Dimensions of religion and attitudes toward euthanasia. </w:t>
      </w:r>
      <w:r w:rsidRPr="002D11C0">
        <w:rPr>
          <w:lang w:val="en-US"/>
        </w:rPr>
        <w:t xml:space="preserve">Death Studies, 46(5), 1149–1156. </w:t>
      </w:r>
      <w:hyperlink r:id="rId50" w:history="1">
        <w:r w:rsidRPr="002D11C0">
          <w:rPr>
            <w:rStyle w:val="Hyperlink"/>
            <w:lang w:val="en-US"/>
          </w:rPr>
          <w:t>https://doi.org/10.1080/07481187.2020.1800863</w:t>
        </w:r>
      </w:hyperlink>
    </w:p>
  </w:footnote>
  <w:footnote w:id="60">
    <w:p w14:paraId="5CBF3067" w14:textId="0FAA7817" w:rsidR="005C4B01" w:rsidRPr="00F832E4" w:rsidRDefault="005C4B01" w:rsidP="002732ED">
      <w:pPr>
        <w:pStyle w:val="FootnoteText"/>
        <w:jc w:val="both"/>
        <w:rPr>
          <w:lang w:val="en-US"/>
        </w:rPr>
      </w:pPr>
      <w:r>
        <w:rPr>
          <w:rStyle w:val="FootnoteReference"/>
        </w:rPr>
        <w:footnoteRef/>
      </w:r>
      <w:r w:rsidRPr="00D53805">
        <w:rPr>
          <w:lang w:val="de-DE"/>
        </w:rPr>
        <w:t xml:space="preserve"> Cohen, J., Marcoux, I., Bilsen, J., Deboosere, P., Van der Wal, G., &amp; Deliens, L. (2006). </w:t>
      </w:r>
      <w:r w:rsidRPr="00F832E4">
        <w:rPr>
          <w:lang w:val="en-US"/>
        </w:rPr>
        <w:t xml:space="preserve">Trends in acceptance of euthanasia among the general public in 12 European countries (1981–1999). The European Journal of Public Health, 16(6), 663–669. </w:t>
      </w:r>
      <w:hyperlink r:id="rId51" w:history="1">
        <w:r w:rsidRPr="00111517">
          <w:rPr>
            <w:rStyle w:val="Hyperlink"/>
            <w:lang w:val="en-US"/>
          </w:rPr>
          <w:t>https://academic.oup.com/eurpub/article-abstract/16/6/663/587667</w:t>
        </w:r>
      </w:hyperlink>
    </w:p>
  </w:footnote>
  <w:footnote w:id="61">
    <w:p w14:paraId="2DB0CCBD" w14:textId="0523841D" w:rsidR="005C4B01" w:rsidRPr="00F832E4" w:rsidRDefault="005C4B01" w:rsidP="002732ED">
      <w:pPr>
        <w:pStyle w:val="FootnoteText"/>
        <w:jc w:val="both"/>
        <w:rPr>
          <w:lang w:val="en-US"/>
        </w:rPr>
      </w:pPr>
      <w:r>
        <w:rPr>
          <w:rStyle w:val="FootnoteReference"/>
        </w:rPr>
        <w:footnoteRef/>
      </w:r>
      <w:r w:rsidRPr="00F832E4">
        <w:rPr>
          <w:lang w:val="en-US"/>
        </w:rPr>
        <w:t xml:space="preserve"> Sadeq, A.-F. (2020). Whose life is it anyway? A reflective dialogue between religious and secular bioethical perspectives. Ethics, Medicine and Public Health, 14, 100429. </w:t>
      </w:r>
      <w:hyperlink r:id="rId52" w:history="1">
        <w:r w:rsidRPr="00111517">
          <w:rPr>
            <w:rStyle w:val="Hyperlink"/>
            <w:lang w:val="en-US"/>
          </w:rPr>
          <w:t>https://www.sciencedirect.com/science/article/pii/S2352552519300945</w:t>
        </w:r>
      </w:hyperlink>
    </w:p>
  </w:footnote>
  <w:footnote w:id="62">
    <w:p w14:paraId="72AB4905" w14:textId="37880BCD" w:rsidR="005C4B01" w:rsidRPr="00F832E4" w:rsidRDefault="005C4B01" w:rsidP="002732ED">
      <w:pPr>
        <w:pStyle w:val="FootnoteText"/>
        <w:jc w:val="both"/>
        <w:rPr>
          <w:lang w:val="en-US"/>
        </w:rPr>
      </w:pPr>
      <w:r>
        <w:rPr>
          <w:rStyle w:val="FootnoteReference"/>
        </w:rPr>
        <w:footnoteRef/>
      </w:r>
      <w:r w:rsidRPr="00F832E4">
        <w:rPr>
          <w:lang w:val="en-US"/>
        </w:rPr>
        <w:t xml:space="preserve"> Brock, D. W. (2019). Voluntary active euthanasia. In Death, Dying and the Ending of Life, Volumes I and II (p. V2_229-V2_241). Routledge. </w:t>
      </w:r>
      <w:hyperlink r:id="rId53" w:history="1">
        <w:r w:rsidRPr="00111517">
          <w:rPr>
            <w:rStyle w:val="Hyperlink"/>
            <w:lang w:val="en-US"/>
          </w:rPr>
          <w:t>https://www.taylorfrancis.com/chapters/edit/10.4324/9781315258447-35/voluntary-active-euthanasia-dan-brock</w:t>
        </w:r>
      </w:hyperlink>
    </w:p>
  </w:footnote>
  <w:footnote w:id="63">
    <w:p w14:paraId="301D4745" w14:textId="62D37C98" w:rsidR="005C4B01" w:rsidRPr="002D11C0" w:rsidRDefault="005C4B01" w:rsidP="002732ED">
      <w:pPr>
        <w:pStyle w:val="FootnoteText"/>
        <w:jc w:val="both"/>
        <w:rPr>
          <w:lang w:val="en-US"/>
        </w:rPr>
      </w:pPr>
      <w:r>
        <w:rPr>
          <w:rStyle w:val="FootnoteReference"/>
        </w:rPr>
        <w:footnoteRef/>
      </w:r>
      <w:r w:rsidRPr="00F832E4">
        <w:rPr>
          <w:lang w:val="en-US"/>
        </w:rPr>
        <w:t xml:space="preserve"> Biggs, H. (2001). Euthanasia, death with dignity and the Law. </w:t>
      </w:r>
      <w:r w:rsidRPr="002D11C0">
        <w:rPr>
          <w:lang w:val="en-US"/>
        </w:rPr>
        <w:t>Hart Publishing.</w:t>
      </w:r>
    </w:p>
  </w:footnote>
  <w:footnote w:id="64">
    <w:p w14:paraId="6E43DEAE" w14:textId="27C102E0" w:rsidR="005C4B01" w:rsidRPr="002D11C0" w:rsidRDefault="005C4B01" w:rsidP="002732ED">
      <w:pPr>
        <w:pStyle w:val="FootnoteText"/>
        <w:jc w:val="both"/>
        <w:rPr>
          <w:lang w:val="en-US"/>
        </w:rPr>
      </w:pPr>
      <w:r>
        <w:rPr>
          <w:rStyle w:val="FootnoteReference"/>
        </w:rPr>
        <w:footnoteRef/>
      </w:r>
      <w:r w:rsidRPr="0064266E">
        <w:rPr>
          <w:lang w:val="en-US"/>
        </w:rPr>
        <w:t xml:space="preserve"> Emanuel, L. L. (1998). Facing requests for physician-assisted suicide: Toward a practical and principled clinical skill set. </w:t>
      </w:r>
      <w:r w:rsidRPr="002D11C0">
        <w:rPr>
          <w:lang w:val="en-US"/>
        </w:rPr>
        <w:t xml:space="preserve">Jama, 280(7), 643–647. </w:t>
      </w:r>
      <w:hyperlink r:id="rId54" w:history="1">
        <w:r w:rsidRPr="002D11C0">
          <w:rPr>
            <w:rStyle w:val="Hyperlink"/>
            <w:lang w:val="en-US"/>
          </w:rPr>
          <w:t>https://jamanetwork.com/journals/jama/article-abstract/187873</w:t>
        </w:r>
      </w:hyperlink>
    </w:p>
  </w:footnote>
  <w:footnote w:id="65">
    <w:p w14:paraId="3CC2B764" w14:textId="03299C64" w:rsidR="005C4B01" w:rsidRPr="002D11C0" w:rsidRDefault="005C4B01" w:rsidP="002732ED">
      <w:pPr>
        <w:pStyle w:val="FootnoteText"/>
        <w:jc w:val="both"/>
        <w:rPr>
          <w:lang w:val="en-US"/>
        </w:rPr>
      </w:pPr>
      <w:r>
        <w:rPr>
          <w:rStyle w:val="FootnoteReference"/>
        </w:rPr>
        <w:footnoteRef/>
      </w:r>
      <w:r w:rsidRPr="0064266E">
        <w:rPr>
          <w:lang w:val="en-US"/>
        </w:rPr>
        <w:t xml:space="preserve"> Dowbiggin, I. (2003). A merciful end: The euthanasia movement in modern America. </w:t>
      </w:r>
      <w:r w:rsidRPr="002D11C0">
        <w:rPr>
          <w:lang w:val="en-US"/>
        </w:rPr>
        <w:t>Oxford University Press.</w:t>
      </w:r>
    </w:p>
  </w:footnote>
  <w:footnote w:id="66">
    <w:p w14:paraId="15024CAD" w14:textId="09F96180" w:rsidR="005C4B01" w:rsidRPr="0064266E" w:rsidRDefault="005C4B01" w:rsidP="002732ED">
      <w:pPr>
        <w:pStyle w:val="FootnoteText"/>
        <w:jc w:val="both"/>
        <w:rPr>
          <w:lang w:val="en-US"/>
        </w:rPr>
      </w:pPr>
      <w:r>
        <w:rPr>
          <w:rStyle w:val="FootnoteReference"/>
        </w:rPr>
        <w:footnoteRef/>
      </w:r>
      <w:r w:rsidRPr="0064266E">
        <w:rPr>
          <w:lang w:val="en-US"/>
        </w:rPr>
        <w:t xml:space="preserve"> Quill, T. E. (2005). Terri Schiavo—A Tragedy Compounded. New England Journal of Medicine, 352(16), 1630–1633. </w:t>
      </w:r>
      <w:hyperlink r:id="rId55" w:history="1">
        <w:r w:rsidRPr="00111517">
          <w:rPr>
            <w:rStyle w:val="Hyperlink"/>
            <w:lang w:val="en-US"/>
          </w:rPr>
          <w:t>https://doi.org/10.1056/NEJMp058062</w:t>
        </w:r>
      </w:hyperlink>
    </w:p>
  </w:footnote>
  <w:footnote w:id="67">
    <w:p w14:paraId="1444380E" w14:textId="3FED343A" w:rsidR="005C4B01" w:rsidRPr="00195BDC" w:rsidRDefault="005C4B01" w:rsidP="002732ED">
      <w:pPr>
        <w:pStyle w:val="FootnoteText"/>
        <w:jc w:val="both"/>
        <w:rPr>
          <w:lang w:val="en-US"/>
        </w:rPr>
      </w:pPr>
      <w:r>
        <w:rPr>
          <w:rStyle w:val="FootnoteReference"/>
        </w:rPr>
        <w:footnoteRef/>
      </w:r>
      <w:r w:rsidRPr="00195BDC">
        <w:rPr>
          <w:lang w:val="en-US"/>
        </w:rPr>
        <w:t xml:space="preserve"> Daniels, N. (2001). Justice, Health, and Healthcare. American Journal of Bioethics, 1(2), 2–16. </w:t>
      </w:r>
      <w:hyperlink r:id="rId56" w:history="1">
        <w:r w:rsidRPr="00111517">
          <w:rPr>
            <w:rStyle w:val="Hyperlink"/>
            <w:lang w:val="en-US"/>
          </w:rPr>
          <w:t>https://doi.org/10.1162/152651601300168834</w:t>
        </w:r>
      </w:hyperlink>
    </w:p>
  </w:footnote>
  <w:footnote w:id="68">
    <w:p w14:paraId="18273533" w14:textId="32980D8A" w:rsidR="005C4B01" w:rsidRPr="00881709" w:rsidRDefault="005C4B01" w:rsidP="002732ED">
      <w:pPr>
        <w:pStyle w:val="FootnoteText"/>
        <w:jc w:val="both"/>
        <w:rPr>
          <w:lang w:val="en-US"/>
        </w:rPr>
      </w:pPr>
      <w:r>
        <w:rPr>
          <w:rStyle w:val="FootnoteReference"/>
        </w:rPr>
        <w:footnoteRef/>
      </w:r>
      <w:r w:rsidRPr="00881709">
        <w:rPr>
          <w:lang w:val="en-US"/>
        </w:rPr>
        <w:t xml:space="preserve"> Leigh, C. (1983). Dying in an age of technology: An evaluation of terminal care technology and its alternatives [PhD Thesis, University of Wollongong]. </w:t>
      </w:r>
      <w:hyperlink r:id="rId57" w:history="1">
        <w:r w:rsidRPr="00111517">
          <w:rPr>
            <w:rStyle w:val="Hyperlink"/>
            <w:lang w:val="en-US"/>
          </w:rPr>
          <w:t>https://ro.uow.edu.au/ndownloader/files/50351955/1</w:t>
        </w:r>
      </w:hyperlink>
    </w:p>
  </w:footnote>
  <w:footnote w:id="69">
    <w:p w14:paraId="33309D46" w14:textId="5E5AED99" w:rsidR="005C4B01" w:rsidRPr="00881709" w:rsidRDefault="005C4B01" w:rsidP="002732ED">
      <w:pPr>
        <w:pStyle w:val="FootnoteText"/>
        <w:jc w:val="both"/>
        <w:rPr>
          <w:lang w:val="en-US"/>
        </w:rPr>
      </w:pPr>
      <w:r>
        <w:rPr>
          <w:rStyle w:val="FootnoteReference"/>
        </w:rPr>
        <w:footnoteRef/>
      </w:r>
      <w:r w:rsidR="0026279B">
        <w:rPr>
          <w:lang w:val="en-US"/>
        </w:rPr>
        <w:t xml:space="preserve"> </w:t>
      </w:r>
      <w:r w:rsidRPr="00881709">
        <w:rPr>
          <w:lang w:val="en-US"/>
        </w:rPr>
        <w:t xml:space="preserve">Tierney, L. (2001). Changing Attitudes Towards Death and Suffering: A Cultural Perspective on The Euthanasia Debate [PhD Thesis, Pontifical University, St Patrick’s College, Maynooth]. </w:t>
      </w:r>
      <w:hyperlink r:id="rId58" w:history="1">
        <w:r w:rsidRPr="00111517">
          <w:rPr>
            <w:rStyle w:val="Hyperlink"/>
            <w:lang w:val="en-US"/>
          </w:rPr>
          <w:t>https://eprints.nuim.ie/id/eprint/5193/</w:t>
        </w:r>
      </w:hyperlink>
    </w:p>
  </w:footnote>
  <w:footnote w:id="70">
    <w:p w14:paraId="6B0E65A9" w14:textId="6159F8FF" w:rsidR="005C4B01" w:rsidRPr="002D11C0" w:rsidRDefault="005C4B01" w:rsidP="002732ED">
      <w:pPr>
        <w:pStyle w:val="FootnoteText"/>
        <w:jc w:val="both"/>
        <w:rPr>
          <w:lang w:val="en-US"/>
        </w:rPr>
      </w:pPr>
      <w:r>
        <w:rPr>
          <w:rStyle w:val="FootnoteReference"/>
        </w:rPr>
        <w:footnoteRef/>
      </w:r>
      <w:r w:rsidRPr="00527B2B">
        <w:rPr>
          <w:lang w:val="en-US"/>
        </w:rPr>
        <w:t xml:space="preserve"> Grove, G. L., Lovell, M. R., Hughes, I., Maehler, E., &amp; Best, M. (2025). Voluntary-assisted dying, euthanasia and physician-assisted suicide: Global perspectives—systematic review. </w:t>
      </w:r>
      <w:r w:rsidRPr="002D11C0">
        <w:rPr>
          <w:lang w:val="en-US"/>
        </w:rPr>
        <w:t xml:space="preserve">BMJ Supportive &amp; Palliative Care, 15(4), 423–435. </w:t>
      </w:r>
      <w:hyperlink r:id="rId59" w:history="1">
        <w:r w:rsidRPr="002D11C0">
          <w:rPr>
            <w:rStyle w:val="Hyperlink"/>
            <w:lang w:val="en-US"/>
          </w:rPr>
          <w:t>https://spcare.bmj.com/content/15/4/423.abstract</w:t>
        </w:r>
      </w:hyperlink>
    </w:p>
  </w:footnote>
  <w:footnote w:id="71">
    <w:p w14:paraId="225EFF6E" w14:textId="53B2367D" w:rsidR="005C4B01" w:rsidRPr="00527B2B" w:rsidRDefault="005C4B01" w:rsidP="002732ED">
      <w:pPr>
        <w:pStyle w:val="FootnoteText"/>
        <w:jc w:val="both"/>
        <w:rPr>
          <w:lang w:val="fr-FR"/>
        </w:rPr>
      </w:pPr>
      <w:r>
        <w:rPr>
          <w:rStyle w:val="FootnoteReference"/>
        </w:rPr>
        <w:footnoteRef/>
      </w:r>
      <w:r w:rsidRPr="00527B2B">
        <w:rPr>
          <w:lang w:val="en-US"/>
        </w:rPr>
        <w:t xml:space="preserve"> Emanuel, L. L. (1998). Facing requests for physician-assisted suicide: Toward a practical and principled clinical skill set. </w:t>
      </w:r>
      <w:r w:rsidRPr="00527B2B">
        <w:t xml:space="preserve">Jama, 280(7), 643–647. </w:t>
      </w:r>
      <w:hyperlink r:id="rId60" w:history="1">
        <w:r w:rsidRPr="00111517">
          <w:rPr>
            <w:rStyle w:val="Hyperlink"/>
          </w:rPr>
          <w:t>https://jamanetwork.com/journals/jama/article-abstract/187873</w:t>
        </w:r>
      </w:hyperlink>
    </w:p>
  </w:footnote>
  <w:footnote w:id="72">
    <w:p w14:paraId="3179DC54" w14:textId="370DC038" w:rsidR="005C4B01" w:rsidRPr="00527B2B" w:rsidRDefault="005C4B01" w:rsidP="002732ED">
      <w:pPr>
        <w:pStyle w:val="FootnoteText"/>
        <w:jc w:val="both"/>
        <w:rPr>
          <w:lang w:val="en-US"/>
        </w:rPr>
      </w:pPr>
      <w:r>
        <w:rPr>
          <w:rStyle w:val="FootnoteReference"/>
        </w:rPr>
        <w:footnoteRef/>
      </w:r>
      <w:r w:rsidRPr="00A24796">
        <w:rPr>
          <w:lang w:val="fr-FR"/>
        </w:rPr>
        <w:t xml:space="preserve"> Cavalieri, T. A. (2001). </w:t>
      </w:r>
      <w:r w:rsidRPr="00527B2B">
        <w:rPr>
          <w:lang w:val="en-US"/>
        </w:rPr>
        <w:t xml:space="preserve">Ethical issues at the end of life. Journal of Osteopathic Medicine, 101(10), 616–624. </w:t>
      </w:r>
      <w:hyperlink r:id="rId61" w:history="1">
        <w:r w:rsidRPr="00111517">
          <w:rPr>
            <w:rStyle w:val="Hyperlink"/>
            <w:lang w:val="en-US"/>
          </w:rPr>
          <w:t>https://www.degruyterbrill.com/document/doi/10.7556/jaoa.2001.101.10.616/html</w:t>
        </w:r>
      </w:hyperlink>
    </w:p>
  </w:footnote>
  <w:footnote w:id="73">
    <w:p w14:paraId="0308F35E" w14:textId="07830559" w:rsidR="00293B92" w:rsidRPr="00293B92" w:rsidRDefault="00293B92" w:rsidP="00B61886">
      <w:pPr>
        <w:pStyle w:val="FootnoteText"/>
        <w:jc w:val="both"/>
        <w:rPr>
          <w:lang w:val="en-US"/>
        </w:rPr>
      </w:pPr>
      <w:r w:rsidRPr="00D61D93">
        <w:rPr>
          <w:rStyle w:val="FootnoteReference"/>
        </w:rPr>
        <w:footnoteRef/>
      </w:r>
      <w:r w:rsidRPr="00293B92">
        <w:rPr>
          <w:lang w:val="en-US"/>
        </w:rPr>
        <w:t xml:space="preserve"> Kemp, N. D. (2002). Merciful release: The history of the British euthanasia movement. Manchester University Press.</w:t>
      </w:r>
    </w:p>
  </w:footnote>
  <w:footnote w:id="74">
    <w:p w14:paraId="096D0098" w14:textId="2E13B707" w:rsidR="00293B92" w:rsidRPr="00293B92" w:rsidRDefault="00293B92" w:rsidP="00B61886">
      <w:pPr>
        <w:pStyle w:val="FootnoteText"/>
        <w:jc w:val="both"/>
        <w:rPr>
          <w:lang w:val="en-US"/>
        </w:rPr>
      </w:pPr>
      <w:r w:rsidRPr="003A473E">
        <w:rPr>
          <w:rStyle w:val="FootnoteReference"/>
        </w:rPr>
        <w:footnoteRef/>
      </w:r>
      <w:r w:rsidRPr="00293B92">
        <w:rPr>
          <w:lang w:val="en-US"/>
        </w:rPr>
        <w:t xml:space="preserve"> Fisher, A. (1997). Theological aspects of euthanasia. </w:t>
      </w:r>
      <w:r w:rsidRPr="00293B92">
        <w:rPr>
          <w:i/>
          <w:iCs/>
          <w:lang w:val="en-US"/>
        </w:rPr>
        <w:t>Euthanasia Examined: Ethical, Clinical and Legal Perspectives</w:t>
      </w:r>
      <w:r w:rsidRPr="00293B92">
        <w:rPr>
          <w:lang w:val="en-US"/>
        </w:rPr>
        <w:t>, 315–332.</w:t>
      </w:r>
    </w:p>
  </w:footnote>
  <w:footnote w:id="75">
    <w:p w14:paraId="35BC777A" w14:textId="3F1375A0" w:rsidR="00293B92" w:rsidRPr="00293B92" w:rsidRDefault="00293B92" w:rsidP="00B61886">
      <w:pPr>
        <w:pStyle w:val="FootnoteText"/>
        <w:jc w:val="both"/>
        <w:rPr>
          <w:lang w:val="en-US"/>
        </w:rPr>
      </w:pPr>
      <w:r w:rsidRPr="003A473E">
        <w:rPr>
          <w:rStyle w:val="FootnoteReference"/>
        </w:rPr>
        <w:footnoteRef/>
      </w:r>
      <w:r w:rsidRPr="003A473E">
        <w:rPr>
          <w:lang w:val="fr-FR"/>
        </w:rPr>
        <w:t xml:space="preserve"> Beauchamp, T. L., &amp; Davidson, A. I. (1979). </w:t>
      </w:r>
      <w:r w:rsidRPr="00293B92">
        <w:rPr>
          <w:lang w:val="en-US"/>
        </w:rPr>
        <w:t xml:space="preserve">The definition of euthanasia. The Journal of Medicine and Philosophy, 4(3), 294–312. </w:t>
      </w:r>
      <w:hyperlink r:id="rId62" w:history="1">
        <w:r w:rsidRPr="003A473E">
          <w:rPr>
            <w:rStyle w:val="Hyperlink"/>
            <w:lang w:val="fr-FR"/>
          </w:rPr>
          <w:t>https://academic.oup.com/jmp/article-abstract/4/3/294/899452</w:t>
        </w:r>
      </w:hyperlink>
      <w:r w:rsidRPr="003A473E">
        <w:rPr>
          <w:lang w:val="fr-FR"/>
        </w:rPr>
        <w:t xml:space="preserve">; Emanuel, E. J. (1994). </w:t>
      </w:r>
      <w:r w:rsidRPr="00293B92">
        <w:rPr>
          <w:lang w:val="en-US"/>
        </w:rPr>
        <w:t xml:space="preserve">Euthanasia: Historical, ethical, and empiric perspectives. </w:t>
      </w:r>
      <w:r w:rsidRPr="00293B92">
        <w:rPr>
          <w:i/>
          <w:iCs/>
          <w:lang w:val="en-US"/>
        </w:rPr>
        <w:t>Archives of Internal Medicine</w:t>
      </w:r>
      <w:r w:rsidRPr="00293B92">
        <w:rPr>
          <w:lang w:val="en-US"/>
        </w:rPr>
        <w:t xml:space="preserve">, </w:t>
      </w:r>
      <w:r w:rsidRPr="00293B92">
        <w:rPr>
          <w:i/>
          <w:iCs/>
          <w:lang w:val="en-US"/>
        </w:rPr>
        <w:t>154</w:t>
      </w:r>
      <w:r w:rsidRPr="00293B92">
        <w:rPr>
          <w:lang w:val="en-US"/>
        </w:rPr>
        <w:t xml:space="preserve">(17), 1890–1901. </w:t>
      </w:r>
      <w:hyperlink r:id="rId63" w:history="1">
        <w:r w:rsidRPr="004646AE">
          <w:rPr>
            <w:rStyle w:val="Hyperlink"/>
            <w:lang w:val="de-DE"/>
          </w:rPr>
          <w:t>https://jamanetwork.com/journals/jamainternalmedicine/article-abstract/619263</w:t>
        </w:r>
      </w:hyperlink>
      <w:r w:rsidRPr="004646AE">
        <w:rPr>
          <w:lang w:val="de-DE"/>
        </w:rPr>
        <w:t xml:space="preserve">; Van Der Meer, C. (1988). </w:t>
      </w:r>
      <w:r w:rsidRPr="00293B92">
        <w:rPr>
          <w:lang w:val="en-US"/>
        </w:rPr>
        <w:t xml:space="preserve">Euthanasia: A Definition and Ethical Conditions. </w:t>
      </w:r>
      <w:r w:rsidRPr="00293B92">
        <w:rPr>
          <w:i/>
          <w:iCs/>
          <w:lang w:val="en-US"/>
        </w:rPr>
        <w:t>Journal of Palliative Care</w:t>
      </w:r>
      <w:r w:rsidRPr="00293B92">
        <w:rPr>
          <w:lang w:val="en-US"/>
        </w:rPr>
        <w:t xml:space="preserve">, </w:t>
      </w:r>
      <w:r w:rsidRPr="00293B92">
        <w:rPr>
          <w:i/>
          <w:iCs/>
          <w:lang w:val="en-US"/>
        </w:rPr>
        <w:t>4</w:t>
      </w:r>
      <w:r w:rsidRPr="00293B92">
        <w:rPr>
          <w:lang w:val="en-US"/>
        </w:rPr>
        <w:t xml:space="preserve">(1–2), 103–106. </w:t>
      </w:r>
      <w:hyperlink r:id="rId64" w:history="1">
        <w:r w:rsidRPr="00293B92">
          <w:rPr>
            <w:rStyle w:val="Hyperlink"/>
            <w:lang w:val="en-US"/>
          </w:rPr>
          <w:t>https://doi.org/10.1177/0825859788004001-232</w:t>
        </w:r>
      </w:hyperlink>
      <w:r w:rsidRPr="00293B92">
        <w:rPr>
          <w:lang w:val="en-US"/>
        </w:rPr>
        <w:t xml:space="preserve">; Wreen, M. (1988). The definition of euthanasia. </w:t>
      </w:r>
      <w:r w:rsidRPr="00293B92">
        <w:rPr>
          <w:i/>
          <w:iCs/>
          <w:lang w:val="en-US"/>
        </w:rPr>
        <w:t>Philosophy and Phenomenological Research</w:t>
      </w:r>
      <w:r w:rsidRPr="00293B92">
        <w:rPr>
          <w:lang w:val="en-US"/>
        </w:rPr>
        <w:t xml:space="preserve">, </w:t>
      </w:r>
      <w:r w:rsidRPr="00293B92">
        <w:rPr>
          <w:i/>
          <w:iCs/>
          <w:lang w:val="en-US"/>
        </w:rPr>
        <w:t>48</w:t>
      </w:r>
      <w:r w:rsidRPr="00293B92">
        <w:rPr>
          <w:lang w:val="en-US"/>
        </w:rPr>
        <w:t xml:space="preserve">(4), 637–653. </w:t>
      </w:r>
      <w:hyperlink r:id="rId65" w:history="1">
        <w:r w:rsidRPr="00293B92">
          <w:rPr>
            <w:rStyle w:val="Hyperlink"/>
            <w:lang w:val="en-US"/>
          </w:rPr>
          <w:t>https://www.jstor.org/stable/2108012</w:t>
        </w:r>
      </w:hyperlink>
    </w:p>
  </w:footnote>
  <w:footnote w:id="76">
    <w:p w14:paraId="1A404CE5" w14:textId="1D589BBC" w:rsidR="00293B92" w:rsidRPr="00EA5C5B" w:rsidRDefault="00293B92" w:rsidP="00B61886">
      <w:pPr>
        <w:pStyle w:val="FootnoteText"/>
        <w:jc w:val="both"/>
        <w:rPr>
          <w:lang w:val="en-US"/>
        </w:rPr>
      </w:pPr>
      <w:r w:rsidRPr="003A473E">
        <w:rPr>
          <w:rStyle w:val="FootnoteReference"/>
        </w:rPr>
        <w:footnoteRef/>
      </w:r>
      <w:r w:rsidRPr="00293B92">
        <w:rPr>
          <w:lang w:val="en-US"/>
        </w:rPr>
        <w:t xml:space="preserve"> Mohammed, N. O. (2024). A Critical Analysis of Euthanasia, Human Rights and the Role of Law in Right to Die. Issue 1 Int’l JL Mgmt. &amp; Human., 7, 380. </w:t>
      </w:r>
      <w:hyperlink r:id="rId66" w:history="1">
        <w:r w:rsidRPr="00293B92">
          <w:rPr>
            <w:rStyle w:val="Hyperlink"/>
            <w:lang w:val="en-US"/>
          </w:rPr>
          <w:t>https://heinonline.org/hol-cgi-bin/get_pdf.cgi?handle=hein.journals/ijlmhs27&amp;section=39</w:t>
        </w:r>
      </w:hyperlink>
      <w:r w:rsidRPr="00293B92">
        <w:rPr>
          <w:lang w:val="en-US"/>
        </w:rPr>
        <w:t xml:space="preserve">; Singh, Y., &amp; Acharya, P. P. (2024). Examining Euthanasia: Comparative Analysis of the Right to Die in Legal and Ethical Contexts. Issue 1 Int’l JL Mgmt. &amp; Human., 7, 1933. </w:t>
      </w:r>
      <w:hyperlink r:id="rId67" w:history="1">
        <w:r w:rsidRPr="00EA5C5B">
          <w:rPr>
            <w:rStyle w:val="Hyperlink"/>
            <w:lang w:val="en-US"/>
          </w:rPr>
          <w:t>https://heinonline.org/hol-cgi-bin/get_pdf.cgi?handle=hein.journals/ijlmhs27&amp;section=161</w:t>
        </w:r>
      </w:hyperlink>
    </w:p>
  </w:footnote>
  <w:footnote w:id="77">
    <w:p w14:paraId="2FD29F9F" w14:textId="7AADE8DB" w:rsidR="00293B92" w:rsidRPr="00293B92" w:rsidRDefault="00293B92" w:rsidP="00AB2467">
      <w:pPr>
        <w:pStyle w:val="FootnoteText"/>
        <w:rPr>
          <w:lang w:val="en-US"/>
        </w:rPr>
      </w:pPr>
      <w:r w:rsidRPr="00CF44E6">
        <w:rPr>
          <w:rStyle w:val="FootnoteReference"/>
        </w:rPr>
        <w:footnoteRef/>
      </w:r>
      <w:r w:rsidRPr="00293B92">
        <w:rPr>
          <w:lang w:val="en-US"/>
        </w:rPr>
        <w:t xml:space="preserve"> Banerjee, S., &amp; Sengupta, S. (2022). </w:t>
      </w:r>
      <w:r w:rsidRPr="00293B92">
        <w:rPr>
          <w:i/>
          <w:iCs/>
          <w:lang w:val="en-US"/>
        </w:rPr>
        <w:t>Euthanasia-A Doctrine of Death</w:t>
      </w:r>
      <w:r w:rsidRPr="00293B92">
        <w:rPr>
          <w:lang w:val="en-US"/>
        </w:rPr>
        <w:t>. Blue Rose Publishers.</w:t>
      </w:r>
      <w:r w:rsidR="00F54EF3">
        <w:rPr>
          <w:lang w:val="en-US"/>
        </w:rPr>
        <w:t xml:space="preserve"> </w:t>
      </w:r>
    </w:p>
  </w:footnote>
  <w:footnote w:id="78">
    <w:p w14:paraId="3E42539B" w14:textId="21FC0FF4" w:rsidR="00293B92" w:rsidRPr="00293B92" w:rsidRDefault="00293B92" w:rsidP="00942258">
      <w:pPr>
        <w:pStyle w:val="FootnoteText"/>
        <w:jc w:val="both"/>
        <w:rPr>
          <w:lang w:val="en-US"/>
        </w:rPr>
      </w:pPr>
      <w:r w:rsidRPr="00CF44E6">
        <w:rPr>
          <w:rStyle w:val="FootnoteReference"/>
        </w:rPr>
        <w:footnoteRef/>
      </w:r>
      <w:r w:rsidRPr="009F5EFE">
        <w:rPr>
          <w:lang w:val="en-US"/>
        </w:rPr>
        <w:t xml:space="preserve"> Fontalis, A., Prousali, E., &amp; Kulkarni, K. (2018). </w:t>
      </w:r>
      <w:r w:rsidRPr="00293B92">
        <w:rPr>
          <w:lang w:val="en-US"/>
        </w:rPr>
        <w:t xml:space="preserve">Euthanasia and assisted dying: What is the current position and what are the key arguments informing the debate? </w:t>
      </w:r>
      <w:r w:rsidRPr="00293B92">
        <w:rPr>
          <w:i/>
          <w:iCs/>
          <w:lang w:val="en-US"/>
        </w:rPr>
        <w:t>Journal of the Royal Society of Medicine</w:t>
      </w:r>
      <w:r w:rsidRPr="00293B92">
        <w:rPr>
          <w:lang w:val="en-US"/>
        </w:rPr>
        <w:t xml:space="preserve">, </w:t>
      </w:r>
      <w:r w:rsidRPr="00293B92">
        <w:rPr>
          <w:i/>
          <w:iCs/>
          <w:lang w:val="en-US"/>
        </w:rPr>
        <w:t>111</w:t>
      </w:r>
      <w:r w:rsidRPr="00293B92">
        <w:rPr>
          <w:lang w:val="en-US"/>
        </w:rPr>
        <w:t xml:space="preserve">(11), 407–413. </w:t>
      </w:r>
      <w:hyperlink r:id="rId68" w:history="1">
        <w:r w:rsidRPr="00293B92">
          <w:rPr>
            <w:rStyle w:val="Hyperlink"/>
            <w:lang w:val="en-US"/>
          </w:rPr>
          <w:t>https://doi.org/10.1177/0141076818803452</w:t>
        </w:r>
      </w:hyperlink>
    </w:p>
  </w:footnote>
  <w:footnote w:id="79">
    <w:p w14:paraId="118E27AB" w14:textId="012CD5CC" w:rsidR="00293B92" w:rsidRPr="00293B92" w:rsidRDefault="00293B92" w:rsidP="00942258">
      <w:pPr>
        <w:pStyle w:val="FootnoteText"/>
        <w:jc w:val="both"/>
        <w:rPr>
          <w:lang w:val="en-US"/>
        </w:rPr>
      </w:pPr>
      <w:r w:rsidRPr="00CF44E6">
        <w:rPr>
          <w:rStyle w:val="FootnoteReference"/>
        </w:rPr>
        <w:footnoteRef/>
      </w:r>
      <w:r w:rsidRPr="00293B92">
        <w:rPr>
          <w:lang w:val="en-US"/>
        </w:rPr>
        <w:t xml:space="preserve"> Svenaeus, F. (2020). To die well: The phenomenology of suffering and end of life ethics. </w:t>
      </w:r>
      <w:r w:rsidRPr="00293B92">
        <w:rPr>
          <w:i/>
          <w:iCs/>
          <w:lang w:val="en-US"/>
        </w:rPr>
        <w:t>Medicine, Health Care and Philosophy</w:t>
      </w:r>
      <w:r w:rsidRPr="00293B92">
        <w:rPr>
          <w:lang w:val="en-US"/>
        </w:rPr>
        <w:t xml:space="preserve">, </w:t>
      </w:r>
      <w:r w:rsidRPr="00293B92">
        <w:rPr>
          <w:i/>
          <w:iCs/>
          <w:lang w:val="en-US"/>
        </w:rPr>
        <w:t>23</w:t>
      </w:r>
      <w:r w:rsidRPr="00293B92">
        <w:rPr>
          <w:lang w:val="en-US"/>
        </w:rPr>
        <w:t xml:space="preserve">(3), 335–342. </w:t>
      </w:r>
      <w:hyperlink r:id="rId69" w:history="1">
        <w:r w:rsidRPr="00293B92">
          <w:rPr>
            <w:rStyle w:val="Hyperlink"/>
            <w:lang w:val="en-US"/>
          </w:rPr>
          <w:t>https://doi.org/10.1007/s11019-019-09914-6</w:t>
        </w:r>
      </w:hyperlink>
    </w:p>
  </w:footnote>
  <w:footnote w:id="80">
    <w:p w14:paraId="18F86B3B" w14:textId="77777777" w:rsidR="001A5697" w:rsidRPr="00293B92" w:rsidRDefault="001A5697" w:rsidP="001A5697">
      <w:pPr>
        <w:pStyle w:val="FootnoteText"/>
        <w:jc w:val="both"/>
        <w:rPr>
          <w:lang w:val="en-US"/>
        </w:rPr>
      </w:pPr>
      <w:r w:rsidRPr="00CF44E6">
        <w:rPr>
          <w:rStyle w:val="FootnoteReference"/>
        </w:rPr>
        <w:footnoteRef/>
      </w:r>
      <w:r w:rsidRPr="00293B92">
        <w:rPr>
          <w:lang w:val="en-US"/>
        </w:rPr>
        <w:t xml:space="preserve"> ICCPR. (1966, December 16). </w:t>
      </w:r>
      <w:r w:rsidRPr="00293B92">
        <w:rPr>
          <w:i/>
          <w:iCs/>
          <w:lang w:val="en-US"/>
        </w:rPr>
        <w:t>International Covenant on Civil and Political Rights (ICCPR)</w:t>
      </w:r>
      <w:r w:rsidRPr="00293B92">
        <w:rPr>
          <w:lang w:val="en-US"/>
        </w:rPr>
        <w:t xml:space="preserve">. Retrieved 07/23/2025, From: </w:t>
      </w:r>
      <w:hyperlink r:id="rId70" w:history="1">
        <w:r w:rsidRPr="00293B92">
          <w:rPr>
            <w:rStyle w:val="Hyperlink"/>
            <w:lang w:val="en-US"/>
          </w:rPr>
          <w:t>https://www.ohchr.org/en/instruments-mechanisms/instruments/international-covenant-civil-and-political-rights</w:t>
        </w:r>
      </w:hyperlink>
    </w:p>
  </w:footnote>
  <w:footnote w:id="81">
    <w:p w14:paraId="4C2DC4EC" w14:textId="77777777" w:rsidR="001A5697" w:rsidRPr="00293B92" w:rsidRDefault="001A5697" w:rsidP="001A5697">
      <w:pPr>
        <w:pStyle w:val="FootnoteText"/>
        <w:jc w:val="both"/>
        <w:rPr>
          <w:lang w:val="en-US"/>
        </w:rPr>
      </w:pPr>
      <w:r w:rsidRPr="00CF44E6">
        <w:rPr>
          <w:rStyle w:val="FootnoteReference"/>
        </w:rPr>
        <w:footnoteRef/>
      </w:r>
      <w:r w:rsidRPr="00293B92">
        <w:rPr>
          <w:lang w:val="en-US"/>
        </w:rPr>
        <w:t xml:space="preserve"> UDHR. (1948, December 10). </w:t>
      </w:r>
      <w:r w:rsidRPr="00293B92">
        <w:rPr>
          <w:i/>
          <w:iCs/>
          <w:lang w:val="en-US"/>
        </w:rPr>
        <w:t>Universal Declaration of Human Rights (UDHR)</w:t>
      </w:r>
      <w:r w:rsidRPr="00293B92">
        <w:rPr>
          <w:lang w:val="en-US"/>
        </w:rPr>
        <w:t xml:space="preserve">. United Nations. Retrieved 07/23/2025, From: </w:t>
      </w:r>
      <w:hyperlink r:id="rId71" w:history="1">
        <w:r w:rsidRPr="00293B92">
          <w:rPr>
            <w:rStyle w:val="Hyperlink"/>
            <w:lang w:val="en-US"/>
          </w:rPr>
          <w:t>https://www.un.org/en/about-us/universal-declaration-of-human-rights</w:t>
        </w:r>
      </w:hyperlink>
    </w:p>
  </w:footnote>
  <w:footnote w:id="82">
    <w:p w14:paraId="7AFA9E9F" w14:textId="3012A8FC" w:rsidR="00293B92" w:rsidRPr="00293B92" w:rsidRDefault="00293B92" w:rsidP="00942258">
      <w:pPr>
        <w:pStyle w:val="FootnoteText"/>
        <w:jc w:val="both"/>
        <w:rPr>
          <w:lang w:val="en-US"/>
        </w:rPr>
      </w:pPr>
      <w:r w:rsidRPr="00CF44E6">
        <w:rPr>
          <w:rStyle w:val="FootnoteReference"/>
        </w:rPr>
        <w:footnoteRef/>
      </w:r>
      <w:r w:rsidRPr="00293B92">
        <w:rPr>
          <w:lang w:val="en-US"/>
        </w:rPr>
        <w:t xml:space="preserve">  Beauchamp, T. L., &amp; Childress, J. F. (1994). Principles of biomedical ethics. Edicoes Loyola.</w:t>
      </w:r>
    </w:p>
  </w:footnote>
  <w:footnote w:id="83">
    <w:p w14:paraId="7BA426C8" w14:textId="01A9831F" w:rsidR="00293B92" w:rsidRPr="00293B92" w:rsidRDefault="00293B92" w:rsidP="00942258">
      <w:pPr>
        <w:pStyle w:val="FootnoteText"/>
        <w:jc w:val="both"/>
        <w:rPr>
          <w:lang w:val="en-US"/>
        </w:rPr>
      </w:pPr>
      <w:r w:rsidRPr="00CF44E6">
        <w:rPr>
          <w:rStyle w:val="FootnoteReference"/>
        </w:rPr>
        <w:footnoteRef/>
      </w:r>
      <w:r w:rsidRPr="00293B92">
        <w:rPr>
          <w:lang w:val="en-US"/>
        </w:rPr>
        <w:t xml:space="preserve"> Rus, M., &amp; Gastmans, C. (2024). Euthanasia and assisted suicide: Who are the vulnerable? Clinical Ethics, 19(1), 18–25. </w:t>
      </w:r>
      <w:hyperlink r:id="rId72" w:history="1">
        <w:r w:rsidRPr="00293B92">
          <w:rPr>
            <w:rStyle w:val="Hyperlink"/>
            <w:lang w:val="en-US"/>
          </w:rPr>
          <w:t>https://doi.org/10.1177/14777509231182003</w:t>
        </w:r>
      </w:hyperlink>
    </w:p>
  </w:footnote>
  <w:footnote w:id="84">
    <w:p w14:paraId="6370B95F" w14:textId="369C7D15" w:rsidR="00293B92" w:rsidRPr="00293B92" w:rsidRDefault="00293B92" w:rsidP="00942258">
      <w:pPr>
        <w:pStyle w:val="FootnoteText"/>
        <w:jc w:val="both"/>
        <w:rPr>
          <w:lang w:val="en-US"/>
        </w:rPr>
      </w:pPr>
      <w:r w:rsidRPr="00CF44E6">
        <w:rPr>
          <w:rStyle w:val="FootnoteReference"/>
        </w:rPr>
        <w:footnoteRef/>
      </w:r>
      <w:r w:rsidRPr="00293B92">
        <w:rPr>
          <w:lang w:val="en-US"/>
        </w:rPr>
        <w:t xml:space="preserve"> ICCPR. (1966, December 16). </w:t>
      </w:r>
      <w:r w:rsidRPr="00293B92">
        <w:rPr>
          <w:i/>
          <w:iCs/>
          <w:lang w:val="en-US"/>
        </w:rPr>
        <w:t>International Covenant on Civil and Political Rights (ICCPR)</w:t>
      </w:r>
      <w:r w:rsidRPr="00293B92">
        <w:rPr>
          <w:lang w:val="en-US"/>
        </w:rPr>
        <w:t xml:space="preserve">. Retrieved 07/23/2025, From: </w:t>
      </w:r>
      <w:hyperlink r:id="rId73" w:history="1">
        <w:r w:rsidRPr="00293B92">
          <w:rPr>
            <w:rStyle w:val="Hyperlink"/>
            <w:lang w:val="en-US"/>
          </w:rPr>
          <w:t>https://www.ohchr.org/en/instruments-mechanisms/instruments/international-covenant-civil-and-political-rights</w:t>
        </w:r>
      </w:hyperlink>
    </w:p>
  </w:footnote>
  <w:footnote w:id="85">
    <w:p w14:paraId="76844EF2" w14:textId="78F2F7AA" w:rsidR="00293B92" w:rsidRPr="00293B92" w:rsidRDefault="00293B92" w:rsidP="00942258">
      <w:pPr>
        <w:pStyle w:val="FootnoteText"/>
        <w:jc w:val="both"/>
        <w:rPr>
          <w:lang w:val="en-US"/>
        </w:rPr>
      </w:pPr>
      <w:r w:rsidRPr="00CF44E6">
        <w:rPr>
          <w:rStyle w:val="FootnoteReference"/>
        </w:rPr>
        <w:footnoteRef/>
      </w:r>
      <w:r w:rsidRPr="00293B92">
        <w:rPr>
          <w:lang w:val="en-US"/>
        </w:rPr>
        <w:t xml:space="preserve"> Rus, M., &amp; Gastmans, C. (2024). Euthanasia and assisted suicide: Who are the vulnerable? Clinical Ethics, 19(1), 18–25. </w:t>
      </w:r>
      <w:hyperlink r:id="rId74" w:history="1">
        <w:r w:rsidRPr="00293B92">
          <w:rPr>
            <w:rStyle w:val="Hyperlink"/>
            <w:lang w:val="en-US"/>
          </w:rPr>
          <w:t>https://doi.org/10.1177/14777509231182003</w:t>
        </w:r>
      </w:hyperlink>
    </w:p>
  </w:footnote>
  <w:footnote w:id="86">
    <w:p w14:paraId="4CD58729" w14:textId="6634B0E0" w:rsidR="00293B92" w:rsidRPr="00293B92" w:rsidRDefault="00293B92" w:rsidP="00B61886">
      <w:pPr>
        <w:pStyle w:val="FootnoteText"/>
        <w:jc w:val="both"/>
        <w:rPr>
          <w:lang w:val="en-US"/>
        </w:rPr>
      </w:pPr>
      <w:r w:rsidRPr="00CF44E6">
        <w:rPr>
          <w:rStyle w:val="FootnoteReference"/>
        </w:rPr>
        <w:footnoteRef/>
      </w:r>
      <w:r w:rsidRPr="00293B92">
        <w:rPr>
          <w:lang w:val="en-US"/>
        </w:rPr>
        <w:t xml:space="preserve"> Lemmens, T. (2023). When Death Becomes Therapy: Canada’s Troubling Normalization of Health Care Provider Ending of Life. The American Journal of Bioethics, 23(11), 79–84. </w:t>
      </w:r>
      <w:hyperlink r:id="rId75" w:history="1">
        <w:r w:rsidRPr="00293B92">
          <w:rPr>
            <w:rStyle w:val="Hyperlink"/>
            <w:lang w:val="en-US"/>
          </w:rPr>
          <w:t>https://doi.org/10.1080/15265161.2023.2265265</w:t>
        </w:r>
      </w:hyperlink>
    </w:p>
  </w:footnote>
  <w:footnote w:id="87">
    <w:p w14:paraId="36AF0371" w14:textId="0E726316" w:rsidR="00293B92" w:rsidRPr="00DE73E3" w:rsidRDefault="00293B92" w:rsidP="00B61886">
      <w:pPr>
        <w:pStyle w:val="FootnoteText"/>
        <w:jc w:val="both"/>
        <w:rPr>
          <w:lang w:val="de-DE"/>
        </w:rPr>
      </w:pPr>
      <w:r w:rsidRPr="00CF44E6">
        <w:rPr>
          <w:rStyle w:val="FootnoteReference"/>
        </w:rPr>
        <w:footnoteRef/>
      </w:r>
      <w:r w:rsidRPr="00B22CC8">
        <w:rPr>
          <w:lang w:val="en-GB"/>
        </w:rPr>
        <w:t xml:space="preserve"> Bosma, F., Mink, K. R., van Delden, J. J. M., van der Heide, A., Van De Vathorst, S., &amp; van Thiel, G. J. M. W. (2024). </w:t>
      </w:r>
      <w:r w:rsidRPr="00293B92">
        <w:rPr>
          <w:lang w:val="en-US"/>
        </w:rPr>
        <w:t xml:space="preserve">The Dutch practice of euthanasia and assisted suicide in patients suffering from psychiatric disorders: A qualitative case review study. </w:t>
      </w:r>
      <w:r w:rsidRPr="00DE73E3">
        <w:rPr>
          <w:lang w:val="de-DE"/>
        </w:rPr>
        <w:t xml:space="preserve">Frontiers in Psychiatry, 15, 1452835. </w:t>
      </w:r>
      <w:hyperlink r:id="rId76" w:history="1">
        <w:r w:rsidRPr="00DE73E3">
          <w:rPr>
            <w:rStyle w:val="Hyperlink"/>
            <w:lang w:val="de-DE"/>
          </w:rPr>
          <w:t>https://www.frontiersin.org/journals/psychiatry/articles/10.3389/fpsyt.2024.1452835/full</w:t>
        </w:r>
      </w:hyperlink>
    </w:p>
  </w:footnote>
  <w:footnote w:id="88">
    <w:p w14:paraId="7323CDD4" w14:textId="554FF112" w:rsidR="00293B92" w:rsidRPr="00293B92" w:rsidRDefault="00293B92" w:rsidP="00B61886">
      <w:pPr>
        <w:pStyle w:val="FootnoteText"/>
        <w:jc w:val="both"/>
        <w:rPr>
          <w:lang w:val="en-US"/>
        </w:rPr>
      </w:pPr>
      <w:r w:rsidRPr="002B6962">
        <w:rPr>
          <w:rStyle w:val="FootnoteReference"/>
        </w:rPr>
        <w:footnoteRef/>
      </w:r>
      <w:r w:rsidRPr="00DE73E3">
        <w:rPr>
          <w:lang w:val="de-DE"/>
        </w:rPr>
        <w:t xml:space="preserve"> Battin, M. P., Van der Heide, A., Ganzini, L., Van der Wal, G., &amp; Onwuteaka-Philipsen, B. D. (2007). </w:t>
      </w:r>
      <w:r w:rsidRPr="00293B92">
        <w:rPr>
          <w:lang w:val="en-US"/>
        </w:rPr>
        <w:t xml:space="preserve">Legal physician-assisted dying in Oregon and the Netherlands: Evidence concerning the impact on patients in “vulnerable” groups. Journal of Medical Ethics, 33(10), 591–597. </w:t>
      </w:r>
      <w:hyperlink r:id="rId77" w:history="1">
        <w:r w:rsidRPr="00293B92">
          <w:rPr>
            <w:rStyle w:val="Hyperlink"/>
            <w:lang w:val="en-US"/>
          </w:rPr>
          <w:t>https://jme.bmj.com/content/33/10/591.short</w:t>
        </w:r>
      </w:hyperlink>
    </w:p>
  </w:footnote>
  <w:footnote w:id="89">
    <w:p w14:paraId="3F9C3EAB" w14:textId="76E03493" w:rsidR="00293B92" w:rsidRPr="004646AE" w:rsidRDefault="00293B92" w:rsidP="00B61886">
      <w:pPr>
        <w:pStyle w:val="FootnoteText"/>
        <w:jc w:val="both"/>
        <w:rPr>
          <w:lang w:val="de-DE"/>
        </w:rPr>
      </w:pPr>
      <w:r w:rsidRPr="002B6962">
        <w:rPr>
          <w:rStyle w:val="FootnoteReference"/>
        </w:rPr>
        <w:footnoteRef/>
      </w:r>
      <w:r w:rsidRPr="00293B92">
        <w:rPr>
          <w:lang w:val="en-US"/>
        </w:rPr>
        <w:t xml:space="preserve"> Battin, M. P., Rhodes, R., &amp; Silvers, A. (1998). Physician assisted suicide: Expanding the debate. </w:t>
      </w:r>
      <w:r w:rsidRPr="004646AE">
        <w:rPr>
          <w:lang w:val="de-DE"/>
        </w:rPr>
        <w:t>Psychology Press.</w:t>
      </w:r>
    </w:p>
  </w:footnote>
  <w:footnote w:id="90">
    <w:p w14:paraId="681CFB50" w14:textId="124DE0F8" w:rsidR="00293B92" w:rsidRPr="00293B92" w:rsidRDefault="00293B92" w:rsidP="00B61886">
      <w:pPr>
        <w:pStyle w:val="FootnoteText"/>
        <w:jc w:val="both"/>
        <w:rPr>
          <w:lang w:val="en-US"/>
        </w:rPr>
      </w:pPr>
      <w:r w:rsidRPr="002B6962">
        <w:rPr>
          <w:rStyle w:val="FootnoteReference"/>
        </w:rPr>
        <w:footnoteRef/>
      </w:r>
      <w:r w:rsidRPr="004646AE">
        <w:rPr>
          <w:lang w:val="de-DE"/>
        </w:rPr>
        <w:t xml:space="preserve"> Rietjens, J. A. C., Van Der Maas, P. J., Onwuteaka-Philipsen, B. D., Van Delden, J. J. M., &amp; Van Der Heide, A. (2009). </w:t>
      </w:r>
      <w:r w:rsidRPr="00293B92">
        <w:rPr>
          <w:lang w:val="en-US"/>
        </w:rPr>
        <w:t xml:space="preserve">Two Decades of Research on Euthanasia from the Netherlands. What Have We Learnt and What Questions Remain? Journal of Bioethical Inquiry, 6(3), 271–283. </w:t>
      </w:r>
      <w:hyperlink r:id="rId78" w:history="1">
        <w:r w:rsidRPr="00293B92">
          <w:rPr>
            <w:rStyle w:val="Hyperlink"/>
            <w:lang w:val="en-US"/>
          </w:rPr>
          <w:t>https://doi.org/10.1007/s11673-009-9172-3</w:t>
        </w:r>
      </w:hyperlink>
    </w:p>
  </w:footnote>
  <w:footnote w:id="91">
    <w:p w14:paraId="3AE21A0F" w14:textId="50BC3D6B" w:rsidR="00293B92" w:rsidRPr="00293B92" w:rsidRDefault="00293B92" w:rsidP="00B61886">
      <w:pPr>
        <w:pStyle w:val="FootnoteText"/>
        <w:jc w:val="both"/>
        <w:rPr>
          <w:lang w:val="en-US"/>
        </w:rPr>
      </w:pPr>
      <w:r w:rsidRPr="002B6962">
        <w:rPr>
          <w:rStyle w:val="FootnoteReference"/>
        </w:rPr>
        <w:footnoteRef/>
      </w:r>
      <w:r w:rsidRPr="00293B92">
        <w:rPr>
          <w:lang w:val="en-US"/>
        </w:rPr>
        <w:t xml:space="preserve"> Aubry, R. (2016). End-of-life, euthanasia, and assisted suicide: An update on the situation in France. </w:t>
      </w:r>
      <w:r w:rsidRPr="002B6962">
        <w:rPr>
          <w:lang w:val="fr-FR"/>
        </w:rPr>
        <w:t xml:space="preserve">Revue Neurologique, 172(12), 719–724. </w:t>
      </w:r>
      <w:hyperlink r:id="rId79" w:history="1">
        <w:r w:rsidRPr="00045212">
          <w:rPr>
            <w:rStyle w:val="Hyperlink"/>
            <w:lang w:val="fr-FR"/>
          </w:rPr>
          <w:t>https://www.sciencedirect.com/science/article/pii/S0035378716301254</w:t>
        </w:r>
      </w:hyperlink>
      <w:r w:rsidRPr="00045212">
        <w:rPr>
          <w:lang w:val="fr-FR"/>
        </w:rPr>
        <w:t xml:space="preserve">; Riou, F., Aubry, R., Pontone, S., &amp; Pennec, S. (2015). </w:t>
      </w:r>
      <w:r w:rsidRPr="00293B92">
        <w:rPr>
          <w:lang w:val="en-US"/>
        </w:rPr>
        <w:t xml:space="preserve">When physicians report having used medical drugs to deliberately end a patient’s life: Findings of the “End-of-Life in France” survey. </w:t>
      </w:r>
      <w:r w:rsidRPr="00293B92">
        <w:rPr>
          <w:i/>
          <w:iCs/>
          <w:lang w:val="en-US"/>
        </w:rPr>
        <w:t>Journal of Pain and Symptom Management</w:t>
      </w:r>
      <w:r w:rsidRPr="00293B92">
        <w:rPr>
          <w:lang w:val="en-US"/>
        </w:rPr>
        <w:t xml:space="preserve">, </w:t>
      </w:r>
      <w:r w:rsidRPr="00293B92">
        <w:rPr>
          <w:i/>
          <w:iCs/>
          <w:lang w:val="en-US"/>
        </w:rPr>
        <w:t>50</w:t>
      </w:r>
      <w:r w:rsidRPr="00293B92">
        <w:rPr>
          <w:lang w:val="en-US"/>
        </w:rPr>
        <w:t xml:space="preserve">(2), 208–215. </w:t>
      </w:r>
      <w:hyperlink r:id="rId80" w:history="1">
        <w:r w:rsidRPr="00293B92">
          <w:rPr>
            <w:rStyle w:val="Hyperlink"/>
            <w:lang w:val="en-US"/>
          </w:rPr>
          <w:t>https://www.sciencedirect.com/science/article/pii/S088539241500158X</w:t>
        </w:r>
      </w:hyperlink>
      <w:r w:rsidRPr="00293B92">
        <w:rPr>
          <w:lang w:val="en-US"/>
        </w:rPr>
        <w:t xml:space="preserve">; Spranzi, M. (2013). The French euthanasia debate: Exception and solidarity. </w:t>
      </w:r>
      <w:r w:rsidRPr="00293B92">
        <w:rPr>
          <w:i/>
          <w:iCs/>
          <w:lang w:val="en-US"/>
        </w:rPr>
        <w:t>Cambridge Quarterly of Healthcare Ethics</w:t>
      </w:r>
      <w:r w:rsidRPr="00293B92">
        <w:rPr>
          <w:lang w:val="en-US"/>
        </w:rPr>
        <w:t xml:space="preserve">, </w:t>
      </w:r>
      <w:r w:rsidRPr="00293B92">
        <w:rPr>
          <w:i/>
          <w:iCs/>
          <w:lang w:val="en-US"/>
        </w:rPr>
        <w:t>22</w:t>
      </w:r>
      <w:r w:rsidRPr="00293B92">
        <w:rPr>
          <w:lang w:val="en-US"/>
        </w:rPr>
        <w:t>(3), 254–262.</w:t>
      </w:r>
    </w:p>
  </w:footnote>
  <w:footnote w:id="92">
    <w:p w14:paraId="0F0E7DCE" w14:textId="64C6A227" w:rsidR="00293B92" w:rsidRPr="00293B92" w:rsidRDefault="00293B92" w:rsidP="00B61886">
      <w:pPr>
        <w:pStyle w:val="FootnoteText"/>
        <w:jc w:val="both"/>
        <w:rPr>
          <w:lang w:val="en-US"/>
        </w:rPr>
      </w:pPr>
      <w:r w:rsidRPr="002B6962">
        <w:rPr>
          <w:rStyle w:val="FootnoteReference"/>
        </w:rPr>
        <w:footnoteRef/>
      </w:r>
      <w:r w:rsidRPr="00293B92">
        <w:rPr>
          <w:lang w:val="en-US"/>
        </w:rPr>
        <w:t xml:space="preserve"> Chambaere, K., Vander Stichele, R., Mortier, F., Cohen, J., &amp; Deliens, L. (2015). Recent Trends in Euthanasia and Other End-of-Life Practices in Belgium. New England Journal of Medicine, 372(12), 1179–1181. </w:t>
      </w:r>
      <w:hyperlink r:id="rId81" w:history="1">
        <w:r w:rsidRPr="00293B92">
          <w:rPr>
            <w:rStyle w:val="Hyperlink"/>
            <w:lang w:val="en-US"/>
          </w:rPr>
          <w:t>https://doi.org/10.1056/NEJMc1414527</w:t>
        </w:r>
      </w:hyperlink>
    </w:p>
  </w:footnote>
  <w:footnote w:id="93">
    <w:p w14:paraId="39FCFED6" w14:textId="2076DABA" w:rsidR="00293B92" w:rsidRPr="00293B92" w:rsidRDefault="00293B92" w:rsidP="00B61886">
      <w:pPr>
        <w:pStyle w:val="FootnoteText"/>
        <w:jc w:val="both"/>
        <w:rPr>
          <w:lang w:val="en-US"/>
        </w:rPr>
      </w:pPr>
      <w:r w:rsidRPr="009718AE">
        <w:rPr>
          <w:rStyle w:val="FootnoteReference"/>
        </w:rPr>
        <w:footnoteRef/>
      </w:r>
      <w:r w:rsidRPr="00293B92">
        <w:rPr>
          <w:lang w:val="en-US"/>
        </w:rPr>
        <w:t xml:space="preserve"> Carter v. Canada (February 6, 2015). Retrieved 07.23/2025, From: </w:t>
      </w:r>
      <w:hyperlink r:id="rId82" w:history="1">
        <w:r w:rsidRPr="00293B92">
          <w:rPr>
            <w:rStyle w:val="Hyperlink"/>
            <w:lang w:val="en-US"/>
          </w:rPr>
          <w:t>https://decisions.scc-csc.ca/scc-csc/scc-csc/en/item/14637/index.do</w:t>
        </w:r>
      </w:hyperlink>
    </w:p>
  </w:footnote>
  <w:footnote w:id="94">
    <w:p w14:paraId="39C917A8" w14:textId="4E73BB74" w:rsidR="00293B92" w:rsidRPr="00293B92" w:rsidRDefault="00293B92" w:rsidP="00B61886">
      <w:pPr>
        <w:pStyle w:val="FootnoteText"/>
        <w:jc w:val="both"/>
        <w:rPr>
          <w:lang w:val="en-US"/>
        </w:rPr>
      </w:pPr>
      <w:r w:rsidRPr="009718AE">
        <w:rPr>
          <w:rStyle w:val="FootnoteReference"/>
        </w:rPr>
        <w:footnoteRef/>
      </w:r>
      <w:r w:rsidRPr="00ED3976">
        <w:rPr>
          <w:lang w:val="de-DE"/>
        </w:rPr>
        <w:t xml:space="preserve"> den Hartogh, G. (2020). Decriminalising assisted suicide services: Bundesverfassungsgericht 26 February 2020, 2BvR 2347/15. </w:t>
      </w:r>
      <w:r w:rsidRPr="00293B92">
        <w:rPr>
          <w:i/>
          <w:iCs/>
          <w:lang w:val="en-US"/>
        </w:rPr>
        <w:t>European Constitutional Law Review</w:t>
      </w:r>
      <w:r w:rsidRPr="00293B92">
        <w:rPr>
          <w:lang w:val="en-US"/>
        </w:rPr>
        <w:t xml:space="preserve">, </w:t>
      </w:r>
      <w:r w:rsidRPr="00293B92">
        <w:rPr>
          <w:i/>
          <w:iCs/>
          <w:lang w:val="en-US"/>
        </w:rPr>
        <w:t>16</w:t>
      </w:r>
      <w:r w:rsidRPr="00293B92">
        <w:rPr>
          <w:lang w:val="en-US"/>
        </w:rPr>
        <w:t>(4), 713–732.</w:t>
      </w:r>
    </w:p>
  </w:footnote>
  <w:footnote w:id="95">
    <w:p w14:paraId="729D5F8B" w14:textId="5EEC2B31" w:rsidR="00293B92" w:rsidRPr="00293B92" w:rsidRDefault="00293B92" w:rsidP="00B61886">
      <w:pPr>
        <w:pStyle w:val="FootnoteText"/>
        <w:jc w:val="both"/>
        <w:rPr>
          <w:lang w:val="en-US"/>
        </w:rPr>
      </w:pPr>
      <w:r w:rsidRPr="002B2D2A">
        <w:rPr>
          <w:rStyle w:val="FootnoteReference"/>
        </w:rPr>
        <w:footnoteRef/>
      </w:r>
      <w:r w:rsidRPr="00471553">
        <w:rPr>
          <w:lang w:val="en-US"/>
        </w:rPr>
        <w:t xml:space="preserve"> Hegde, A., Bhatti, B. K., Dalvi, V., &amp; Chandora, P. (2024). </w:t>
      </w:r>
      <w:r w:rsidRPr="00293B92">
        <w:rPr>
          <w:lang w:val="en-US"/>
        </w:rPr>
        <w:t xml:space="preserve">Balancing Personal Autonomy and the Right to Life in Euthanasia. International Jour-Nal of Legal Science and Innovation, 6(4), 61–80. </w:t>
      </w:r>
      <w:hyperlink r:id="rId83" w:history="1">
        <w:r w:rsidRPr="00293B92">
          <w:rPr>
            <w:rStyle w:val="Hyperlink"/>
            <w:lang w:val="en-US"/>
          </w:rPr>
          <w:t>https://ijlsi.com/wp-content/uploads/Balancing-Personal-Autonomy-and-the-Right-to-Life-in-Euthanasia.pdf</w:t>
        </w:r>
      </w:hyperlink>
    </w:p>
  </w:footnote>
  <w:footnote w:id="96">
    <w:p w14:paraId="1A675DB2" w14:textId="6D68E1A6" w:rsidR="00293B92" w:rsidRPr="00EA5C5B" w:rsidRDefault="00293B92" w:rsidP="00B61886">
      <w:pPr>
        <w:pStyle w:val="FootnoteText"/>
        <w:jc w:val="both"/>
        <w:rPr>
          <w:lang w:val="en-US"/>
        </w:rPr>
      </w:pPr>
      <w:r w:rsidRPr="002B2D2A">
        <w:rPr>
          <w:rStyle w:val="FootnoteReference"/>
        </w:rPr>
        <w:footnoteRef/>
      </w:r>
      <w:r w:rsidRPr="00293B92">
        <w:rPr>
          <w:lang w:val="en-US"/>
        </w:rPr>
        <w:t xml:space="preserve"> Singh, Y., &amp; Acharya, P. P. (2024). Examining Euthanasia: Comparative Analysis of the Right to Die in Legal and Ethical Contexts. </w:t>
      </w:r>
      <w:r w:rsidRPr="00293B92">
        <w:rPr>
          <w:i/>
          <w:iCs/>
          <w:lang w:val="en-US"/>
        </w:rPr>
        <w:t>Issue 1 Int’l JL Mgmt. &amp; Human.</w:t>
      </w:r>
      <w:r w:rsidRPr="00293B92">
        <w:rPr>
          <w:lang w:val="en-US"/>
        </w:rPr>
        <w:t xml:space="preserve">, </w:t>
      </w:r>
      <w:r w:rsidRPr="00293B92">
        <w:rPr>
          <w:i/>
          <w:iCs/>
          <w:lang w:val="en-US"/>
        </w:rPr>
        <w:t>7</w:t>
      </w:r>
      <w:r w:rsidRPr="00293B92">
        <w:rPr>
          <w:lang w:val="en-US"/>
        </w:rPr>
        <w:t xml:space="preserve">, 1933. </w:t>
      </w:r>
      <w:hyperlink r:id="rId84" w:history="1">
        <w:r w:rsidRPr="00EA5C5B">
          <w:rPr>
            <w:rStyle w:val="Hyperlink"/>
            <w:lang w:val="en-US"/>
          </w:rPr>
          <w:t>https://heinonline.org/hol-cgi-bin/get_pdf.cgi?handle=hein.journals/ijlmhs27&amp;section=161</w:t>
        </w:r>
      </w:hyperlink>
    </w:p>
  </w:footnote>
  <w:footnote w:id="97">
    <w:p w14:paraId="0A82356E" w14:textId="46936FB5" w:rsidR="00293B92" w:rsidRPr="00293B92" w:rsidRDefault="00293B92" w:rsidP="00B61886">
      <w:pPr>
        <w:pStyle w:val="FootnoteText"/>
        <w:jc w:val="both"/>
        <w:rPr>
          <w:lang w:val="en-US"/>
        </w:rPr>
      </w:pPr>
      <w:r w:rsidRPr="002B2D2A">
        <w:rPr>
          <w:rStyle w:val="FootnoteReference"/>
        </w:rPr>
        <w:footnoteRef/>
      </w:r>
      <w:r w:rsidRPr="00293B92">
        <w:rPr>
          <w:lang w:val="en-US"/>
        </w:rPr>
        <w:t xml:space="preserve"> Battin, M. P., Rhodes, R., &amp; Silvers, A. (1998). </w:t>
      </w:r>
      <w:r w:rsidRPr="00293B92">
        <w:rPr>
          <w:i/>
          <w:iCs/>
          <w:lang w:val="en-US"/>
        </w:rPr>
        <w:t>Physician assisted suicide: Expanding the debate</w:t>
      </w:r>
      <w:r w:rsidRPr="00293B92">
        <w:rPr>
          <w:lang w:val="en-US"/>
        </w:rPr>
        <w:t>. Psychology Press.</w:t>
      </w:r>
    </w:p>
  </w:footnote>
  <w:footnote w:id="98">
    <w:p w14:paraId="4048868A" w14:textId="7B5FB45F" w:rsidR="00293B92" w:rsidRPr="00293B92" w:rsidRDefault="00293B92" w:rsidP="00B61886">
      <w:pPr>
        <w:pStyle w:val="FootnoteText"/>
        <w:jc w:val="both"/>
        <w:rPr>
          <w:lang w:val="en-US"/>
        </w:rPr>
      </w:pPr>
      <w:r w:rsidRPr="002B2D2A">
        <w:rPr>
          <w:rStyle w:val="FootnoteReference"/>
        </w:rPr>
        <w:footnoteRef/>
      </w:r>
      <w:r w:rsidRPr="00293B92">
        <w:rPr>
          <w:lang w:val="en-US"/>
        </w:rPr>
        <w:t xml:space="preserve"> Hendin, H. (1994). Seduced by death: Doctors, patients, and the Dutch cure. </w:t>
      </w:r>
      <w:r w:rsidRPr="00293B92">
        <w:rPr>
          <w:i/>
          <w:iCs/>
          <w:lang w:val="en-US"/>
        </w:rPr>
        <w:t>Issues L. &amp; Med.</w:t>
      </w:r>
      <w:r w:rsidRPr="00293B92">
        <w:rPr>
          <w:lang w:val="en-US"/>
        </w:rPr>
        <w:t xml:space="preserve">, </w:t>
      </w:r>
      <w:r w:rsidRPr="00293B92">
        <w:rPr>
          <w:i/>
          <w:iCs/>
          <w:lang w:val="en-US"/>
        </w:rPr>
        <w:t>10</w:t>
      </w:r>
      <w:r w:rsidRPr="00293B92">
        <w:rPr>
          <w:lang w:val="en-US"/>
        </w:rPr>
        <w:t xml:space="preserve">, 123. </w:t>
      </w:r>
      <w:hyperlink r:id="rId85" w:history="1">
        <w:r w:rsidRPr="00293B92">
          <w:rPr>
            <w:rStyle w:val="Hyperlink"/>
            <w:lang w:val="en-US"/>
          </w:rPr>
          <w:t>https://heinonline.org/hol-cgi-bin/get_pdf.cgi?handle=hein.journals/ilmed10&amp;section=23</w:t>
        </w:r>
      </w:hyperlink>
    </w:p>
  </w:footnote>
  <w:footnote w:id="99">
    <w:p w14:paraId="395E4435" w14:textId="036EF33E" w:rsidR="00293B92" w:rsidRPr="00293B92" w:rsidRDefault="00293B92" w:rsidP="00B61886">
      <w:pPr>
        <w:pStyle w:val="FootnoteText"/>
        <w:jc w:val="both"/>
        <w:rPr>
          <w:lang w:val="en-US"/>
        </w:rPr>
      </w:pPr>
      <w:r w:rsidRPr="002B2D2A">
        <w:rPr>
          <w:rStyle w:val="FootnoteReference"/>
        </w:rPr>
        <w:footnoteRef/>
      </w:r>
      <w:r w:rsidRPr="00293B92">
        <w:rPr>
          <w:lang w:val="en-US"/>
        </w:rPr>
        <w:t xml:space="preserve"> Dowbiggin, I. (2003). </w:t>
      </w:r>
      <w:r w:rsidRPr="00293B92">
        <w:rPr>
          <w:i/>
          <w:iCs/>
          <w:lang w:val="en-US"/>
        </w:rPr>
        <w:t>A merciful end: The euthanasia movement in modern America</w:t>
      </w:r>
      <w:r w:rsidRPr="00293B92">
        <w:rPr>
          <w:lang w:val="en-US"/>
        </w:rPr>
        <w:t>. Oxford University Press.</w:t>
      </w:r>
    </w:p>
  </w:footnote>
  <w:footnote w:id="100">
    <w:p w14:paraId="706B8A8E" w14:textId="207DE8F0" w:rsidR="00293B92" w:rsidRPr="00293B92" w:rsidRDefault="00293B92" w:rsidP="00B61886">
      <w:pPr>
        <w:pStyle w:val="FootnoteText"/>
        <w:jc w:val="both"/>
        <w:rPr>
          <w:lang w:val="en-US"/>
        </w:rPr>
      </w:pPr>
      <w:r w:rsidRPr="002B2D2A">
        <w:rPr>
          <w:rStyle w:val="FootnoteReference"/>
        </w:rPr>
        <w:footnoteRef/>
      </w:r>
      <w:r w:rsidRPr="00293B92">
        <w:rPr>
          <w:lang w:val="en-US"/>
        </w:rPr>
        <w:t xml:space="preserve"> Sahm, S. (2020). The Case Against Physician-Assisted Suicide and Euthanasia. </w:t>
      </w:r>
      <w:r w:rsidRPr="00293B92">
        <w:rPr>
          <w:i/>
          <w:iCs/>
          <w:lang w:val="en-US"/>
        </w:rPr>
        <w:t>InPhysician-Assisted Suicide and Euthanasia: Before, During, and After the Holocaust, Edited by Sheldon Rubenfeld and Daniel P. Sulmasy</w:t>
      </w:r>
      <w:r w:rsidRPr="00293B92">
        <w:rPr>
          <w:lang w:val="en-US"/>
        </w:rPr>
        <w:t>, 113–128.</w:t>
      </w:r>
    </w:p>
  </w:footnote>
  <w:footnote w:id="101">
    <w:p w14:paraId="68AF599A" w14:textId="4FAD0E21" w:rsidR="00293B92" w:rsidRPr="004646AE" w:rsidRDefault="00293B92" w:rsidP="00B61886">
      <w:pPr>
        <w:pStyle w:val="FootnoteText"/>
        <w:jc w:val="both"/>
        <w:rPr>
          <w:lang w:val="de-DE"/>
        </w:rPr>
      </w:pPr>
      <w:r w:rsidRPr="002B2D2A">
        <w:rPr>
          <w:rStyle w:val="FootnoteReference"/>
        </w:rPr>
        <w:footnoteRef/>
      </w:r>
      <w:r w:rsidR="0026279B">
        <w:rPr>
          <w:lang w:val="en-US"/>
        </w:rPr>
        <w:t xml:space="preserve"> </w:t>
      </w:r>
      <w:r w:rsidRPr="00293B92">
        <w:rPr>
          <w:lang w:val="en-US"/>
        </w:rPr>
        <w:t xml:space="preserve">Quill, T. E. (2005). Terri Schiavo—A Tragedy Compounded. New England Journal of Medicine, 352(16), 1630–1633. </w:t>
      </w:r>
      <w:hyperlink r:id="rId86" w:history="1">
        <w:r w:rsidRPr="004646AE">
          <w:rPr>
            <w:rStyle w:val="Hyperlink"/>
            <w:lang w:val="de-DE"/>
          </w:rPr>
          <w:t>https://doi.org/10.1056/NEJMp058062</w:t>
        </w:r>
      </w:hyperlink>
    </w:p>
  </w:footnote>
  <w:footnote w:id="102">
    <w:p w14:paraId="2A0D5811" w14:textId="579123FB" w:rsidR="00293B92" w:rsidRPr="00293B92" w:rsidRDefault="00293B92" w:rsidP="00B61886">
      <w:pPr>
        <w:pStyle w:val="FootnoteText"/>
        <w:jc w:val="both"/>
        <w:rPr>
          <w:lang w:val="en-US"/>
        </w:rPr>
      </w:pPr>
      <w:r w:rsidRPr="002B2D2A">
        <w:rPr>
          <w:rStyle w:val="FootnoteReference"/>
        </w:rPr>
        <w:footnoteRef/>
      </w:r>
      <w:r w:rsidRPr="004646AE">
        <w:rPr>
          <w:lang w:val="de-DE"/>
        </w:rPr>
        <w:t xml:space="preserve"> Rietjens, J. A. C., Van Der Maas, P. J., Onwuteaka-Philipsen, B. D., Van Delden, J. J. M., &amp; Van Der Heide, A. (2009). </w:t>
      </w:r>
      <w:r w:rsidRPr="00293B92">
        <w:rPr>
          <w:lang w:val="en-US"/>
        </w:rPr>
        <w:t xml:space="preserve">Two Decades of Research on Euthanasia from the Netherlands. What Have We Learnt and What Questions Remain? </w:t>
      </w:r>
      <w:r w:rsidRPr="00293B92">
        <w:rPr>
          <w:i/>
          <w:iCs/>
          <w:lang w:val="en-US"/>
        </w:rPr>
        <w:t>Journal of Bioethical Inquiry</w:t>
      </w:r>
      <w:r w:rsidRPr="00293B92">
        <w:rPr>
          <w:lang w:val="en-US"/>
        </w:rPr>
        <w:t xml:space="preserve">, </w:t>
      </w:r>
      <w:r w:rsidRPr="00293B92">
        <w:rPr>
          <w:i/>
          <w:iCs/>
          <w:lang w:val="en-US"/>
        </w:rPr>
        <w:t>6</w:t>
      </w:r>
      <w:r w:rsidRPr="00293B92">
        <w:rPr>
          <w:lang w:val="en-US"/>
        </w:rPr>
        <w:t xml:space="preserve">(3), 271–283. </w:t>
      </w:r>
      <w:hyperlink r:id="rId87" w:history="1">
        <w:r w:rsidRPr="00293B92">
          <w:rPr>
            <w:rStyle w:val="Hyperlink"/>
            <w:lang w:val="en-US"/>
          </w:rPr>
          <w:t>https://doi.org/10.1007/s11673-009-9172-3</w:t>
        </w:r>
      </w:hyperlink>
    </w:p>
  </w:footnote>
  <w:footnote w:id="103">
    <w:p w14:paraId="5CF845F6" w14:textId="01DACB32" w:rsidR="00293B92" w:rsidRPr="002B2D2A" w:rsidRDefault="00293B92" w:rsidP="00B61886">
      <w:pPr>
        <w:pStyle w:val="FootnoteText"/>
        <w:jc w:val="both"/>
      </w:pPr>
      <w:r w:rsidRPr="002B2D2A">
        <w:rPr>
          <w:rStyle w:val="FootnoteReference"/>
        </w:rPr>
        <w:footnoteRef/>
      </w:r>
      <w:r w:rsidRPr="00791D87">
        <w:rPr>
          <w:lang w:val="en-US"/>
        </w:rPr>
        <w:t xml:space="preserve"> Chambaere, K., Centeno, C., Hernàndez, E. A., Van Wesemael, Y., Guillén-Grima, F., Deliens, L., &amp; Payne, S. (2011). </w:t>
      </w:r>
      <w:r w:rsidRPr="00293B92">
        <w:rPr>
          <w:lang w:val="en-US"/>
        </w:rPr>
        <w:t xml:space="preserve">Palliative Care Development in Countries with a Euthanasia Law. Report for the UK Commission on Assisted Dying Briefing Papers. </w:t>
      </w:r>
      <w:hyperlink r:id="rId88" w:history="1">
        <w:r w:rsidRPr="002B2D2A">
          <w:rPr>
            <w:rStyle w:val="Hyperlink"/>
          </w:rPr>
          <w:t>https://researchportal.vub.be/en/publications/palliative-care-development-in-countries-with-a-euthanasia-law-re</w:t>
        </w:r>
      </w:hyperlink>
    </w:p>
  </w:footnote>
  <w:footnote w:id="104">
    <w:p w14:paraId="3BA0DAA4" w14:textId="639487CD" w:rsidR="00293B92" w:rsidRPr="00293B92" w:rsidRDefault="00293B92" w:rsidP="00B61886">
      <w:pPr>
        <w:pStyle w:val="FootnoteText"/>
        <w:jc w:val="both"/>
        <w:rPr>
          <w:lang w:val="en-US"/>
        </w:rPr>
      </w:pPr>
      <w:r w:rsidRPr="002B2D2A">
        <w:rPr>
          <w:rStyle w:val="FootnoteReference"/>
        </w:rPr>
        <w:footnoteRef/>
      </w:r>
      <w:r w:rsidRPr="00293B92">
        <w:rPr>
          <w:lang w:val="en-US"/>
        </w:rPr>
        <w:t xml:space="preserve"> McCall Smith, A. (1996). Euthanasia: The law in the United Kingdom. </w:t>
      </w:r>
      <w:r w:rsidRPr="00293B92">
        <w:rPr>
          <w:i/>
          <w:iCs/>
          <w:lang w:val="en-US"/>
        </w:rPr>
        <w:t>British Medical Bulletin</w:t>
      </w:r>
      <w:r w:rsidRPr="00293B92">
        <w:rPr>
          <w:lang w:val="en-US"/>
        </w:rPr>
        <w:t xml:space="preserve">, </w:t>
      </w:r>
      <w:r w:rsidRPr="00293B92">
        <w:rPr>
          <w:i/>
          <w:iCs/>
          <w:lang w:val="en-US"/>
        </w:rPr>
        <w:t>52</w:t>
      </w:r>
      <w:r w:rsidRPr="00293B92">
        <w:rPr>
          <w:lang w:val="en-US"/>
        </w:rPr>
        <w:t xml:space="preserve">(2), 334–340. </w:t>
      </w:r>
      <w:hyperlink r:id="rId89" w:history="1">
        <w:r w:rsidRPr="00293B92">
          <w:rPr>
            <w:rStyle w:val="Hyperlink"/>
            <w:lang w:val="en-US"/>
          </w:rPr>
          <w:t>https://academic.oup.com/bmb/article-abstract/52/2/334/403340</w:t>
        </w:r>
      </w:hyperlink>
    </w:p>
  </w:footnote>
  <w:footnote w:id="105">
    <w:p w14:paraId="24F08B1D" w14:textId="04461C31" w:rsidR="00293B92" w:rsidRPr="00293B92" w:rsidRDefault="00293B92" w:rsidP="00AB2467">
      <w:pPr>
        <w:pStyle w:val="FootnoteText"/>
        <w:rPr>
          <w:lang w:val="en-US"/>
        </w:rPr>
      </w:pPr>
      <w:r w:rsidRPr="00BA35E1">
        <w:rPr>
          <w:rStyle w:val="FootnoteReference"/>
        </w:rPr>
        <w:footnoteRef/>
      </w:r>
      <w:r w:rsidRPr="00293B92">
        <w:rPr>
          <w:lang w:val="en-US"/>
        </w:rPr>
        <w:t xml:space="preserve"> UDHR. (1948, December 10). </w:t>
      </w:r>
      <w:r w:rsidRPr="00293B92">
        <w:rPr>
          <w:i/>
          <w:iCs/>
          <w:lang w:val="en-US"/>
        </w:rPr>
        <w:t>Universal Declaration of Human Rights (UDHR)</w:t>
      </w:r>
      <w:r w:rsidRPr="00293B92">
        <w:rPr>
          <w:lang w:val="en-US"/>
        </w:rPr>
        <w:t xml:space="preserve">. United Nations. Retrieved 07/23/2025, From: </w:t>
      </w:r>
      <w:hyperlink r:id="rId90" w:history="1">
        <w:r w:rsidRPr="00293B92">
          <w:rPr>
            <w:rStyle w:val="Hyperlink"/>
            <w:lang w:val="en-US"/>
          </w:rPr>
          <w:t>https://www.un.org/en/about-us/universal-declaration-of-human-rights</w:t>
        </w:r>
      </w:hyperlink>
    </w:p>
  </w:footnote>
  <w:footnote w:id="106">
    <w:p w14:paraId="3B15A097" w14:textId="523D1E9B" w:rsidR="00293B92" w:rsidRPr="00293B92" w:rsidRDefault="00293B92" w:rsidP="0026279B">
      <w:pPr>
        <w:pStyle w:val="FootnoteText"/>
        <w:jc w:val="both"/>
        <w:rPr>
          <w:lang w:val="en-US"/>
        </w:rPr>
      </w:pPr>
      <w:r w:rsidRPr="00BA35E1">
        <w:rPr>
          <w:rStyle w:val="FootnoteReference"/>
        </w:rPr>
        <w:footnoteRef/>
      </w:r>
      <w:r w:rsidRPr="00293B92">
        <w:rPr>
          <w:lang w:val="en-US"/>
        </w:rPr>
        <w:t xml:space="preserve"> </w:t>
      </w:r>
      <w:r w:rsidRPr="00293B92">
        <w:rPr>
          <w:i/>
          <w:iCs/>
          <w:lang w:val="en-US"/>
        </w:rPr>
        <w:t>Ibid.</w:t>
      </w:r>
    </w:p>
  </w:footnote>
  <w:footnote w:id="107">
    <w:p w14:paraId="47BE9E84" w14:textId="5405A597" w:rsidR="00293B92" w:rsidRPr="00293B92" w:rsidRDefault="00293B92" w:rsidP="0026279B">
      <w:pPr>
        <w:pStyle w:val="FootnoteText"/>
        <w:jc w:val="both"/>
        <w:rPr>
          <w:lang w:val="en-US"/>
        </w:rPr>
      </w:pPr>
      <w:r w:rsidRPr="00BA35E1">
        <w:rPr>
          <w:rStyle w:val="FootnoteReference"/>
        </w:rPr>
        <w:footnoteRef/>
      </w:r>
      <w:r w:rsidRPr="00293B92">
        <w:rPr>
          <w:lang w:val="en-US"/>
        </w:rPr>
        <w:t xml:space="preserve"> ICCPR. (1966, December 16). International Covenant on Civil and Political Rights (ICCPR). Retrieved 07/23/2025, From: </w:t>
      </w:r>
      <w:hyperlink r:id="rId91" w:history="1">
        <w:r w:rsidRPr="00293B92">
          <w:rPr>
            <w:rStyle w:val="Hyperlink"/>
            <w:lang w:val="en-US"/>
          </w:rPr>
          <w:t>https://www.ohchr.org/en/instruments-mechanisms/instruments/international-covenant-civil-and-political-rights</w:t>
        </w:r>
      </w:hyperlink>
    </w:p>
  </w:footnote>
  <w:footnote w:id="108">
    <w:p w14:paraId="66B2A073" w14:textId="67FDC6D4" w:rsidR="00AC1534" w:rsidRPr="00AC1534" w:rsidRDefault="00AC1534">
      <w:pPr>
        <w:pStyle w:val="FootnoteText"/>
        <w:rPr>
          <w:lang w:val="en-GB"/>
        </w:rPr>
      </w:pPr>
      <w:r>
        <w:rPr>
          <w:rStyle w:val="FootnoteReference"/>
        </w:rPr>
        <w:footnoteRef/>
      </w:r>
      <w:r w:rsidRPr="00AC1534">
        <w:rPr>
          <w:lang w:val="en-GB"/>
        </w:rPr>
        <w:t xml:space="preserve"> </w:t>
      </w:r>
      <w:r w:rsidRPr="00A615D8">
        <w:rPr>
          <w:lang w:val="en-GB"/>
        </w:rPr>
        <w:t xml:space="preserve">Lambert and Others v France App. (2015). ECtHR, case No 46043/14 [GC].  </w:t>
      </w:r>
      <w:r w:rsidRPr="00A615D8">
        <w:rPr>
          <w:lang w:val="en-US"/>
        </w:rPr>
        <w:t>Retrieved 03/25/2026, From: https://hudoc.echr.coe.int/eng#{%22itemid%22:[%22001-155352%22]}</w:t>
      </w:r>
    </w:p>
  </w:footnote>
  <w:footnote w:id="109">
    <w:p w14:paraId="76D409BD" w14:textId="0AA9CF09" w:rsidR="00293B92" w:rsidRPr="00293B92" w:rsidRDefault="00293B92" w:rsidP="0026279B">
      <w:pPr>
        <w:pStyle w:val="FootnoteText"/>
        <w:jc w:val="both"/>
        <w:rPr>
          <w:lang w:val="en-US"/>
        </w:rPr>
      </w:pPr>
      <w:r w:rsidRPr="00BA35E1">
        <w:rPr>
          <w:rStyle w:val="FootnoteReference"/>
        </w:rPr>
        <w:footnoteRef/>
      </w:r>
      <w:r w:rsidRPr="00293B92">
        <w:rPr>
          <w:lang w:val="en-US"/>
        </w:rPr>
        <w:t xml:space="preserve"> CRPD. (2006, December 13). Convention on the Rights of Persons with Disabilities (CRPD) | Division for Inclusive Social Development (DISD). Retrieved 07/23/2025, From: </w:t>
      </w:r>
      <w:hyperlink r:id="rId92" w:history="1">
        <w:r w:rsidRPr="00293B92">
          <w:rPr>
            <w:rStyle w:val="Hyperlink"/>
            <w:lang w:val="en-US"/>
          </w:rPr>
          <w:t>https://social.desa.un.org/issues/disability/crpd/convention-on-the-rights-of-persons-with-disabilities-crpd</w:t>
        </w:r>
      </w:hyperlink>
    </w:p>
  </w:footnote>
  <w:footnote w:id="110">
    <w:p w14:paraId="3F86850E" w14:textId="24B79828" w:rsidR="00293B92" w:rsidRPr="00293B92" w:rsidRDefault="00293B92" w:rsidP="0026279B">
      <w:pPr>
        <w:pStyle w:val="FootnoteText"/>
        <w:jc w:val="both"/>
        <w:rPr>
          <w:lang w:val="en-US"/>
        </w:rPr>
      </w:pPr>
      <w:r w:rsidRPr="00BA35E1">
        <w:rPr>
          <w:rStyle w:val="FootnoteReference"/>
        </w:rPr>
        <w:footnoteRef/>
      </w:r>
      <w:r w:rsidRPr="00293B92">
        <w:rPr>
          <w:lang w:val="en-US"/>
        </w:rPr>
        <w:t xml:space="preserve"> CRC. (1989, November 20). Convention on the Rights of the Child (CRC). Retrieved 07.24.2024, From: https://www.ohchr.org/en/instruments-mechanisms/instruments/convention-rights-child</w:t>
      </w:r>
    </w:p>
  </w:footnote>
  <w:footnote w:id="111">
    <w:p w14:paraId="26AB4B6B" w14:textId="325509DA" w:rsidR="00293B92" w:rsidRPr="004646AE" w:rsidRDefault="00293B92" w:rsidP="0026279B">
      <w:pPr>
        <w:pStyle w:val="FootnoteText"/>
        <w:jc w:val="both"/>
        <w:rPr>
          <w:lang w:val="pl-PL"/>
        </w:rPr>
      </w:pPr>
      <w:r w:rsidRPr="002E25D9">
        <w:rPr>
          <w:rStyle w:val="FootnoteReference"/>
        </w:rPr>
        <w:footnoteRef/>
      </w:r>
      <w:r w:rsidRPr="00DE73E3">
        <w:rPr>
          <w:lang w:val="es-ES"/>
        </w:rPr>
        <w:t xml:space="preserve"> Saxena, S., Sharan, P., Garrido, M., &amp; Saraceno, B. (2006). </w:t>
      </w:r>
      <w:r w:rsidRPr="00293B92">
        <w:rPr>
          <w:lang w:val="en-US"/>
        </w:rPr>
        <w:t xml:space="preserve">World Health Organization’s mental health atlas 2005: Implications for policy development. </w:t>
      </w:r>
      <w:r w:rsidRPr="004646AE">
        <w:rPr>
          <w:i/>
          <w:iCs/>
          <w:lang w:val="pl-PL"/>
        </w:rPr>
        <w:t>World Psychiatry</w:t>
      </w:r>
      <w:r w:rsidRPr="004646AE">
        <w:rPr>
          <w:lang w:val="pl-PL"/>
        </w:rPr>
        <w:t xml:space="preserve">, </w:t>
      </w:r>
      <w:r w:rsidRPr="004646AE">
        <w:rPr>
          <w:i/>
          <w:iCs/>
          <w:lang w:val="pl-PL"/>
        </w:rPr>
        <w:t>5</w:t>
      </w:r>
      <w:r w:rsidRPr="004646AE">
        <w:rPr>
          <w:lang w:val="pl-PL"/>
        </w:rPr>
        <w:t xml:space="preserve">(3), 179. </w:t>
      </w:r>
      <w:hyperlink r:id="rId93" w:history="1">
        <w:r w:rsidRPr="004646AE">
          <w:rPr>
            <w:rStyle w:val="Hyperlink"/>
            <w:lang w:val="pl-PL"/>
          </w:rPr>
          <w:t>https://pmc.ncbi.nlm.nih.gov/articles/PMC1636128/</w:t>
        </w:r>
      </w:hyperlink>
    </w:p>
  </w:footnote>
  <w:footnote w:id="112">
    <w:p w14:paraId="14791FD7" w14:textId="5413B427" w:rsidR="00293B92" w:rsidRPr="00293B92" w:rsidRDefault="00293B92" w:rsidP="00AB2467">
      <w:pPr>
        <w:pStyle w:val="FootnoteText"/>
        <w:rPr>
          <w:lang w:val="en-US"/>
        </w:rPr>
      </w:pPr>
      <w:r w:rsidRPr="002E25D9">
        <w:rPr>
          <w:rStyle w:val="FootnoteReference"/>
        </w:rPr>
        <w:footnoteRef/>
      </w:r>
      <w:r w:rsidRPr="00293B92">
        <w:rPr>
          <w:lang w:val="en-US"/>
        </w:rPr>
        <w:t xml:space="preserve"> UDHR. (1948, December 10). </w:t>
      </w:r>
      <w:r w:rsidRPr="00293B92">
        <w:rPr>
          <w:i/>
          <w:iCs/>
          <w:lang w:val="en-US"/>
        </w:rPr>
        <w:t>Universal Declaration of Human Rights (UDHR)</w:t>
      </w:r>
      <w:r w:rsidRPr="00293B92">
        <w:rPr>
          <w:lang w:val="en-US"/>
        </w:rPr>
        <w:t xml:space="preserve">. United Nations. Retrieved 07/23/2025, From: </w:t>
      </w:r>
      <w:hyperlink r:id="rId94" w:history="1">
        <w:r w:rsidRPr="00293B92">
          <w:rPr>
            <w:rStyle w:val="Hyperlink"/>
            <w:lang w:val="en-US"/>
          </w:rPr>
          <w:t>https://www.un.org/en/about-us/universal-declaration-of-human-rights</w:t>
        </w:r>
      </w:hyperlink>
    </w:p>
  </w:footnote>
  <w:footnote w:id="113">
    <w:p w14:paraId="05C73807" w14:textId="14BC8417" w:rsidR="00293B92" w:rsidRPr="00293B92" w:rsidRDefault="00293B92" w:rsidP="00AB2467">
      <w:pPr>
        <w:pStyle w:val="FootnoteText"/>
        <w:rPr>
          <w:lang w:val="en-US"/>
        </w:rPr>
      </w:pPr>
      <w:r w:rsidRPr="002E25D9">
        <w:rPr>
          <w:rStyle w:val="FootnoteReference"/>
        </w:rPr>
        <w:footnoteRef/>
      </w:r>
      <w:r w:rsidRPr="00293B92">
        <w:rPr>
          <w:lang w:val="en-US"/>
        </w:rPr>
        <w:t xml:space="preserve"> ICCPR. (1966, December 16). International Covenant on Civil and Political Rights (ICCPR). Retrieved 07/23/2025, From: </w:t>
      </w:r>
      <w:hyperlink r:id="rId95" w:history="1">
        <w:r w:rsidRPr="00293B92">
          <w:rPr>
            <w:rStyle w:val="Hyperlink"/>
            <w:lang w:val="en-US"/>
          </w:rPr>
          <w:t>https://www.ohchr.org/en/instruments-mechanisms/instruments/international-covenant-civil-and-political-rights</w:t>
        </w:r>
      </w:hyperlink>
    </w:p>
  </w:footnote>
  <w:footnote w:id="114">
    <w:p w14:paraId="46BD0B81" w14:textId="12F32419" w:rsidR="00293B92" w:rsidRPr="00293B92" w:rsidRDefault="00293B92" w:rsidP="00AB2467">
      <w:pPr>
        <w:pStyle w:val="FootnoteText"/>
        <w:rPr>
          <w:lang w:val="en-US"/>
        </w:rPr>
      </w:pPr>
      <w:r w:rsidRPr="002E25D9">
        <w:rPr>
          <w:rStyle w:val="FootnoteReference"/>
        </w:rPr>
        <w:footnoteRef/>
      </w:r>
      <w:r w:rsidRPr="00293B92">
        <w:rPr>
          <w:lang w:val="en-US"/>
        </w:rPr>
        <w:t xml:space="preserve"> CRC. (1989, November 20). </w:t>
      </w:r>
      <w:r w:rsidRPr="00293B92">
        <w:rPr>
          <w:i/>
          <w:iCs/>
          <w:lang w:val="en-US"/>
        </w:rPr>
        <w:t>Convention on the Rights of the Child (CRC)</w:t>
      </w:r>
      <w:r w:rsidRPr="00293B92">
        <w:rPr>
          <w:lang w:val="en-US"/>
        </w:rPr>
        <w:t xml:space="preserve">. Retrieved 07.24.2024, From: </w:t>
      </w:r>
      <w:hyperlink r:id="rId96" w:history="1">
        <w:r w:rsidRPr="00293B92">
          <w:rPr>
            <w:rStyle w:val="Hyperlink"/>
            <w:lang w:val="en-US"/>
          </w:rPr>
          <w:t>https://www.ohchr.org/en/instruments-mechanisms/instruments/convention-rights-child</w:t>
        </w:r>
      </w:hyperlink>
    </w:p>
  </w:footnote>
  <w:footnote w:id="115">
    <w:p w14:paraId="5D6F3F16" w14:textId="1F2411E4" w:rsidR="00293B92" w:rsidRPr="00293B92" w:rsidRDefault="00293B92" w:rsidP="00AB2467">
      <w:pPr>
        <w:pStyle w:val="FootnoteText"/>
        <w:rPr>
          <w:lang w:val="en-US"/>
        </w:rPr>
      </w:pPr>
      <w:r w:rsidRPr="002E25D9">
        <w:rPr>
          <w:rStyle w:val="FootnoteReference"/>
        </w:rPr>
        <w:footnoteRef/>
      </w:r>
      <w:r w:rsidRPr="00293B92">
        <w:rPr>
          <w:lang w:val="en-US"/>
        </w:rPr>
        <w:t xml:space="preserve"> Cavalieri, T. A. (2001). Ethical issues at the end of life. </w:t>
      </w:r>
      <w:r w:rsidRPr="00293B92">
        <w:rPr>
          <w:i/>
          <w:iCs/>
          <w:lang w:val="en-US"/>
        </w:rPr>
        <w:t>Journal of Osteopathic Medicine</w:t>
      </w:r>
      <w:r w:rsidRPr="00293B92">
        <w:rPr>
          <w:lang w:val="en-US"/>
        </w:rPr>
        <w:t xml:space="preserve">, </w:t>
      </w:r>
      <w:r w:rsidRPr="00293B92">
        <w:rPr>
          <w:i/>
          <w:iCs/>
          <w:lang w:val="en-US"/>
        </w:rPr>
        <w:t>101</w:t>
      </w:r>
      <w:r w:rsidRPr="00293B92">
        <w:rPr>
          <w:lang w:val="en-US"/>
        </w:rPr>
        <w:t xml:space="preserve">(10), 616–624. </w:t>
      </w:r>
      <w:hyperlink r:id="rId97" w:history="1">
        <w:r w:rsidRPr="00293B92">
          <w:rPr>
            <w:rStyle w:val="Hyperlink"/>
            <w:lang w:val="en-US"/>
          </w:rPr>
          <w:t>https://www.degruyterbrill.com/document/doi/10.7556/jaoa.2001.101.10.616/html</w:t>
        </w:r>
      </w:hyperlink>
    </w:p>
  </w:footnote>
  <w:footnote w:id="116">
    <w:p w14:paraId="0FD40610" w14:textId="45CF1FC2" w:rsidR="00293B92" w:rsidRPr="00293B92" w:rsidRDefault="00293B92" w:rsidP="00AB2467">
      <w:pPr>
        <w:pStyle w:val="FootnoteText"/>
        <w:rPr>
          <w:lang w:val="en-US"/>
        </w:rPr>
      </w:pPr>
      <w:r w:rsidRPr="002E25D9">
        <w:rPr>
          <w:rStyle w:val="FootnoteReference"/>
        </w:rPr>
        <w:footnoteRef/>
      </w:r>
      <w:r w:rsidRPr="00293B92">
        <w:rPr>
          <w:lang w:val="en-US"/>
        </w:rPr>
        <w:t xml:space="preserve"> Biggs, H. (2001). Euthanasia, death with dignity and the Law. Hart Publishing.</w:t>
      </w:r>
    </w:p>
  </w:footnote>
  <w:footnote w:id="117">
    <w:p w14:paraId="53F949D6" w14:textId="36023DB4" w:rsidR="00293B92" w:rsidRPr="00293B92" w:rsidRDefault="00293B92" w:rsidP="00AB2467">
      <w:pPr>
        <w:pStyle w:val="FootnoteText"/>
        <w:rPr>
          <w:lang w:val="en-US"/>
        </w:rPr>
      </w:pPr>
      <w:r>
        <w:rPr>
          <w:rStyle w:val="FootnoteReference"/>
        </w:rPr>
        <w:footnoteRef/>
      </w:r>
      <w:r w:rsidRPr="00293B92">
        <w:rPr>
          <w:lang w:val="en-US"/>
        </w:rPr>
        <w:t xml:space="preserve"> </w:t>
      </w:r>
      <w:r w:rsidRPr="00293B92">
        <w:rPr>
          <w:i/>
          <w:iCs/>
          <w:lang w:val="en-US"/>
        </w:rPr>
        <w:t>Ibid.</w:t>
      </w:r>
    </w:p>
  </w:footnote>
  <w:footnote w:id="118">
    <w:p w14:paraId="1D926F29" w14:textId="0F05EF45" w:rsidR="00293B92" w:rsidRPr="00293B92" w:rsidRDefault="00293B92" w:rsidP="00AB2467">
      <w:pPr>
        <w:pStyle w:val="FootnoteText"/>
        <w:rPr>
          <w:lang w:val="en-US"/>
        </w:rPr>
      </w:pPr>
      <w:r w:rsidRPr="002D1E76">
        <w:rPr>
          <w:rStyle w:val="FootnoteReference"/>
        </w:rPr>
        <w:footnoteRef/>
      </w:r>
      <w:r w:rsidRPr="00293B92">
        <w:rPr>
          <w:lang w:val="en-US"/>
        </w:rPr>
        <w:t xml:space="preserve"> Van Den Akker, B., Janssens, R. M. J. P. A., &amp; Have, H. A. M. J. T. (1997). Euthanasia and International Human Rights Law: Prolegomena for an International Debate. </w:t>
      </w:r>
      <w:r w:rsidRPr="00293B92">
        <w:rPr>
          <w:i/>
          <w:iCs/>
          <w:lang w:val="en-US"/>
        </w:rPr>
        <w:t>Medicine, Science and the Law</w:t>
      </w:r>
      <w:r w:rsidRPr="00293B92">
        <w:rPr>
          <w:lang w:val="en-US"/>
        </w:rPr>
        <w:t xml:space="preserve">, </w:t>
      </w:r>
      <w:r w:rsidRPr="00293B92">
        <w:rPr>
          <w:i/>
          <w:iCs/>
          <w:lang w:val="en-US"/>
        </w:rPr>
        <w:t>37</w:t>
      </w:r>
      <w:r w:rsidRPr="00293B92">
        <w:rPr>
          <w:lang w:val="en-US"/>
        </w:rPr>
        <w:t xml:space="preserve">(4), 289–295. </w:t>
      </w:r>
      <w:hyperlink r:id="rId98" w:history="1">
        <w:r w:rsidRPr="00293B92">
          <w:rPr>
            <w:rStyle w:val="Hyperlink"/>
            <w:lang w:val="en-US"/>
          </w:rPr>
          <w:t>https://doi.org/10.1177/002580249703700403</w:t>
        </w:r>
      </w:hyperlink>
    </w:p>
  </w:footnote>
  <w:footnote w:id="119">
    <w:p w14:paraId="15BF3843" w14:textId="71B8EB7A" w:rsidR="00293B92" w:rsidRPr="00293B92" w:rsidRDefault="00293B92" w:rsidP="00AB2467">
      <w:pPr>
        <w:pStyle w:val="FootnoteText"/>
        <w:rPr>
          <w:lang w:val="en-US"/>
        </w:rPr>
      </w:pPr>
      <w:r w:rsidRPr="002D1E76">
        <w:rPr>
          <w:rStyle w:val="FootnoteReference"/>
        </w:rPr>
        <w:footnoteRef/>
      </w:r>
      <w:r w:rsidRPr="00293B92">
        <w:rPr>
          <w:lang w:val="en-US"/>
        </w:rPr>
        <w:t xml:space="preserve"> Sareen, R. (2019). India decides on Euthanasia: Is the debate over. </w:t>
      </w:r>
      <w:r w:rsidRPr="00293B92">
        <w:rPr>
          <w:i/>
          <w:iCs/>
          <w:lang w:val="en-US"/>
        </w:rPr>
        <w:t>Health Care Current Reviews</w:t>
      </w:r>
      <w:r w:rsidRPr="00293B92">
        <w:rPr>
          <w:lang w:val="en-US"/>
        </w:rPr>
        <w:t xml:space="preserve">, </w:t>
      </w:r>
      <w:r w:rsidRPr="00293B92">
        <w:rPr>
          <w:i/>
          <w:iCs/>
          <w:lang w:val="en-US"/>
        </w:rPr>
        <w:t>7</w:t>
      </w:r>
      <w:r w:rsidRPr="00293B92">
        <w:rPr>
          <w:lang w:val="en-US"/>
        </w:rPr>
        <w:t>(3), 1–3.</w:t>
      </w:r>
    </w:p>
  </w:footnote>
  <w:footnote w:id="120">
    <w:p w14:paraId="63DE16F0" w14:textId="5E2E971D" w:rsidR="00293B92" w:rsidRPr="00293B92" w:rsidRDefault="00293B92" w:rsidP="00960EDB">
      <w:pPr>
        <w:pStyle w:val="FootnoteText"/>
        <w:jc w:val="both"/>
        <w:rPr>
          <w:lang w:val="en-US"/>
        </w:rPr>
      </w:pPr>
      <w:r w:rsidRPr="002D1E76">
        <w:rPr>
          <w:rStyle w:val="FootnoteReference"/>
        </w:rPr>
        <w:footnoteRef/>
      </w:r>
      <w:r w:rsidRPr="00293B92">
        <w:rPr>
          <w:lang w:val="en-US"/>
        </w:rPr>
        <w:t xml:space="preserve"> ICCPR. (1966, December 16). International Covenant on Civil and Political Rights (ICCPR). Retrieved 07/23/2025, From: </w:t>
      </w:r>
      <w:hyperlink r:id="rId99" w:history="1">
        <w:r w:rsidRPr="00293B92">
          <w:rPr>
            <w:rStyle w:val="Hyperlink"/>
            <w:lang w:val="en-US"/>
          </w:rPr>
          <w:t>https://www.ohchr.org/en/instruments-mechanisms/instruments/international-covenant-civil-and-political-rights</w:t>
        </w:r>
      </w:hyperlink>
    </w:p>
  </w:footnote>
  <w:footnote w:id="121">
    <w:p w14:paraId="063704B9" w14:textId="2FA6981A" w:rsidR="00FE384A" w:rsidRPr="00FE384A" w:rsidRDefault="00FE384A">
      <w:pPr>
        <w:pStyle w:val="FootnoteText"/>
        <w:rPr>
          <w:lang w:val="lt-LT"/>
        </w:rPr>
      </w:pPr>
      <w:r>
        <w:rPr>
          <w:rStyle w:val="FootnoteReference"/>
        </w:rPr>
        <w:footnoteRef/>
      </w:r>
      <w:r w:rsidRPr="00851E2A">
        <w:rPr>
          <w:lang w:val="en-US"/>
        </w:rPr>
        <w:t xml:space="preserve"> </w:t>
      </w:r>
      <w:r w:rsidR="007E4967" w:rsidRPr="00A615D8">
        <w:rPr>
          <w:lang w:val="en-US"/>
        </w:rPr>
        <w:t xml:space="preserve">Council of Europe. (1950). </w:t>
      </w:r>
      <w:r w:rsidR="007E4967" w:rsidRPr="00A615D8">
        <w:rPr>
          <w:i/>
          <w:iCs/>
          <w:lang w:val="en-US"/>
        </w:rPr>
        <w:t>European Convention on Human Rights</w:t>
      </w:r>
      <w:r w:rsidR="007E4967" w:rsidRPr="00A615D8">
        <w:rPr>
          <w:lang w:val="en-US"/>
        </w:rPr>
        <w:t>. Retrieved 03.19.2026, From: https://www.echr.coe.int/documents/d/echr/convention_ENG</w:t>
      </w:r>
    </w:p>
  </w:footnote>
  <w:footnote w:id="122">
    <w:p w14:paraId="57028F69" w14:textId="5A3E11D9" w:rsidR="00FE384A" w:rsidRPr="00A615D8" w:rsidRDefault="00FE384A">
      <w:pPr>
        <w:pStyle w:val="FootnoteText"/>
        <w:rPr>
          <w:lang w:val="lt-LT"/>
        </w:rPr>
      </w:pPr>
      <w:r w:rsidRPr="00A615D8">
        <w:rPr>
          <w:rStyle w:val="FootnoteReference"/>
        </w:rPr>
        <w:footnoteRef/>
      </w:r>
      <w:r w:rsidRPr="00A615D8">
        <w:rPr>
          <w:lang w:val="en-US"/>
        </w:rPr>
        <w:t xml:space="preserve"> </w:t>
      </w:r>
      <w:r w:rsidR="00D41959" w:rsidRPr="00A615D8">
        <w:rPr>
          <w:i/>
          <w:iCs/>
          <w:lang w:val="en-US"/>
        </w:rPr>
        <w:t>McCann and Others v the United Kingdom App no 18984/91 (ECtHR, 27 September 1995).</w:t>
      </w:r>
      <w:r w:rsidR="00C44D74" w:rsidRPr="00A615D8">
        <w:rPr>
          <w:lang w:val="en-GB"/>
        </w:rPr>
        <w:t xml:space="preserve"> </w:t>
      </w:r>
      <w:r w:rsidR="00C44D74" w:rsidRPr="00A615D8">
        <w:rPr>
          <w:lang w:val="en-US"/>
        </w:rPr>
        <w:t xml:space="preserve">Retrieved 03.19.2026, From: </w:t>
      </w:r>
      <w:r w:rsidR="00C44D74" w:rsidRPr="00A615D8">
        <w:rPr>
          <w:i/>
          <w:iCs/>
          <w:lang w:val="en-US"/>
        </w:rPr>
        <w:t>https://hudoc.echr.coe.int/eng#{%22itemid%22:[%22001-57943%22]}</w:t>
      </w:r>
    </w:p>
  </w:footnote>
  <w:footnote w:id="123">
    <w:p w14:paraId="200E413E" w14:textId="3C6631F3" w:rsidR="00FE384A" w:rsidRPr="00FE384A" w:rsidRDefault="00FE384A">
      <w:pPr>
        <w:pStyle w:val="FootnoteText"/>
        <w:rPr>
          <w:lang w:val="lt-LT"/>
        </w:rPr>
      </w:pPr>
      <w:r w:rsidRPr="00A615D8">
        <w:rPr>
          <w:rStyle w:val="FootnoteReference"/>
        </w:rPr>
        <w:footnoteRef/>
      </w:r>
      <w:r w:rsidRPr="00A615D8">
        <w:rPr>
          <w:lang w:val="en-GB"/>
        </w:rPr>
        <w:t xml:space="preserve"> </w:t>
      </w:r>
      <w:r w:rsidR="00E91E6A" w:rsidRPr="00A615D8">
        <w:rPr>
          <w:lang w:val="en-US"/>
        </w:rPr>
        <w:t xml:space="preserve">Council of Europe. (1950). </w:t>
      </w:r>
      <w:r w:rsidR="00E91E6A" w:rsidRPr="00A615D8">
        <w:rPr>
          <w:i/>
          <w:iCs/>
          <w:lang w:val="en-US"/>
        </w:rPr>
        <w:t>European Convention on Human Rights</w:t>
      </w:r>
      <w:r w:rsidR="00E91E6A" w:rsidRPr="00A615D8">
        <w:rPr>
          <w:lang w:val="en-US"/>
        </w:rPr>
        <w:t>. Retrieved 03.19.2026, From: https://www.echr.coe.int/documents/d/echr/convention_ENG</w:t>
      </w:r>
    </w:p>
  </w:footnote>
  <w:footnote w:id="124">
    <w:p w14:paraId="53CF0D66" w14:textId="76285911" w:rsidR="004D74B7" w:rsidRPr="004D74B7" w:rsidRDefault="004D74B7" w:rsidP="00095984">
      <w:pPr>
        <w:pStyle w:val="FootnoteText"/>
        <w:jc w:val="both"/>
        <w:rPr>
          <w:lang w:val="lt-LT"/>
        </w:rPr>
      </w:pPr>
      <w:r w:rsidRPr="00A615D8">
        <w:rPr>
          <w:rStyle w:val="FootnoteReference"/>
        </w:rPr>
        <w:footnoteRef/>
      </w:r>
      <w:r w:rsidRPr="00A615D8">
        <w:rPr>
          <w:lang w:val="en-GB"/>
        </w:rPr>
        <w:t xml:space="preserve"> </w:t>
      </w:r>
      <w:r w:rsidR="00D41959" w:rsidRPr="00A615D8">
        <w:rPr>
          <w:lang w:val="en-US"/>
        </w:rPr>
        <w:t>Supreme Court of Lithuania. (2025). Civil case No e3K-3-201-611/2025. Retrieved 08.22.2025, From: https://www.lat.lt/lat-sprende-del-teises-i-neturtines-zalos-patirtos-del-sutuoktines-nestumo-nutraukimo-komplikaciju-atlyginima/2295</w:t>
      </w:r>
    </w:p>
  </w:footnote>
  <w:footnote w:id="125">
    <w:p w14:paraId="5A22E2A8" w14:textId="3C680DAD" w:rsidR="00293B92" w:rsidRPr="00293B92" w:rsidRDefault="00293B92" w:rsidP="00960EDB">
      <w:pPr>
        <w:pStyle w:val="FootnoteText"/>
        <w:jc w:val="both"/>
        <w:rPr>
          <w:lang w:val="en-US"/>
        </w:rPr>
      </w:pPr>
      <w:r w:rsidRPr="00297652">
        <w:rPr>
          <w:rStyle w:val="FootnoteReference"/>
        </w:rPr>
        <w:footnoteRef/>
      </w:r>
      <w:r w:rsidRPr="00293B92">
        <w:rPr>
          <w:lang w:val="en-US"/>
        </w:rPr>
        <w:t xml:space="preserve"> Kovačević, D. (2023). Euthanasia in the practice of the European Court of Human Rights. </w:t>
      </w:r>
      <w:r w:rsidRPr="00297652">
        <w:rPr>
          <w:i/>
          <w:iCs/>
        </w:rPr>
        <w:t>Анали</w:t>
      </w:r>
      <w:r w:rsidRPr="00293B92">
        <w:rPr>
          <w:i/>
          <w:iCs/>
          <w:lang w:val="en-US"/>
        </w:rPr>
        <w:t xml:space="preserve"> </w:t>
      </w:r>
      <w:r w:rsidRPr="00297652">
        <w:rPr>
          <w:i/>
          <w:iCs/>
        </w:rPr>
        <w:t>Правног</w:t>
      </w:r>
      <w:r w:rsidRPr="00293B92">
        <w:rPr>
          <w:i/>
          <w:iCs/>
          <w:lang w:val="en-US"/>
        </w:rPr>
        <w:t xml:space="preserve"> </w:t>
      </w:r>
      <w:r w:rsidRPr="00297652">
        <w:rPr>
          <w:i/>
          <w:iCs/>
        </w:rPr>
        <w:t>Факултета</w:t>
      </w:r>
      <w:r w:rsidRPr="00293B92">
        <w:rPr>
          <w:i/>
          <w:iCs/>
          <w:lang w:val="en-US"/>
        </w:rPr>
        <w:t xml:space="preserve"> </w:t>
      </w:r>
      <w:r w:rsidRPr="00297652">
        <w:rPr>
          <w:i/>
          <w:iCs/>
        </w:rPr>
        <w:t>у</w:t>
      </w:r>
      <w:r w:rsidRPr="00293B92">
        <w:rPr>
          <w:i/>
          <w:iCs/>
          <w:lang w:val="en-US"/>
        </w:rPr>
        <w:t xml:space="preserve"> </w:t>
      </w:r>
      <w:r w:rsidRPr="00297652">
        <w:rPr>
          <w:i/>
          <w:iCs/>
        </w:rPr>
        <w:t>Београду</w:t>
      </w:r>
      <w:r w:rsidRPr="00293B92">
        <w:rPr>
          <w:lang w:val="en-US"/>
        </w:rPr>
        <w:t xml:space="preserve">, </w:t>
      </w:r>
      <w:r w:rsidRPr="00293B92">
        <w:rPr>
          <w:i/>
          <w:iCs/>
          <w:lang w:val="en-US"/>
        </w:rPr>
        <w:t>71</w:t>
      </w:r>
      <w:r w:rsidRPr="00293B92">
        <w:rPr>
          <w:lang w:val="en-US"/>
        </w:rPr>
        <w:t xml:space="preserve">(2), 233–250. </w:t>
      </w:r>
      <w:hyperlink r:id="rId100" w:history="1">
        <w:r w:rsidRPr="00293B92">
          <w:rPr>
            <w:rStyle w:val="Hyperlink"/>
            <w:lang w:val="en-US"/>
          </w:rPr>
          <w:t>https://www.ceeol.com/search/article-detail?id=1131037</w:t>
        </w:r>
      </w:hyperlink>
    </w:p>
  </w:footnote>
  <w:footnote w:id="126">
    <w:p w14:paraId="075E2F56" w14:textId="7EE16D07" w:rsidR="00293B92" w:rsidRPr="00293B92" w:rsidRDefault="00293B92" w:rsidP="00960EDB">
      <w:pPr>
        <w:pStyle w:val="FootnoteText"/>
        <w:jc w:val="both"/>
        <w:rPr>
          <w:lang w:val="en-US"/>
        </w:rPr>
      </w:pPr>
      <w:r w:rsidRPr="00297652">
        <w:rPr>
          <w:rStyle w:val="FootnoteReference"/>
        </w:rPr>
        <w:footnoteRef/>
      </w:r>
      <w:r w:rsidRPr="00ED3976">
        <w:rPr>
          <w:lang w:val="en-GB"/>
        </w:rPr>
        <w:t xml:space="preserve"> Dei, M. O., Skliar, I. S., &amp; Kortukova, T. (2022). </w:t>
      </w:r>
      <w:r w:rsidRPr="00293B92">
        <w:rPr>
          <w:lang w:val="en-US"/>
        </w:rPr>
        <w:t xml:space="preserve">National and international legal issues of the euthanasia. </w:t>
      </w:r>
      <w:r w:rsidRPr="00293B92">
        <w:rPr>
          <w:i/>
          <w:iCs/>
          <w:lang w:val="en-US"/>
        </w:rPr>
        <w:t>Polish Annals of Medicine</w:t>
      </w:r>
      <w:r w:rsidRPr="00293B92">
        <w:rPr>
          <w:lang w:val="en-US"/>
        </w:rPr>
        <w:t xml:space="preserve">, </w:t>
      </w:r>
      <w:r w:rsidRPr="00293B92">
        <w:rPr>
          <w:i/>
          <w:iCs/>
          <w:lang w:val="en-US"/>
        </w:rPr>
        <w:t>2022</w:t>
      </w:r>
      <w:r w:rsidRPr="00293B92">
        <w:rPr>
          <w:lang w:val="en-US"/>
        </w:rPr>
        <w:t xml:space="preserve">(1), 1–6. </w:t>
      </w:r>
      <w:hyperlink r:id="rId101" w:history="1">
        <w:r w:rsidRPr="00293B92">
          <w:rPr>
            <w:rStyle w:val="Hyperlink"/>
            <w:lang w:val="en-US"/>
          </w:rPr>
          <w:t>http://www.paom.pl/National-and-international-legal-issues-of-the-euthanasia,140538,0,2.html</w:t>
        </w:r>
      </w:hyperlink>
    </w:p>
  </w:footnote>
  <w:footnote w:id="127">
    <w:p w14:paraId="434AA3B9" w14:textId="292094D0" w:rsidR="00293B92" w:rsidRPr="00293B92" w:rsidRDefault="00293B92" w:rsidP="00960EDB">
      <w:pPr>
        <w:pStyle w:val="FootnoteText"/>
        <w:jc w:val="both"/>
        <w:rPr>
          <w:lang w:val="en-US"/>
        </w:rPr>
      </w:pPr>
      <w:r w:rsidRPr="00297652">
        <w:rPr>
          <w:rStyle w:val="FootnoteReference"/>
        </w:rPr>
        <w:footnoteRef/>
      </w:r>
      <w:r w:rsidRPr="00293B92">
        <w:rPr>
          <w:lang w:val="en-US"/>
        </w:rPr>
        <w:t xml:space="preserve"> Hyliaka, O., Mernyk, A., Yaroshenko, O., Gnatenko, K., &amp; Sliusar, A. (2020). The right to euthanasy how the fourth generation human right. </w:t>
      </w:r>
      <w:r w:rsidRPr="00293B92">
        <w:rPr>
          <w:i/>
          <w:iCs/>
          <w:lang w:val="en-US"/>
        </w:rPr>
        <w:t>Georgian Medical News</w:t>
      </w:r>
      <w:r w:rsidRPr="00293B92">
        <w:rPr>
          <w:lang w:val="en-US"/>
        </w:rPr>
        <w:t xml:space="preserve">, </w:t>
      </w:r>
      <w:r w:rsidRPr="00293B92">
        <w:rPr>
          <w:i/>
          <w:iCs/>
          <w:lang w:val="en-US"/>
        </w:rPr>
        <w:t>308</w:t>
      </w:r>
      <w:r w:rsidRPr="00293B92">
        <w:rPr>
          <w:lang w:val="en-US"/>
        </w:rPr>
        <w:t xml:space="preserve">, 175–180. </w:t>
      </w:r>
      <w:hyperlink r:id="rId102" w:history="1">
        <w:r w:rsidRPr="00293B92">
          <w:rPr>
            <w:rStyle w:val="Hyperlink"/>
            <w:lang w:val="en-US"/>
          </w:rPr>
          <w:t>https://europepmc.org/article/med/33395663</w:t>
        </w:r>
      </w:hyperlink>
    </w:p>
  </w:footnote>
  <w:footnote w:id="128">
    <w:p w14:paraId="2177D3DD" w14:textId="61F9BF5C" w:rsidR="00293B92" w:rsidRPr="00293B92" w:rsidRDefault="00293B92" w:rsidP="0026279B">
      <w:pPr>
        <w:pStyle w:val="FootnoteText"/>
        <w:jc w:val="both"/>
        <w:rPr>
          <w:lang w:val="en-US"/>
        </w:rPr>
      </w:pPr>
      <w:r w:rsidRPr="0071727A">
        <w:rPr>
          <w:rStyle w:val="FootnoteReference"/>
        </w:rPr>
        <w:footnoteRef/>
      </w:r>
      <w:r w:rsidRPr="00293B92">
        <w:rPr>
          <w:lang w:val="en-US"/>
        </w:rPr>
        <w:t xml:space="preserve"> UDHR. (1948, December 10). </w:t>
      </w:r>
      <w:r w:rsidRPr="00293B92">
        <w:rPr>
          <w:i/>
          <w:iCs/>
          <w:lang w:val="en-US"/>
        </w:rPr>
        <w:t>Universal Declaration of Human Rights (UDHR)</w:t>
      </w:r>
      <w:r w:rsidRPr="00293B92">
        <w:rPr>
          <w:lang w:val="en-US"/>
        </w:rPr>
        <w:t xml:space="preserve">. United Nations. Retrieved 07/23/2025, From: </w:t>
      </w:r>
      <w:hyperlink r:id="rId103" w:history="1">
        <w:r w:rsidRPr="00293B92">
          <w:rPr>
            <w:rStyle w:val="Hyperlink"/>
            <w:lang w:val="en-US"/>
          </w:rPr>
          <w:t>https://www.un.org/en/about-us/universal-declaration-of-human-rights</w:t>
        </w:r>
      </w:hyperlink>
    </w:p>
  </w:footnote>
  <w:footnote w:id="129">
    <w:p w14:paraId="0D078F18" w14:textId="452F176B" w:rsidR="00293B92" w:rsidRPr="00293B92" w:rsidRDefault="00293B92" w:rsidP="0026279B">
      <w:pPr>
        <w:pStyle w:val="FootnoteText"/>
        <w:jc w:val="both"/>
        <w:rPr>
          <w:lang w:val="en-US"/>
        </w:rPr>
      </w:pPr>
      <w:r w:rsidRPr="0071727A">
        <w:rPr>
          <w:rStyle w:val="FootnoteReference"/>
        </w:rPr>
        <w:footnoteRef/>
      </w:r>
      <w:r w:rsidRPr="00293B92">
        <w:rPr>
          <w:lang w:val="en-US"/>
        </w:rPr>
        <w:t xml:space="preserve"> ICCPR. (1966, December 16). International Covenant on Civil and Political Rights (ICCPR). Retrieved 07/23/2025, From: </w:t>
      </w:r>
      <w:hyperlink r:id="rId104" w:history="1">
        <w:r w:rsidRPr="00293B92">
          <w:rPr>
            <w:rStyle w:val="Hyperlink"/>
            <w:lang w:val="en-US"/>
          </w:rPr>
          <w:t>https://www.ohchr.org/en/instruments-mechanisms/instruments/international-covenant-civil-and-political-rights</w:t>
        </w:r>
      </w:hyperlink>
    </w:p>
  </w:footnote>
  <w:footnote w:id="130">
    <w:p w14:paraId="76093BF8" w14:textId="3AA24C66" w:rsidR="00293B92" w:rsidRPr="00293B92" w:rsidRDefault="00293B92" w:rsidP="0026279B">
      <w:pPr>
        <w:pStyle w:val="FootnoteText"/>
        <w:jc w:val="both"/>
        <w:rPr>
          <w:lang w:val="en-US"/>
        </w:rPr>
      </w:pPr>
      <w:r w:rsidRPr="0071727A">
        <w:rPr>
          <w:rStyle w:val="FootnoteReference"/>
        </w:rPr>
        <w:footnoteRef/>
      </w:r>
      <w:r w:rsidRPr="00ED3976">
        <w:rPr>
          <w:lang w:val="en-GB"/>
        </w:rPr>
        <w:t xml:space="preserve"> Dei, M. O., Skliar, I. S., &amp; Kortukova, T. (2022). </w:t>
      </w:r>
      <w:r w:rsidRPr="00293B92">
        <w:rPr>
          <w:lang w:val="en-US"/>
        </w:rPr>
        <w:t xml:space="preserve">National and international legal issues of the euthanasia. Polish Annals of Medicine, 2022(1), 1–6. </w:t>
      </w:r>
      <w:hyperlink r:id="rId105" w:history="1">
        <w:r w:rsidRPr="00293B92">
          <w:rPr>
            <w:rStyle w:val="Hyperlink"/>
            <w:lang w:val="en-US"/>
          </w:rPr>
          <w:t>http://www.paom.pl/National-and-international-legal-issues-of-the-euthanasia,140538,0,2.html</w:t>
        </w:r>
      </w:hyperlink>
    </w:p>
  </w:footnote>
  <w:footnote w:id="131">
    <w:p w14:paraId="5B4E9865" w14:textId="7F59A770" w:rsidR="00293B92" w:rsidRPr="00293B92" w:rsidRDefault="00293B92" w:rsidP="0026279B">
      <w:pPr>
        <w:pStyle w:val="FootnoteText"/>
        <w:jc w:val="both"/>
        <w:rPr>
          <w:lang w:val="en-US"/>
        </w:rPr>
      </w:pPr>
      <w:r w:rsidRPr="0071727A">
        <w:rPr>
          <w:rStyle w:val="FootnoteReference"/>
        </w:rPr>
        <w:footnoteRef/>
      </w:r>
      <w:r w:rsidRPr="00293B92">
        <w:rPr>
          <w:lang w:val="en-US"/>
        </w:rPr>
        <w:t xml:space="preserve"> ICCPR. (1966, December 16). International Covenant on Civil and Political Rights (ICCPR). Retrieved 07/23/2025, From: </w:t>
      </w:r>
      <w:hyperlink r:id="rId106" w:history="1">
        <w:r w:rsidRPr="00293B92">
          <w:rPr>
            <w:rStyle w:val="Hyperlink"/>
            <w:lang w:val="en-US"/>
          </w:rPr>
          <w:t>https://www.ohchr.org/en/instruments-mechanisms/instruments/international-covenant-civil-and-political-rights</w:t>
        </w:r>
      </w:hyperlink>
    </w:p>
  </w:footnote>
  <w:footnote w:id="132">
    <w:p w14:paraId="71394BE8" w14:textId="2D797158" w:rsidR="00293B92" w:rsidRPr="00293B92" w:rsidRDefault="00293B92" w:rsidP="0026279B">
      <w:pPr>
        <w:pStyle w:val="FootnoteText"/>
        <w:jc w:val="both"/>
        <w:rPr>
          <w:lang w:val="en-US"/>
        </w:rPr>
      </w:pPr>
      <w:r w:rsidRPr="0071727A">
        <w:rPr>
          <w:rStyle w:val="FootnoteReference"/>
        </w:rPr>
        <w:footnoteRef/>
      </w:r>
      <w:r w:rsidRPr="00293B92">
        <w:rPr>
          <w:lang w:val="en-US"/>
        </w:rPr>
        <w:t xml:space="preserve"> Hyliaka, O., Mernyk, A., Yaroshenko, O., Gnatenko, K., &amp; Sliusar, A. (2020). The right to euthanasy how the fourth generation human right. </w:t>
      </w:r>
      <w:r w:rsidRPr="00293B92">
        <w:rPr>
          <w:i/>
          <w:iCs/>
          <w:lang w:val="en-US"/>
        </w:rPr>
        <w:t>Georgian Medical News</w:t>
      </w:r>
      <w:r w:rsidRPr="00293B92">
        <w:rPr>
          <w:lang w:val="en-US"/>
        </w:rPr>
        <w:t xml:space="preserve">, </w:t>
      </w:r>
      <w:r w:rsidRPr="00293B92">
        <w:rPr>
          <w:i/>
          <w:iCs/>
          <w:lang w:val="en-US"/>
        </w:rPr>
        <w:t>308</w:t>
      </w:r>
      <w:r w:rsidRPr="00293B92">
        <w:rPr>
          <w:lang w:val="en-US"/>
        </w:rPr>
        <w:t xml:space="preserve">, 175–180. </w:t>
      </w:r>
      <w:hyperlink r:id="rId107" w:history="1">
        <w:r w:rsidRPr="00293B92">
          <w:rPr>
            <w:rStyle w:val="Hyperlink"/>
            <w:lang w:val="en-US"/>
          </w:rPr>
          <w:t>https://europepmc.org/article/med/33395663</w:t>
        </w:r>
      </w:hyperlink>
    </w:p>
  </w:footnote>
  <w:footnote w:id="133">
    <w:p w14:paraId="3E21EEBB" w14:textId="26FE07F9" w:rsidR="00293B92" w:rsidRPr="00293B92" w:rsidRDefault="00293B92" w:rsidP="0026279B">
      <w:pPr>
        <w:pStyle w:val="FootnoteText"/>
        <w:jc w:val="both"/>
        <w:rPr>
          <w:lang w:val="en-US"/>
        </w:rPr>
      </w:pPr>
      <w:r w:rsidRPr="0071727A">
        <w:rPr>
          <w:rStyle w:val="FootnoteReference"/>
        </w:rPr>
        <w:footnoteRef/>
      </w:r>
      <w:r w:rsidRPr="00293B92">
        <w:rPr>
          <w:lang w:val="en-US"/>
        </w:rPr>
        <w:t xml:space="preserve"> Van Den Akker, B., Janssens, R. M. J. P. A., &amp; Have, H. A. M. J. T. (1997). Euthanasia and International Human Rights Law: Prolegomena for an International Debate. </w:t>
      </w:r>
      <w:r w:rsidRPr="00293B92">
        <w:rPr>
          <w:i/>
          <w:iCs/>
          <w:lang w:val="en-US"/>
        </w:rPr>
        <w:t>Medicine, Science and the Law</w:t>
      </w:r>
      <w:r w:rsidRPr="00293B92">
        <w:rPr>
          <w:lang w:val="en-US"/>
        </w:rPr>
        <w:t xml:space="preserve">, </w:t>
      </w:r>
      <w:r w:rsidRPr="00293B92">
        <w:rPr>
          <w:i/>
          <w:iCs/>
          <w:lang w:val="en-US"/>
        </w:rPr>
        <w:t>37</w:t>
      </w:r>
      <w:r w:rsidRPr="00293B92">
        <w:rPr>
          <w:lang w:val="en-US"/>
        </w:rPr>
        <w:t xml:space="preserve">(4), 289–295. </w:t>
      </w:r>
      <w:hyperlink r:id="rId108" w:history="1">
        <w:r w:rsidRPr="00293B92">
          <w:rPr>
            <w:rStyle w:val="Hyperlink"/>
            <w:lang w:val="en-US"/>
          </w:rPr>
          <w:t>https://doi.org/10.1177/002580249703700403</w:t>
        </w:r>
      </w:hyperlink>
    </w:p>
  </w:footnote>
  <w:footnote w:id="134">
    <w:p w14:paraId="36D041B1" w14:textId="7A84AE79" w:rsidR="00293B92" w:rsidRPr="00DE73E3" w:rsidRDefault="00293B92" w:rsidP="0026279B">
      <w:pPr>
        <w:pStyle w:val="FootnoteText"/>
        <w:jc w:val="both"/>
        <w:rPr>
          <w:lang w:val="sv-SE"/>
        </w:rPr>
      </w:pPr>
      <w:r w:rsidRPr="0071727A">
        <w:rPr>
          <w:rStyle w:val="FootnoteReference"/>
        </w:rPr>
        <w:footnoteRef/>
      </w:r>
      <w:r w:rsidRPr="00293B92">
        <w:rPr>
          <w:lang w:val="en-US"/>
        </w:rPr>
        <w:t xml:space="preserve"> Van Delden, J. J., Visser, J. J., &amp; Borst-Eilers, E. (2004). Thirty years’ experience with euthanasia in the Netherlands: Focusing on the patient as a person. Physician-Assisted Dying: The Case for Palliative Care and Patient Choice, 202–216. </w:t>
      </w:r>
      <w:hyperlink r:id="rId109" w:history="1">
        <w:r w:rsidRPr="00DE73E3">
          <w:rPr>
            <w:rStyle w:val="Hyperlink"/>
            <w:lang w:val="sv-SE"/>
          </w:rPr>
          <w:t>https://derechoamorir.org/wp-content/uploads/2018/07/years30.pdf</w:t>
        </w:r>
      </w:hyperlink>
    </w:p>
  </w:footnote>
  <w:footnote w:id="135">
    <w:p w14:paraId="6E750142" w14:textId="4F26620D" w:rsidR="00293B92" w:rsidRPr="00293B92" w:rsidRDefault="00293B92" w:rsidP="0026279B">
      <w:pPr>
        <w:pStyle w:val="FootnoteText"/>
        <w:jc w:val="both"/>
        <w:rPr>
          <w:lang w:val="en-US"/>
        </w:rPr>
      </w:pPr>
      <w:r w:rsidRPr="0071727A">
        <w:rPr>
          <w:rStyle w:val="FootnoteReference"/>
        </w:rPr>
        <w:footnoteRef/>
      </w:r>
      <w:r w:rsidRPr="00DE73E3">
        <w:rPr>
          <w:lang w:val="sv-SE"/>
        </w:rPr>
        <w:t xml:space="preserve"> Hurst, S. A., &amp; Mauron, A. (2017). </w:t>
      </w:r>
      <w:r w:rsidRPr="00293B92">
        <w:rPr>
          <w:lang w:val="en-US"/>
        </w:rPr>
        <w:t xml:space="preserve">Assisted Suicide in Switzerland: Clarifying Liberties and Claims. </w:t>
      </w:r>
      <w:r w:rsidRPr="00293B92">
        <w:rPr>
          <w:i/>
          <w:iCs/>
          <w:lang w:val="en-US"/>
        </w:rPr>
        <w:t>Bioethics</w:t>
      </w:r>
      <w:r w:rsidRPr="00293B92">
        <w:rPr>
          <w:lang w:val="en-US"/>
        </w:rPr>
        <w:t xml:space="preserve">, </w:t>
      </w:r>
      <w:r w:rsidRPr="00293B92">
        <w:rPr>
          <w:i/>
          <w:iCs/>
          <w:lang w:val="en-US"/>
        </w:rPr>
        <w:t>31</w:t>
      </w:r>
      <w:r w:rsidRPr="00293B92">
        <w:rPr>
          <w:lang w:val="en-US"/>
        </w:rPr>
        <w:t xml:space="preserve">(3), 199–208. </w:t>
      </w:r>
      <w:hyperlink r:id="rId110" w:history="1">
        <w:r w:rsidRPr="00293B92">
          <w:rPr>
            <w:rStyle w:val="Hyperlink"/>
            <w:lang w:val="en-US"/>
          </w:rPr>
          <w:t>https://doi.org/10.1111/bioe.12304</w:t>
        </w:r>
      </w:hyperlink>
    </w:p>
  </w:footnote>
  <w:footnote w:id="136">
    <w:p w14:paraId="19BE38A4" w14:textId="0E37C10F" w:rsidR="00293B92" w:rsidRPr="00293B92" w:rsidRDefault="00293B92" w:rsidP="00960EDB">
      <w:pPr>
        <w:pStyle w:val="FootnoteText"/>
        <w:jc w:val="both"/>
        <w:rPr>
          <w:lang w:val="en-US"/>
        </w:rPr>
      </w:pPr>
      <w:r w:rsidRPr="0071727A">
        <w:rPr>
          <w:rStyle w:val="FootnoteReference"/>
        </w:rPr>
        <w:footnoteRef/>
      </w:r>
      <w:r w:rsidRPr="00293B92">
        <w:rPr>
          <w:lang w:val="en-US"/>
        </w:rPr>
        <w:t xml:space="preserve"> Steinbrook, R. (2002). Physician-Assisted Suicide in Oregon—An Uncertain Future. New England Journal of Medicine, 346(6), 460–464. </w:t>
      </w:r>
      <w:hyperlink r:id="rId111" w:history="1">
        <w:r w:rsidRPr="00293B92">
          <w:rPr>
            <w:rStyle w:val="Hyperlink"/>
            <w:lang w:val="en-US"/>
          </w:rPr>
          <w:t>https://doi.org/10.1056/nejm200202073460624</w:t>
        </w:r>
      </w:hyperlink>
    </w:p>
  </w:footnote>
  <w:footnote w:id="137">
    <w:p w14:paraId="318FA234" w14:textId="46994B8B" w:rsidR="00293B92" w:rsidRPr="00293B92" w:rsidRDefault="00293B92" w:rsidP="00960EDB">
      <w:pPr>
        <w:pStyle w:val="FootnoteText"/>
        <w:jc w:val="both"/>
        <w:rPr>
          <w:lang w:val="en-US"/>
        </w:rPr>
      </w:pPr>
      <w:r w:rsidRPr="0071727A">
        <w:rPr>
          <w:rStyle w:val="FootnoteReference"/>
        </w:rPr>
        <w:footnoteRef/>
      </w:r>
      <w:r w:rsidRPr="00293B92">
        <w:rPr>
          <w:lang w:val="en-US"/>
        </w:rPr>
        <w:t xml:space="preserve"> Sareen, R. (2019). India decides on Euthanasia: Is the debate over. Health Care Current Reviews, 7(3), 1–3. </w:t>
      </w:r>
      <w:hyperlink r:id="rId112" w:history="1">
        <w:r w:rsidRPr="00293B92">
          <w:rPr>
            <w:rStyle w:val="Hyperlink"/>
            <w:lang w:val="en-US"/>
          </w:rPr>
          <w:t>https://www.researchgate.net/profile/Rateesh-Sareen/publication/333813941_India_decides_on_Euthanasia_Is_the_debate_over/links/5d89eac1a6fdcc8fd61b3e09/India-decides-on-Euthanasia-Is-the-debate-over.pdf</w:t>
        </w:r>
      </w:hyperlink>
    </w:p>
  </w:footnote>
  <w:footnote w:id="138">
    <w:p w14:paraId="6E4E6853" w14:textId="13F1E109" w:rsidR="00293B92" w:rsidRPr="00293B92" w:rsidRDefault="00293B92" w:rsidP="00960EDB">
      <w:pPr>
        <w:pStyle w:val="FootnoteText"/>
        <w:jc w:val="both"/>
        <w:rPr>
          <w:lang w:val="en-US"/>
        </w:rPr>
      </w:pPr>
      <w:r w:rsidRPr="0071727A">
        <w:rPr>
          <w:rStyle w:val="FootnoteReference"/>
        </w:rPr>
        <w:footnoteRef/>
      </w:r>
      <w:r w:rsidRPr="00293B92">
        <w:rPr>
          <w:lang w:val="en-US"/>
        </w:rPr>
        <w:t xml:space="preserve"> Snyder Sulmasy, L., Mueller, P. S., &amp; for the Ethics, Professionalism and Human Rights Committee of the American College of Physicians*. (2017). Ethics and the Legalization of Physician-Assisted Suicide: An American College of Physicians Position Paper. Annals of Internal Medicine, 167(8), 576–578. </w:t>
      </w:r>
      <w:hyperlink r:id="rId113" w:history="1">
        <w:r w:rsidRPr="00293B92">
          <w:rPr>
            <w:rStyle w:val="Hyperlink"/>
            <w:lang w:val="en-US"/>
          </w:rPr>
          <w:t>https://doi.org/10.7326/m17-0938</w:t>
        </w:r>
      </w:hyperlink>
    </w:p>
  </w:footnote>
  <w:footnote w:id="139">
    <w:p w14:paraId="330EC74E" w14:textId="39555BAE" w:rsidR="00293B92" w:rsidRPr="00293B92" w:rsidRDefault="00293B92" w:rsidP="0026279B">
      <w:pPr>
        <w:pStyle w:val="FootnoteText"/>
        <w:jc w:val="both"/>
        <w:rPr>
          <w:lang w:val="en-US"/>
        </w:rPr>
      </w:pPr>
      <w:r w:rsidRPr="007C7BEB">
        <w:rPr>
          <w:rStyle w:val="FootnoteReference"/>
        </w:rPr>
        <w:footnoteRef/>
      </w:r>
      <w:r w:rsidRPr="00293B92">
        <w:rPr>
          <w:lang w:val="en-US"/>
        </w:rPr>
        <w:t xml:space="preserve"> Barroso, L. R. (2012). Here, there, and everywhere: Human dignity in contemporary law and in the transnational discourse. BC Int’l &amp; Comp. L. Rev., 35, 331. </w:t>
      </w:r>
      <w:hyperlink r:id="rId114" w:history="1">
        <w:r w:rsidRPr="00293B92">
          <w:rPr>
            <w:rStyle w:val="Hyperlink"/>
            <w:lang w:val="en-US"/>
          </w:rPr>
          <w:t>https://heinonline.org/hol-cgi-bin/get_pdf.cgi?handle=hein.journals/bcic35&amp;section=13</w:t>
        </w:r>
      </w:hyperlink>
      <w:r w:rsidRPr="00293B92">
        <w:rPr>
          <w:lang w:val="en-US"/>
        </w:rPr>
        <w:t xml:space="preserve"> ; Kure, J. (2011). Good death within its historical context and as a contemporary challenge: A philosophical clarification of the concept of “euthanasia.” Euthanasia: The “Good Death” Controversy in Humans and Animals. BoD-Books on Demand, 3–44. </w:t>
      </w:r>
      <w:hyperlink r:id="rId115" w:history="1">
        <w:r w:rsidRPr="00293B92">
          <w:rPr>
            <w:rStyle w:val="Hyperlink"/>
            <w:lang w:val="en-US"/>
          </w:rPr>
          <w:t>https://pdfs.semanticscholar.org/11e2/3c13aaf9165f6eedb520750e79fcef6f714d.pdf</w:t>
        </w:r>
      </w:hyperlink>
    </w:p>
  </w:footnote>
  <w:footnote w:id="140">
    <w:p w14:paraId="588CB77F" w14:textId="103D9474" w:rsidR="00293B92" w:rsidRPr="00293B92" w:rsidRDefault="00293B92" w:rsidP="0026279B">
      <w:pPr>
        <w:pStyle w:val="FootnoteText"/>
        <w:jc w:val="both"/>
        <w:rPr>
          <w:lang w:val="en-US"/>
        </w:rPr>
      </w:pPr>
      <w:r w:rsidRPr="00F43630">
        <w:rPr>
          <w:rStyle w:val="FootnoteReference"/>
        </w:rPr>
        <w:footnoteRef/>
      </w:r>
      <w:r w:rsidRPr="00ED3976">
        <w:rPr>
          <w:lang w:val="en-GB"/>
        </w:rPr>
        <w:t xml:space="preserve"> Fontalis, A., Prousali, E., &amp; Kulkarni, K. (2018). </w:t>
      </w:r>
      <w:r w:rsidRPr="00293B92">
        <w:rPr>
          <w:lang w:val="en-US"/>
        </w:rPr>
        <w:t xml:space="preserve">Euthanasia and assisted dying: What is the current position and what are the key arguments informing the debate? Journal of the Royal Society of Medicine, 111(11), 407–413. </w:t>
      </w:r>
      <w:hyperlink r:id="rId116" w:history="1">
        <w:r w:rsidRPr="00293B92">
          <w:rPr>
            <w:rStyle w:val="Hyperlink"/>
            <w:lang w:val="en-US"/>
          </w:rPr>
          <w:t>https://doi.org/10.1177/0141076818803452</w:t>
        </w:r>
      </w:hyperlink>
    </w:p>
  </w:footnote>
  <w:footnote w:id="141">
    <w:p w14:paraId="296867FE" w14:textId="253A6E20" w:rsidR="00293B92" w:rsidRPr="00293B92" w:rsidRDefault="00293B92" w:rsidP="0026279B">
      <w:pPr>
        <w:pStyle w:val="FootnoteText"/>
        <w:jc w:val="both"/>
        <w:rPr>
          <w:lang w:val="en-US"/>
        </w:rPr>
      </w:pPr>
      <w:r w:rsidRPr="00F43630">
        <w:rPr>
          <w:rStyle w:val="FootnoteReference"/>
        </w:rPr>
        <w:footnoteRef/>
      </w:r>
      <w:r w:rsidRPr="00293B92">
        <w:rPr>
          <w:lang w:val="en-US"/>
        </w:rPr>
        <w:t xml:space="preserve"> - McCormick, A. J. (2011). Self-determination, the right to die, and culture: A literature review. Social Work, 56(2), 119–128. </w:t>
      </w:r>
      <w:hyperlink r:id="rId117" w:history="1">
        <w:r w:rsidRPr="00293B92">
          <w:rPr>
            <w:rStyle w:val="Hyperlink"/>
            <w:lang w:val="en-US"/>
          </w:rPr>
          <w:t>https://academic.oup.com/sw/article-abstract/56/2/119/1882552</w:t>
        </w:r>
      </w:hyperlink>
    </w:p>
  </w:footnote>
  <w:footnote w:id="142">
    <w:p w14:paraId="256A417C" w14:textId="1D9E3E7E" w:rsidR="00293B92" w:rsidRPr="00EA5C5B" w:rsidRDefault="00293B92" w:rsidP="0026279B">
      <w:pPr>
        <w:pStyle w:val="FootnoteText"/>
        <w:jc w:val="both"/>
        <w:rPr>
          <w:lang w:val="en-US"/>
        </w:rPr>
      </w:pPr>
      <w:r w:rsidRPr="00F43630">
        <w:rPr>
          <w:rStyle w:val="FootnoteReference"/>
        </w:rPr>
        <w:footnoteRef/>
      </w:r>
      <w:r w:rsidRPr="00293B92">
        <w:rPr>
          <w:lang w:val="en-US"/>
        </w:rPr>
        <w:t xml:space="preserve"> Barroso, L. R. (2012). Here, there, and everywhere: Human dignity in contemporary law and in the transnational discourse. BC Int’l &amp; Comp. L. Rev., 35, 331. </w:t>
      </w:r>
      <w:hyperlink r:id="rId118" w:history="1">
        <w:r w:rsidRPr="00293B92">
          <w:rPr>
            <w:rStyle w:val="Hyperlink"/>
            <w:lang w:val="en-US"/>
          </w:rPr>
          <w:t>https://heinonline.org/hol-cgi-bin/get_pdf.cgi?handle=hein.journals/bcic35&amp;section=13</w:t>
        </w:r>
      </w:hyperlink>
      <w:r w:rsidRPr="00293B92">
        <w:rPr>
          <w:lang w:val="en-US"/>
        </w:rPr>
        <w:t xml:space="preserve">; Mohammed, N. O. (2024). A Critical Analysis of Euthanasia, Human Rights and the Role of Law in Right to Die. </w:t>
      </w:r>
      <w:r w:rsidRPr="00293B92">
        <w:rPr>
          <w:i/>
          <w:iCs/>
          <w:lang w:val="en-US"/>
        </w:rPr>
        <w:t>Issue 1 Int’l JL Mgmt. &amp; Human.</w:t>
      </w:r>
      <w:r w:rsidRPr="00293B92">
        <w:rPr>
          <w:lang w:val="en-US"/>
        </w:rPr>
        <w:t xml:space="preserve">, </w:t>
      </w:r>
      <w:r w:rsidRPr="00293B92">
        <w:rPr>
          <w:i/>
          <w:iCs/>
          <w:lang w:val="en-US"/>
        </w:rPr>
        <w:t>7</w:t>
      </w:r>
      <w:r w:rsidRPr="00293B92">
        <w:rPr>
          <w:lang w:val="en-US"/>
        </w:rPr>
        <w:t xml:space="preserve">, 380. </w:t>
      </w:r>
      <w:hyperlink r:id="rId119" w:history="1">
        <w:r w:rsidRPr="00EA5C5B">
          <w:rPr>
            <w:rStyle w:val="Hyperlink"/>
            <w:lang w:val="en-US"/>
          </w:rPr>
          <w:t>https://heinonline.org/hol-cgi-bin/get_pdf.cgi?handle=hein.journals/ijlmhs27&amp;section=39</w:t>
        </w:r>
      </w:hyperlink>
    </w:p>
  </w:footnote>
  <w:footnote w:id="143">
    <w:p w14:paraId="785EED16" w14:textId="69C5C5E4" w:rsidR="00293B92" w:rsidRPr="00F43630" w:rsidRDefault="00293B92" w:rsidP="0026279B">
      <w:pPr>
        <w:pStyle w:val="FootnoteText"/>
        <w:jc w:val="both"/>
      </w:pPr>
      <w:r w:rsidRPr="00F43630">
        <w:rPr>
          <w:rStyle w:val="FootnoteReference"/>
        </w:rPr>
        <w:footnoteRef/>
      </w:r>
      <w:r w:rsidRPr="00293B92">
        <w:rPr>
          <w:lang w:val="en-US"/>
        </w:rPr>
        <w:t xml:space="preserve"> OHCHR. (1966). </w:t>
      </w:r>
      <w:r w:rsidRPr="00293B92">
        <w:rPr>
          <w:i/>
          <w:iCs/>
          <w:lang w:val="en-US"/>
        </w:rPr>
        <w:t>International Covenant on Civil and Political Rights</w:t>
      </w:r>
      <w:r w:rsidRPr="00293B92">
        <w:rPr>
          <w:lang w:val="en-US"/>
        </w:rPr>
        <w:t xml:space="preserve">. </w:t>
      </w:r>
      <w:hyperlink r:id="rId120" w:history="1">
        <w:r w:rsidRPr="00F43630">
          <w:rPr>
            <w:rStyle w:val="Hyperlink"/>
          </w:rPr>
          <w:t>https://www.ohchr.org/en/instruments-mechanisms/instruments/international-covenant-civil-and-political-rights</w:t>
        </w:r>
      </w:hyperlink>
    </w:p>
  </w:footnote>
  <w:footnote w:id="144">
    <w:p w14:paraId="6CBA6A4A" w14:textId="04D9E8B5" w:rsidR="00293B92" w:rsidRPr="00293B92" w:rsidRDefault="00293B92" w:rsidP="0026279B">
      <w:pPr>
        <w:pStyle w:val="FootnoteText"/>
        <w:jc w:val="both"/>
        <w:rPr>
          <w:lang w:val="en-US"/>
        </w:rPr>
      </w:pPr>
      <w:r w:rsidRPr="00F43630">
        <w:rPr>
          <w:rStyle w:val="FootnoteReference"/>
        </w:rPr>
        <w:footnoteRef/>
      </w:r>
      <w:r w:rsidRPr="00293B92">
        <w:rPr>
          <w:lang w:val="en-US"/>
        </w:rPr>
        <w:t xml:space="preserve"> Beauchamp, T. L., &amp; Childress, J. F. (1994). Principles of biomedical ethics. Edicoes Loyola; Fontalis, A., Prousali, E., &amp; Kulkarni, K. (2018). Euthanasia and assisted dying: What is the current position and what are the key arguments informing the debate? Journal of the Royal Society of Medicine, 111(11), 407–413. </w:t>
      </w:r>
      <w:hyperlink r:id="rId121" w:history="1">
        <w:r w:rsidRPr="00293B92">
          <w:rPr>
            <w:rStyle w:val="Hyperlink"/>
            <w:lang w:val="en-US"/>
          </w:rPr>
          <w:t>https://doi.org/10.1177/0141076818803452</w:t>
        </w:r>
      </w:hyperlink>
      <w:r w:rsidRPr="00293B92">
        <w:rPr>
          <w:lang w:val="en-US"/>
        </w:rPr>
        <w:t>.</w:t>
      </w:r>
    </w:p>
  </w:footnote>
  <w:footnote w:id="145">
    <w:p w14:paraId="2B7E0A55" w14:textId="11B2297A" w:rsidR="0083625F" w:rsidRPr="00A615D8" w:rsidRDefault="0083625F" w:rsidP="00357E78">
      <w:pPr>
        <w:pStyle w:val="FootnoteText"/>
        <w:jc w:val="both"/>
        <w:rPr>
          <w:lang w:val="lt-LT"/>
        </w:rPr>
      </w:pPr>
      <w:r>
        <w:rPr>
          <w:rStyle w:val="FootnoteReference"/>
        </w:rPr>
        <w:footnoteRef/>
      </w:r>
      <w:r w:rsidRPr="00D53805">
        <w:rPr>
          <w:lang w:val="en-GB"/>
        </w:rPr>
        <w:t xml:space="preserve"> </w:t>
      </w:r>
      <w:r w:rsidR="00357E78" w:rsidRPr="00A615D8">
        <w:rPr>
          <w:lang w:val="en-US"/>
        </w:rPr>
        <w:t>Groenewoud, A. S., Westert, G. P., &amp; Boer, T. A. (2023). Understanding regional variation in euthanasia using geomedical frameworks: a critical ethical reflection. </w:t>
      </w:r>
      <w:r w:rsidR="00357E78" w:rsidRPr="00A615D8">
        <w:rPr>
          <w:i/>
          <w:iCs/>
          <w:lang w:val="en-US"/>
        </w:rPr>
        <w:t>Research in health services &amp; regions</w:t>
      </w:r>
      <w:r w:rsidR="00357E78" w:rsidRPr="00A615D8">
        <w:rPr>
          <w:lang w:val="en-US"/>
        </w:rPr>
        <w:t>, </w:t>
      </w:r>
      <w:r w:rsidR="00357E78" w:rsidRPr="00A615D8">
        <w:rPr>
          <w:i/>
          <w:iCs/>
          <w:lang w:val="en-US"/>
        </w:rPr>
        <w:t>2</w:t>
      </w:r>
      <w:r w:rsidR="00357E78" w:rsidRPr="00A615D8">
        <w:rPr>
          <w:lang w:val="en-US"/>
        </w:rPr>
        <w:t>(1), 19. https://doi.org/10.1007/s43999-023-00034-6</w:t>
      </w:r>
    </w:p>
  </w:footnote>
  <w:footnote w:id="146">
    <w:p w14:paraId="40CAF869" w14:textId="4EAC3C81" w:rsidR="0083625F" w:rsidRPr="0083625F" w:rsidRDefault="0083625F" w:rsidP="00B1409C">
      <w:pPr>
        <w:pStyle w:val="FootnoteText"/>
        <w:jc w:val="both"/>
        <w:rPr>
          <w:lang w:val="lt-LT"/>
        </w:rPr>
      </w:pPr>
      <w:r w:rsidRPr="00A615D8">
        <w:rPr>
          <w:rStyle w:val="FootnoteReference"/>
        </w:rPr>
        <w:footnoteRef/>
      </w:r>
      <w:r w:rsidRPr="00A615D8">
        <w:rPr>
          <w:lang w:val="en-GB"/>
        </w:rPr>
        <w:t xml:space="preserve"> </w:t>
      </w:r>
      <w:r w:rsidR="00B1409C" w:rsidRPr="00A615D8">
        <w:rPr>
          <w:lang w:val="en-US"/>
        </w:rPr>
        <w:t>Al Sabah, S., &amp; Al Haddad, E. (2026). Liability in Telesurgery: Navigating Legal, Ethical, and Cross-Border Challenges in the Era of Global Surgical Care. </w:t>
      </w:r>
      <w:r w:rsidR="00B1409C" w:rsidRPr="00A615D8">
        <w:rPr>
          <w:i/>
          <w:iCs/>
          <w:lang w:val="en-US"/>
        </w:rPr>
        <w:t>Medical Principles and Practice</w:t>
      </w:r>
      <w:r w:rsidR="00B1409C" w:rsidRPr="00A615D8">
        <w:rPr>
          <w:lang w:val="en-US"/>
        </w:rPr>
        <w:t>.</w:t>
      </w:r>
      <w:r w:rsidR="00B1409C" w:rsidRPr="00A615D8">
        <w:rPr>
          <w:rFonts w:asciiTheme="minorHAnsi" w:eastAsiaTheme="minorHAnsi" w:hAnsiTheme="minorHAnsi" w:cstheme="minorBidi"/>
          <w:sz w:val="22"/>
          <w:szCs w:val="22"/>
          <w:lang w:val="en-US" w:eastAsia="en-US"/>
        </w:rPr>
        <w:t xml:space="preserve"> </w:t>
      </w:r>
      <w:hyperlink r:id="rId122" w:history="1">
        <w:r w:rsidR="00B1409C" w:rsidRPr="00A615D8">
          <w:rPr>
            <w:rStyle w:val="Hyperlink"/>
            <w:lang w:val="en-GB"/>
          </w:rPr>
          <w:t>https://doi.org/10.1159/000551387</w:t>
        </w:r>
      </w:hyperlink>
    </w:p>
  </w:footnote>
  <w:footnote w:id="147">
    <w:p w14:paraId="3B9EAA1D" w14:textId="212197D5" w:rsidR="0083625F" w:rsidRPr="0083625F" w:rsidRDefault="0083625F" w:rsidP="00B1409C">
      <w:pPr>
        <w:pStyle w:val="FootnoteText"/>
        <w:jc w:val="both"/>
        <w:rPr>
          <w:lang w:val="lt-LT"/>
        </w:rPr>
      </w:pPr>
      <w:r>
        <w:rPr>
          <w:rStyle w:val="FootnoteReference"/>
        </w:rPr>
        <w:footnoteRef/>
      </w:r>
      <w:r w:rsidRPr="00B22CC8">
        <w:rPr>
          <w:lang w:val="en-GB"/>
        </w:rPr>
        <w:t xml:space="preserve"> </w:t>
      </w:r>
      <w:r w:rsidR="00B1409C" w:rsidRPr="00A615D8">
        <w:rPr>
          <w:lang w:val="en-GB"/>
        </w:rPr>
        <w:t xml:space="preserve">Izah, S. C., Ogwu, M. C., Alum, E. U., Poyeri, W. R., &amp; Kari, A. (2026). </w:t>
      </w:r>
      <w:r w:rsidR="00B1409C" w:rsidRPr="00A615D8">
        <w:rPr>
          <w:lang w:val="en-US"/>
        </w:rPr>
        <w:t>Rethinking Data Presentation in Trace Metal Studies of Food and Environmental Matrices: Consequences for Statistical Inference, Reproducibility, and Risk Assessment. </w:t>
      </w:r>
      <w:r w:rsidR="00B1409C" w:rsidRPr="00A615D8">
        <w:rPr>
          <w:i/>
          <w:iCs/>
          <w:lang w:val="en-US"/>
        </w:rPr>
        <w:t>Journal of Trace Elements and Minerals</w:t>
      </w:r>
      <w:r w:rsidR="00B1409C" w:rsidRPr="00A615D8">
        <w:rPr>
          <w:lang w:val="en-US"/>
        </w:rPr>
        <w:t xml:space="preserve">, 100289. </w:t>
      </w:r>
      <w:hyperlink r:id="rId123" w:tgtFrame="_blank" w:tooltip="Persistent link using digital object identifier" w:history="1">
        <w:r w:rsidR="00B1409C" w:rsidRPr="00A615D8">
          <w:rPr>
            <w:rStyle w:val="Hyperlink"/>
            <w:lang w:val="en-US"/>
          </w:rPr>
          <w:t>https://doi.org/10.1016/j.jtemin.2026.100289</w:t>
        </w:r>
      </w:hyperlink>
    </w:p>
  </w:footnote>
  <w:footnote w:id="148">
    <w:p w14:paraId="0FDA1034" w14:textId="01B81A29" w:rsidR="00293B92" w:rsidRPr="00293B92" w:rsidRDefault="00293B92" w:rsidP="009263AB">
      <w:pPr>
        <w:pStyle w:val="FootnoteText"/>
        <w:jc w:val="both"/>
        <w:rPr>
          <w:lang w:val="en-US"/>
        </w:rPr>
      </w:pPr>
      <w:r w:rsidRPr="00890765">
        <w:rPr>
          <w:rStyle w:val="FootnoteReference"/>
        </w:rPr>
        <w:footnoteRef/>
      </w:r>
      <w:r w:rsidRPr="00DE73E3">
        <w:rPr>
          <w:lang w:val="es-ES"/>
        </w:rPr>
        <w:t xml:space="preserve"> Vayansky, I., &amp; Kumar, S. A. (2020). </w:t>
      </w:r>
      <w:r w:rsidRPr="00293B92">
        <w:rPr>
          <w:lang w:val="en-US"/>
        </w:rPr>
        <w:t>A review of topic modeling methods. Information Systems, 94, 101582.</w:t>
      </w:r>
    </w:p>
  </w:footnote>
  <w:footnote w:id="149">
    <w:p w14:paraId="3BAC5124" w14:textId="6CE135F2" w:rsidR="00293B92" w:rsidRPr="00293B92" w:rsidRDefault="00293B92" w:rsidP="009263AB">
      <w:pPr>
        <w:pStyle w:val="FootnoteText"/>
        <w:jc w:val="both"/>
        <w:rPr>
          <w:lang w:val="en-US"/>
        </w:rPr>
      </w:pPr>
      <w:r w:rsidRPr="00890765">
        <w:rPr>
          <w:rStyle w:val="FootnoteReference"/>
        </w:rPr>
        <w:footnoteRef/>
      </w:r>
      <w:r w:rsidRPr="00293B92">
        <w:rPr>
          <w:lang w:val="en-US"/>
        </w:rPr>
        <w:t xml:space="preserve"> Abdelrazek, A., Eid, Y., Gawish, E., Medhat, W., &amp; Hassan, A. (2023). Topic modeling algorithms and applications: A survey. Information Systems, 112, 102131.</w:t>
      </w:r>
    </w:p>
  </w:footnote>
  <w:footnote w:id="150">
    <w:p w14:paraId="5CB19909" w14:textId="1289C9C9" w:rsidR="00293B92" w:rsidRPr="00293B92" w:rsidRDefault="00293B92" w:rsidP="009263AB">
      <w:pPr>
        <w:pStyle w:val="FootnoteText"/>
        <w:jc w:val="both"/>
        <w:rPr>
          <w:lang w:val="en-US"/>
        </w:rPr>
      </w:pPr>
      <w:r w:rsidRPr="00890765">
        <w:rPr>
          <w:rStyle w:val="FootnoteReference"/>
        </w:rPr>
        <w:footnoteRef/>
      </w:r>
      <w:r w:rsidRPr="00293B92">
        <w:rPr>
          <w:lang w:val="en-US"/>
        </w:rPr>
        <w:t xml:space="preserve"> Saoualih, A., Perkumienė, D., Safaa, L., Škėma, M., &amp; Aleinikovas, M. (2025). Computational mining of empirical literature on forest recreation: A semantic-driven topic modeling approach based on advanced contextual embeddings. Trees, Forests and People, 100877. </w:t>
      </w:r>
      <w:hyperlink r:id="rId124" w:history="1">
        <w:r w:rsidRPr="00293B92">
          <w:rPr>
            <w:rStyle w:val="Hyperlink"/>
            <w:lang w:val="en-US"/>
          </w:rPr>
          <w:t>https://doi.org/10.1016/j.tfp.2025.100877</w:t>
        </w:r>
      </w:hyperlink>
    </w:p>
  </w:footnote>
  <w:footnote w:id="151">
    <w:p w14:paraId="2448C8A3" w14:textId="1A14029E" w:rsidR="00293B92" w:rsidRPr="004646AE" w:rsidRDefault="00293B92" w:rsidP="009263AB">
      <w:pPr>
        <w:pStyle w:val="FootnoteText"/>
        <w:jc w:val="both"/>
        <w:rPr>
          <w:lang w:val="de-DE"/>
        </w:rPr>
      </w:pPr>
      <w:r w:rsidRPr="00890765">
        <w:rPr>
          <w:rStyle w:val="FootnoteReference"/>
        </w:rPr>
        <w:footnoteRef/>
      </w:r>
      <w:r w:rsidRPr="00293B92">
        <w:rPr>
          <w:lang w:val="en-US"/>
        </w:rPr>
        <w:t xml:space="preserve"> Albalawi, R., Yeap, T. H., &amp; Benyoucef, M. (2020). Using topic modeling methods for short-text data: A comparative analysis. Frontiers in Artificial Intelligence, 3, 42. </w:t>
      </w:r>
      <w:hyperlink r:id="rId125" w:history="1">
        <w:r w:rsidRPr="00293B92">
          <w:rPr>
            <w:rStyle w:val="Hyperlink"/>
            <w:lang w:val="en-US"/>
          </w:rPr>
          <w:t>https://www.frontiersin.org/articles/10.3389/frai.2020.00042/full</w:t>
        </w:r>
      </w:hyperlink>
      <w:r w:rsidRPr="00293B92">
        <w:rPr>
          <w:lang w:val="en-US"/>
        </w:rPr>
        <w:t xml:space="preserve">; Egger, R., &amp; Yu, J. (2022). A topic modeling comparison between lda, nmf, top2vec, and bertopic to demystify twitter posts. Frontiers in Sociology, 7, 886498 ; Vayansky, I., &amp; Kumar, S. A. (2020). A review of topic modeling methods. </w:t>
      </w:r>
      <w:r w:rsidRPr="004646AE">
        <w:rPr>
          <w:lang w:val="de-DE"/>
        </w:rPr>
        <w:t>Information Systems, 94, 101582.</w:t>
      </w:r>
    </w:p>
  </w:footnote>
  <w:footnote w:id="152">
    <w:p w14:paraId="1745CAF1" w14:textId="005B7108" w:rsidR="00293B92" w:rsidRPr="004646AE" w:rsidRDefault="00293B92" w:rsidP="008B2004">
      <w:pPr>
        <w:pStyle w:val="FootnoteText"/>
        <w:jc w:val="both"/>
        <w:rPr>
          <w:lang w:val="de-DE"/>
        </w:rPr>
      </w:pPr>
      <w:r w:rsidRPr="00890765">
        <w:rPr>
          <w:rStyle w:val="FootnoteReference"/>
        </w:rPr>
        <w:footnoteRef/>
      </w:r>
      <w:r w:rsidRPr="004646AE">
        <w:rPr>
          <w:lang w:val="de-DE"/>
        </w:rPr>
        <w:t xml:space="preserve"> Deerwester, S., Dumais, S. T., Furnas, G. W., Landauer, T. K., &amp; Harshman, R. (1990). </w:t>
      </w:r>
      <w:r w:rsidRPr="00293B92">
        <w:rPr>
          <w:lang w:val="en-US"/>
        </w:rPr>
        <w:t xml:space="preserve">Indexing by latent semantic analysis. Journal of the American Society for Information Science, 41(6), 391–407. </w:t>
      </w:r>
      <w:hyperlink r:id="rId126" w:history="1">
        <w:r w:rsidRPr="004646AE">
          <w:rPr>
            <w:rStyle w:val="Hyperlink"/>
            <w:lang w:val="de-DE"/>
          </w:rPr>
          <w:t>https://doi.org/10.1002/(SICI)1097-4571(199009)41:6&lt;391::AID-ASI1&gt;3.0.CO;2-9</w:t>
        </w:r>
      </w:hyperlink>
    </w:p>
  </w:footnote>
  <w:footnote w:id="153">
    <w:p w14:paraId="6B873C17" w14:textId="7FEA65A4" w:rsidR="00293B92" w:rsidRPr="00293B92" w:rsidRDefault="00293B92" w:rsidP="008B2004">
      <w:pPr>
        <w:pStyle w:val="FootnoteText"/>
        <w:jc w:val="both"/>
        <w:rPr>
          <w:lang w:val="en-US"/>
        </w:rPr>
      </w:pPr>
      <w:r w:rsidRPr="00890765">
        <w:rPr>
          <w:rStyle w:val="FootnoteReference"/>
        </w:rPr>
        <w:footnoteRef/>
      </w:r>
      <w:r w:rsidRPr="00DE73E3">
        <w:rPr>
          <w:lang w:val="de-DE"/>
        </w:rPr>
        <w:t xml:space="preserve"> Lee, D. D., &amp; Seung, H. S. (1999). </w:t>
      </w:r>
      <w:r w:rsidRPr="00293B92">
        <w:rPr>
          <w:lang w:val="en-US"/>
        </w:rPr>
        <w:t>Learning the parts of objects by non-negative matrix factorization. Nature, 401(6755), 788–791.</w:t>
      </w:r>
    </w:p>
  </w:footnote>
  <w:footnote w:id="154">
    <w:p w14:paraId="3E193591" w14:textId="78675A09" w:rsidR="00293B92" w:rsidRPr="00293B92" w:rsidRDefault="00293B92" w:rsidP="008B2004">
      <w:pPr>
        <w:pStyle w:val="FootnoteText"/>
        <w:jc w:val="both"/>
        <w:rPr>
          <w:lang w:val="en-US"/>
        </w:rPr>
      </w:pPr>
      <w:r w:rsidRPr="00890765">
        <w:rPr>
          <w:rStyle w:val="FootnoteReference"/>
        </w:rPr>
        <w:footnoteRef/>
      </w:r>
      <w:r w:rsidRPr="00293B92">
        <w:rPr>
          <w:lang w:val="en-US"/>
        </w:rPr>
        <w:t xml:space="preserve"> Egger, R., &amp; Yu, J. (2022). A topic modeling comparison between lda, nmf, top2vec, and bertopic to demystify twitter posts. Frontiers in Sociology, 7, 886498.</w:t>
      </w:r>
    </w:p>
  </w:footnote>
  <w:footnote w:id="155">
    <w:p w14:paraId="6828D537" w14:textId="231AEB65" w:rsidR="00293B92" w:rsidRPr="00293B92" w:rsidRDefault="00293B92" w:rsidP="008B2004">
      <w:pPr>
        <w:pStyle w:val="FootnoteText"/>
        <w:jc w:val="both"/>
        <w:rPr>
          <w:lang w:val="en-US"/>
        </w:rPr>
      </w:pPr>
      <w:r w:rsidRPr="00890765">
        <w:rPr>
          <w:rStyle w:val="FootnoteReference"/>
        </w:rPr>
        <w:footnoteRef/>
      </w:r>
      <w:r w:rsidRPr="00791D87">
        <w:rPr>
          <w:lang w:val="en-US"/>
        </w:rPr>
        <w:t xml:space="preserve"> Vayansky, I., &amp; Kumar, S. A. (2020). </w:t>
      </w:r>
      <w:r w:rsidRPr="00293B92">
        <w:rPr>
          <w:lang w:val="en-US"/>
        </w:rPr>
        <w:t>A review of topic modeling methods. Information Systems, 94, 101582.</w:t>
      </w:r>
    </w:p>
  </w:footnote>
  <w:footnote w:id="156">
    <w:p w14:paraId="01887B25" w14:textId="6F22FA24" w:rsidR="00293B92" w:rsidRPr="00293B92" w:rsidRDefault="00293B92" w:rsidP="008B2004">
      <w:pPr>
        <w:pStyle w:val="FootnoteText"/>
        <w:jc w:val="both"/>
        <w:rPr>
          <w:lang w:val="en-US"/>
        </w:rPr>
      </w:pPr>
      <w:r w:rsidRPr="00890765">
        <w:rPr>
          <w:rStyle w:val="FootnoteReference"/>
        </w:rPr>
        <w:footnoteRef/>
      </w:r>
      <w:r w:rsidRPr="00293B92">
        <w:rPr>
          <w:lang w:val="en-US"/>
        </w:rPr>
        <w:t xml:space="preserve"> Teh, Y. W., </w:t>
      </w:r>
      <w:r w:rsidR="009263AB" w:rsidRPr="00293B92">
        <w:rPr>
          <w:lang w:val="en-US"/>
        </w:rPr>
        <w:t>Jordan,</w:t>
      </w:r>
      <w:r w:rsidR="009263AB">
        <w:rPr>
          <w:lang w:val="en-US"/>
        </w:rPr>
        <w:t xml:space="preserve"> </w:t>
      </w:r>
      <w:r w:rsidRPr="00293B92">
        <w:rPr>
          <w:lang w:val="en-US"/>
        </w:rPr>
        <w:t>Michael I, Beal,</w:t>
      </w:r>
      <w:r w:rsidR="009263AB">
        <w:rPr>
          <w:lang w:val="en-US"/>
        </w:rPr>
        <w:t xml:space="preserve"> </w:t>
      </w:r>
      <w:r w:rsidRPr="00293B92">
        <w:rPr>
          <w:lang w:val="en-US"/>
        </w:rPr>
        <w:t xml:space="preserve">Matthew J, &amp; and Blei, D. M. (2006). Hierarchical Dirichlet Processes. Journal of the American Statistical Association, 101(476), 1566–1581. </w:t>
      </w:r>
      <w:hyperlink r:id="rId127" w:history="1">
        <w:r w:rsidRPr="00293B92">
          <w:rPr>
            <w:rStyle w:val="Hyperlink"/>
            <w:lang w:val="en-US"/>
          </w:rPr>
          <w:t>https://doi.org/10.1198/016214506000000302</w:t>
        </w:r>
      </w:hyperlink>
    </w:p>
  </w:footnote>
  <w:footnote w:id="157">
    <w:p w14:paraId="6BE8FDF3" w14:textId="1A4A1E5B" w:rsidR="00293B92" w:rsidRPr="00293B92" w:rsidRDefault="00293B92" w:rsidP="008B2004">
      <w:pPr>
        <w:pStyle w:val="FootnoteText"/>
        <w:jc w:val="both"/>
        <w:rPr>
          <w:lang w:val="en-US"/>
        </w:rPr>
      </w:pPr>
      <w:r w:rsidRPr="00890765">
        <w:rPr>
          <w:rStyle w:val="FootnoteReference"/>
        </w:rPr>
        <w:footnoteRef/>
      </w:r>
      <w:r w:rsidRPr="00D53805">
        <w:rPr>
          <w:lang w:val="de-DE"/>
        </w:rPr>
        <w:t xml:space="preserve"> Blei, D. M., &amp; Lafferty, J. D. (2007). </w:t>
      </w:r>
      <w:r w:rsidRPr="00293B92">
        <w:rPr>
          <w:lang w:val="en-US"/>
        </w:rPr>
        <w:t xml:space="preserve">A correlated topic model of Science. </w:t>
      </w:r>
      <w:r w:rsidRPr="00293B92">
        <w:rPr>
          <w:i/>
          <w:iCs/>
          <w:lang w:val="en-US"/>
        </w:rPr>
        <w:t>The Annals of Applied Statistics</w:t>
      </w:r>
      <w:r w:rsidRPr="00293B92">
        <w:rPr>
          <w:lang w:val="en-US"/>
        </w:rPr>
        <w:t xml:space="preserve">, </w:t>
      </w:r>
      <w:r w:rsidRPr="00293B92">
        <w:rPr>
          <w:i/>
          <w:iCs/>
          <w:lang w:val="en-US"/>
        </w:rPr>
        <w:t>1</w:t>
      </w:r>
      <w:r w:rsidRPr="00293B92">
        <w:rPr>
          <w:lang w:val="en-US"/>
        </w:rPr>
        <w:t xml:space="preserve">(1), 17–35. </w:t>
      </w:r>
      <w:hyperlink r:id="rId128" w:history="1">
        <w:r w:rsidRPr="00293B92">
          <w:rPr>
            <w:rStyle w:val="Hyperlink"/>
            <w:lang w:val="en-US"/>
          </w:rPr>
          <w:t>https://doi.org/10.1214/07-AOAS114</w:t>
        </w:r>
      </w:hyperlink>
    </w:p>
  </w:footnote>
  <w:footnote w:id="158">
    <w:p w14:paraId="6463465E" w14:textId="655B326A" w:rsidR="00293B92" w:rsidRPr="00293B92" w:rsidRDefault="00293B92" w:rsidP="008B2004">
      <w:pPr>
        <w:pStyle w:val="FootnoteText"/>
        <w:jc w:val="both"/>
        <w:rPr>
          <w:lang w:val="en-US"/>
        </w:rPr>
      </w:pPr>
      <w:r w:rsidRPr="00890765">
        <w:rPr>
          <w:rStyle w:val="FootnoteReference"/>
        </w:rPr>
        <w:footnoteRef/>
      </w:r>
      <w:r w:rsidRPr="00293B92">
        <w:rPr>
          <w:lang w:val="en-US"/>
        </w:rPr>
        <w:t xml:space="preserve"> Grootendorst, M. (2022). BERTopic: Neural topic modeling with a class-based TF-IDF procedure (arXiv:2203.05794). arXiv. </w:t>
      </w:r>
      <w:hyperlink r:id="rId129" w:history="1">
        <w:r w:rsidRPr="00DE73E3">
          <w:rPr>
            <w:rStyle w:val="Hyperlink"/>
            <w:lang w:val="de-DE"/>
          </w:rPr>
          <w:t>https://doi.org/10.48550/arXiv.2203.05794</w:t>
        </w:r>
      </w:hyperlink>
      <w:r w:rsidRPr="00DE73E3">
        <w:rPr>
          <w:lang w:val="de-DE"/>
        </w:rPr>
        <w:t xml:space="preserve">; Wang, Z., Chen, J., Chen, J., &amp; Chen, H. (2023). </w:t>
      </w:r>
      <w:r w:rsidRPr="00293B92">
        <w:rPr>
          <w:lang w:val="en-US"/>
        </w:rPr>
        <w:t>Identifying interdisciplinary topics and their evolution based on BERTopic. Scientometrics, 1–26.</w:t>
      </w:r>
    </w:p>
  </w:footnote>
  <w:footnote w:id="159">
    <w:p w14:paraId="4F8F6987" w14:textId="0B017C5C" w:rsidR="00293B92" w:rsidRPr="00293B92" w:rsidRDefault="00293B92" w:rsidP="009263AB">
      <w:pPr>
        <w:pStyle w:val="FootnoteText"/>
        <w:jc w:val="both"/>
        <w:rPr>
          <w:lang w:val="en-US"/>
        </w:rPr>
      </w:pPr>
      <w:r w:rsidRPr="00D44EB6">
        <w:rPr>
          <w:rStyle w:val="FootnoteReference"/>
        </w:rPr>
        <w:footnoteRef/>
      </w:r>
      <w:r w:rsidRPr="00293B92">
        <w:rPr>
          <w:lang w:val="en-US"/>
        </w:rPr>
        <w:t xml:space="preserve"> Glazkova, A. (2021). Identifying Topics of Scientific Articles with BERT-Based Approaches and Topic Modeling. In M. Gupta &amp; G. Ramakrishnan (Eds.), Trends and Applications in Knowledge Discovery and Data Mining (pp. 98–105). Springer International Publishing. </w:t>
      </w:r>
      <w:hyperlink r:id="rId130" w:history="1">
        <w:r w:rsidRPr="00293B92">
          <w:rPr>
            <w:rStyle w:val="Hyperlink"/>
            <w:lang w:val="en-US"/>
          </w:rPr>
          <w:t>https://doi.org/10.1007/978-3-030-75015-2_10</w:t>
        </w:r>
      </w:hyperlink>
    </w:p>
  </w:footnote>
  <w:footnote w:id="160">
    <w:p w14:paraId="4BD030AA" w14:textId="690D9AE7" w:rsidR="00293B92" w:rsidRPr="00293B92" w:rsidRDefault="00293B92" w:rsidP="009263AB">
      <w:pPr>
        <w:pStyle w:val="FootnoteText"/>
        <w:jc w:val="both"/>
        <w:rPr>
          <w:lang w:val="en-US"/>
        </w:rPr>
      </w:pPr>
      <w:r w:rsidRPr="00D44EB6">
        <w:rPr>
          <w:rStyle w:val="FootnoteReference"/>
        </w:rPr>
        <w:footnoteRef/>
      </w:r>
      <w:r w:rsidRPr="00791D87">
        <w:rPr>
          <w:lang w:val="en-US"/>
        </w:rPr>
        <w:t xml:space="preserve"> Baas, J., Schotten, M., Plume, A., Côté, G., &amp; Karimi, R. (2020). </w:t>
      </w:r>
      <w:r w:rsidRPr="00293B92">
        <w:rPr>
          <w:lang w:val="en-US"/>
        </w:rPr>
        <w:t>Scopus as a curated, high-quality bibliometric data source for academic research in quantitative science studies. Quantitative Science Studies, 1(1), 377–386.</w:t>
      </w:r>
    </w:p>
  </w:footnote>
  <w:footnote w:id="161">
    <w:p w14:paraId="0CE7D4AF" w14:textId="11ECBC59" w:rsidR="00293B92" w:rsidRPr="00293B92" w:rsidRDefault="00293B92" w:rsidP="009263AB">
      <w:pPr>
        <w:pStyle w:val="FootnoteText"/>
        <w:jc w:val="both"/>
        <w:rPr>
          <w:lang w:val="en-US"/>
        </w:rPr>
      </w:pPr>
      <w:r w:rsidRPr="00D44EB6">
        <w:rPr>
          <w:rStyle w:val="FootnoteReference"/>
        </w:rPr>
        <w:footnoteRef/>
      </w:r>
      <w:r w:rsidRPr="00293B92">
        <w:rPr>
          <w:lang w:val="en-US"/>
        </w:rPr>
        <w:t xml:space="preserve"> Zhu, J., &amp; Liu, W. (2020). A tale of two databases: The use of Web of Science and Scopus in academic papers. Scientometrics, 123(1), 321–335.</w:t>
      </w:r>
    </w:p>
  </w:footnote>
  <w:footnote w:id="162">
    <w:p w14:paraId="34D6F8C5" w14:textId="6F2A82D8" w:rsidR="00293B92" w:rsidRPr="00293B92" w:rsidRDefault="00293B92" w:rsidP="009263AB">
      <w:pPr>
        <w:pStyle w:val="FootnoteText"/>
        <w:jc w:val="both"/>
        <w:rPr>
          <w:lang w:val="en-US"/>
        </w:rPr>
      </w:pPr>
      <w:r w:rsidRPr="00D44EB6">
        <w:rPr>
          <w:rStyle w:val="FootnoteReference"/>
        </w:rPr>
        <w:footnoteRef/>
      </w:r>
      <w:r w:rsidRPr="00293B92">
        <w:rPr>
          <w:lang w:val="en-US"/>
        </w:rPr>
        <w:t xml:space="preserve"> Burnham, J. F. (2006). Scopus database: A review. Biomedical Digital Libraries, 3(1), 1–8 ; Falagas, M. E., Pitsouni, E. I., Malietzis, G. A., &amp; Pappas, G. (2008). Comparison of PubMed, Scopus, Web of Science, and Google Scholar: Strengths and weaknesses. </w:t>
      </w:r>
      <w:r w:rsidRPr="00293B92">
        <w:rPr>
          <w:i/>
          <w:iCs/>
          <w:lang w:val="en-US"/>
        </w:rPr>
        <w:t>The FASEB Journal</w:t>
      </w:r>
      <w:r w:rsidRPr="00293B92">
        <w:rPr>
          <w:lang w:val="en-US"/>
        </w:rPr>
        <w:t xml:space="preserve">, </w:t>
      </w:r>
      <w:r w:rsidRPr="00293B92">
        <w:rPr>
          <w:i/>
          <w:iCs/>
          <w:lang w:val="en-US"/>
        </w:rPr>
        <w:t>22</w:t>
      </w:r>
      <w:r w:rsidRPr="00293B92">
        <w:rPr>
          <w:lang w:val="en-US"/>
        </w:rPr>
        <w:t xml:space="preserve">(2), 338–342. </w:t>
      </w:r>
      <w:hyperlink r:id="rId131" w:history="1">
        <w:r w:rsidRPr="00293B92">
          <w:rPr>
            <w:rStyle w:val="Hyperlink"/>
            <w:lang w:val="en-US"/>
          </w:rPr>
          <w:t>https://doi.org/10.1096/fj.07-9492LSF</w:t>
        </w:r>
      </w:hyperlink>
      <w:r w:rsidRPr="00293B92">
        <w:rPr>
          <w:lang w:val="en-US"/>
        </w:rPr>
        <w:t xml:space="preserve">; Guz, A. N., &amp; Rushchitsky, J. J. (2009). Scopus: A system for the evaluation of scientific journals. International Applied Mechanics, 45(4), 351–362. </w:t>
      </w:r>
      <w:hyperlink r:id="rId132" w:history="1">
        <w:r w:rsidRPr="00293B92">
          <w:rPr>
            <w:rStyle w:val="Hyperlink"/>
            <w:lang w:val="en-US"/>
          </w:rPr>
          <w:t>https://doi.org/10.1007/s10778-009-0189-4</w:t>
        </w:r>
      </w:hyperlink>
    </w:p>
  </w:footnote>
  <w:footnote w:id="163">
    <w:p w14:paraId="36126413" w14:textId="2B9DD5D1" w:rsidR="00293B92" w:rsidRPr="00DE73E3" w:rsidRDefault="00293B92" w:rsidP="009263AB">
      <w:pPr>
        <w:pStyle w:val="FootnoteText"/>
        <w:jc w:val="both"/>
        <w:rPr>
          <w:lang w:val="es-ES"/>
        </w:rPr>
      </w:pPr>
      <w:r w:rsidRPr="00D44EB6">
        <w:rPr>
          <w:rStyle w:val="FootnoteReference"/>
        </w:rPr>
        <w:footnoteRef/>
      </w:r>
      <w:r w:rsidRPr="00293B92">
        <w:rPr>
          <w:lang w:val="en-US"/>
        </w:rPr>
        <w:t xml:space="preserve"> Mongeon, P., &amp; Paul-Hus, A. (2016). The journal coverage of Web of Science and Scopus: A comparative analysis. Scientometrics, 106, 213–228 ; Singh, V. K., Singh, P., Karmakar, M., Leta, J., &amp; Mayr, P. (2021). The journal coverage of Web of Science, Scopus and Dimensions: A comparative analysis. </w:t>
      </w:r>
      <w:r w:rsidRPr="00DE73E3">
        <w:rPr>
          <w:lang w:val="es-ES"/>
        </w:rPr>
        <w:t xml:space="preserve">Scientometrics, 126(6), 5113–5142. </w:t>
      </w:r>
      <w:hyperlink r:id="rId133" w:history="1">
        <w:r w:rsidRPr="00DE73E3">
          <w:rPr>
            <w:rStyle w:val="Hyperlink"/>
            <w:lang w:val="es-ES"/>
          </w:rPr>
          <w:t>https://doi.org/10.1007/s11192-021-03948-5</w:t>
        </w:r>
      </w:hyperlink>
    </w:p>
  </w:footnote>
  <w:footnote w:id="164">
    <w:p w14:paraId="7A9603D1" w14:textId="03203FE1" w:rsidR="00293B92" w:rsidRPr="00293B92" w:rsidRDefault="00293B92" w:rsidP="009263AB">
      <w:pPr>
        <w:pStyle w:val="FootnoteText"/>
        <w:jc w:val="both"/>
        <w:rPr>
          <w:lang w:val="en-US"/>
        </w:rPr>
      </w:pPr>
      <w:r w:rsidRPr="00D44EB6">
        <w:rPr>
          <w:rStyle w:val="FootnoteReference"/>
        </w:rPr>
        <w:footnoteRef/>
      </w:r>
      <w:r w:rsidRPr="00DE73E3">
        <w:rPr>
          <w:lang w:val="es-ES"/>
        </w:rPr>
        <w:t xml:space="preserve"> Martín-Martín, A., Orduna-Malea, E., &amp; Delgado López-Cózar, E. (2018). </w:t>
      </w:r>
      <w:r w:rsidRPr="00293B92">
        <w:rPr>
          <w:lang w:val="en-US"/>
        </w:rPr>
        <w:t xml:space="preserve">Coverage of highly-cited documents in Google Scholar, Web of Science, and Scopus: A multidisciplinary comparison. </w:t>
      </w:r>
      <w:r w:rsidRPr="00293B92">
        <w:rPr>
          <w:i/>
          <w:iCs/>
          <w:lang w:val="en-US"/>
        </w:rPr>
        <w:t>Scientometrics</w:t>
      </w:r>
      <w:r w:rsidRPr="00293B92">
        <w:rPr>
          <w:lang w:val="en-US"/>
        </w:rPr>
        <w:t xml:space="preserve">, </w:t>
      </w:r>
      <w:r w:rsidRPr="00293B92">
        <w:rPr>
          <w:i/>
          <w:iCs/>
          <w:lang w:val="en-US"/>
        </w:rPr>
        <w:t>116</w:t>
      </w:r>
      <w:r w:rsidRPr="00293B92">
        <w:rPr>
          <w:lang w:val="en-US"/>
        </w:rPr>
        <w:t xml:space="preserve">(3), 2175–2188. </w:t>
      </w:r>
      <w:hyperlink r:id="rId134" w:history="1">
        <w:r w:rsidRPr="00293B92">
          <w:rPr>
            <w:rStyle w:val="Hyperlink"/>
            <w:lang w:val="en-US"/>
          </w:rPr>
          <w:t>https://doi.org/10.1007/s11192-018-2820-9</w:t>
        </w:r>
      </w:hyperlink>
    </w:p>
  </w:footnote>
  <w:footnote w:id="165">
    <w:p w14:paraId="681D5DBD" w14:textId="4AE408A1" w:rsidR="00293B92" w:rsidRPr="00293B92" w:rsidRDefault="00293B92" w:rsidP="009263AB">
      <w:pPr>
        <w:pStyle w:val="FootnoteText"/>
        <w:jc w:val="both"/>
        <w:rPr>
          <w:lang w:val="en-US"/>
        </w:rPr>
      </w:pPr>
      <w:r w:rsidRPr="00D44EB6">
        <w:rPr>
          <w:rStyle w:val="FootnoteReference"/>
        </w:rPr>
        <w:footnoteRef/>
      </w:r>
      <w:r w:rsidRPr="00293B92">
        <w:rPr>
          <w:lang w:val="en-US"/>
        </w:rPr>
        <w:t xml:space="preserve"> Birkle, C., Pendlebury, D. A., Schnell, J., &amp; Adams, J. (2020). Web of Science as a data source for research on scientific and scholarly activity. </w:t>
      </w:r>
      <w:r w:rsidRPr="00D44EB6">
        <w:rPr>
          <w:i/>
          <w:iCs/>
          <w:lang w:val="fr-FR"/>
        </w:rPr>
        <w:t>Quantitative Science Studies</w:t>
      </w:r>
      <w:r w:rsidRPr="00D44EB6">
        <w:rPr>
          <w:lang w:val="fr-FR"/>
        </w:rPr>
        <w:t xml:space="preserve">, </w:t>
      </w:r>
      <w:r w:rsidRPr="00D44EB6">
        <w:rPr>
          <w:i/>
          <w:iCs/>
          <w:lang w:val="fr-FR"/>
        </w:rPr>
        <w:t>1</w:t>
      </w:r>
      <w:r w:rsidRPr="00D44EB6">
        <w:rPr>
          <w:lang w:val="fr-FR"/>
        </w:rPr>
        <w:t xml:space="preserve">(1), 363–376. </w:t>
      </w:r>
      <w:hyperlink r:id="rId135" w:history="1">
        <w:r w:rsidRPr="00D44EB6">
          <w:rPr>
            <w:rStyle w:val="Hyperlink"/>
            <w:lang w:val="fr-FR"/>
          </w:rPr>
          <w:t>https://direct.mit.edu/qss/article-abstract/1/1/363/15569</w:t>
        </w:r>
      </w:hyperlink>
      <w:r w:rsidRPr="00D44EB6">
        <w:rPr>
          <w:lang w:val="fr-FR"/>
        </w:rPr>
        <w:t xml:space="preserve">; Kumpulainen, M., &amp; Seppänen, M. (2022). </w:t>
      </w:r>
      <w:r w:rsidRPr="00293B92">
        <w:rPr>
          <w:lang w:val="en-US"/>
        </w:rPr>
        <w:t xml:space="preserve">Combining Web of Science and Scopus datasets in citation-based literature study. </w:t>
      </w:r>
      <w:r w:rsidRPr="00293B92">
        <w:rPr>
          <w:i/>
          <w:iCs/>
          <w:lang w:val="en-US"/>
        </w:rPr>
        <w:t>Scientometrics</w:t>
      </w:r>
      <w:r w:rsidRPr="00293B92">
        <w:rPr>
          <w:lang w:val="en-US"/>
        </w:rPr>
        <w:t xml:space="preserve">, </w:t>
      </w:r>
      <w:r w:rsidRPr="00293B92">
        <w:rPr>
          <w:i/>
          <w:iCs/>
          <w:lang w:val="en-US"/>
        </w:rPr>
        <w:t>127</w:t>
      </w:r>
      <w:r w:rsidRPr="00293B92">
        <w:rPr>
          <w:lang w:val="en-US"/>
        </w:rPr>
        <w:t xml:space="preserve">(10), 5613–5631. </w:t>
      </w:r>
      <w:hyperlink r:id="rId136" w:history="1">
        <w:r w:rsidRPr="00293B92">
          <w:rPr>
            <w:rStyle w:val="Hyperlink"/>
            <w:lang w:val="en-US"/>
          </w:rPr>
          <w:t>https://doi.org/10.1007/s11192-022-04475-7</w:t>
        </w:r>
      </w:hyperlink>
    </w:p>
  </w:footnote>
  <w:footnote w:id="166">
    <w:p w14:paraId="49A1FC64" w14:textId="0FE0091B" w:rsidR="00293B92" w:rsidRPr="00293B92" w:rsidRDefault="00293B92" w:rsidP="009263AB">
      <w:pPr>
        <w:pStyle w:val="FootnoteText"/>
        <w:jc w:val="both"/>
        <w:rPr>
          <w:lang w:val="en-US"/>
        </w:rPr>
      </w:pPr>
      <w:r w:rsidRPr="00D44EB6">
        <w:rPr>
          <w:rStyle w:val="FootnoteReference"/>
        </w:rPr>
        <w:footnoteRef/>
      </w:r>
      <w:r w:rsidRPr="00293B92">
        <w:rPr>
          <w:lang w:val="en-US"/>
        </w:rPr>
        <w:t xml:space="preserve"> Mongeon, P., &amp; Paul-Hus, A. (2016). The journal coverage of Web of Science and Scopus: A comparative analysis. Scientometrics, 106, 213–228; Vera-Baceta, M.-A., Thelwall, M., &amp; Kousha, K. (2019). Web of Science and Scopus language coverage. </w:t>
      </w:r>
      <w:r w:rsidRPr="00293B92">
        <w:rPr>
          <w:i/>
          <w:iCs/>
          <w:lang w:val="en-US"/>
        </w:rPr>
        <w:t>Scientometrics</w:t>
      </w:r>
      <w:r w:rsidRPr="00293B92">
        <w:rPr>
          <w:lang w:val="en-US"/>
        </w:rPr>
        <w:t xml:space="preserve">, </w:t>
      </w:r>
      <w:r w:rsidRPr="00293B92">
        <w:rPr>
          <w:i/>
          <w:iCs/>
          <w:lang w:val="en-US"/>
        </w:rPr>
        <w:t>121</w:t>
      </w:r>
      <w:r w:rsidRPr="00293B92">
        <w:rPr>
          <w:lang w:val="en-US"/>
        </w:rPr>
        <w:t xml:space="preserve">(3), 1803–1813. </w:t>
      </w:r>
      <w:hyperlink r:id="rId137" w:history="1">
        <w:r w:rsidRPr="00293B92">
          <w:rPr>
            <w:rStyle w:val="Hyperlink"/>
            <w:lang w:val="en-US"/>
          </w:rPr>
          <w:t>https://doi.org/10.1007/s11192-019-03264-z</w:t>
        </w:r>
      </w:hyperlink>
    </w:p>
  </w:footnote>
  <w:footnote w:id="167">
    <w:p w14:paraId="665C7546" w14:textId="6375E2F4" w:rsidR="00293B92" w:rsidRPr="00293B92" w:rsidRDefault="00293B92" w:rsidP="009263AB">
      <w:pPr>
        <w:pStyle w:val="FootnoteText"/>
        <w:jc w:val="both"/>
        <w:rPr>
          <w:lang w:val="en-US"/>
        </w:rPr>
      </w:pPr>
      <w:r w:rsidRPr="00467B75">
        <w:rPr>
          <w:rStyle w:val="FootnoteReference"/>
        </w:rPr>
        <w:footnoteRef/>
      </w:r>
      <w:r w:rsidRPr="00293B92">
        <w:rPr>
          <w:lang w:val="en-US"/>
        </w:rPr>
        <w:t xml:space="preserve"> Liu, W. (2019). The data source of this study is Web of Science Core Collection? Not enough. </w:t>
      </w:r>
      <w:r w:rsidRPr="00293B92">
        <w:rPr>
          <w:i/>
          <w:iCs/>
          <w:lang w:val="en-US"/>
        </w:rPr>
        <w:t>Scientometrics</w:t>
      </w:r>
      <w:r w:rsidRPr="00293B92">
        <w:rPr>
          <w:lang w:val="en-US"/>
        </w:rPr>
        <w:t xml:space="preserve">, </w:t>
      </w:r>
      <w:r w:rsidRPr="00293B92">
        <w:rPr>
          <w:i/>
          <w:iCs/>
          <w:lang w:val="en-US"/>
        </w:rPr>
        <w:t>121</w:t>
      </w:r>
      <w:r w:rsidRPr="00293B92">
        <w:rPr>
          <w:lang w:val="en-US"/>
        </w:rPr>
        <w:t xml:space="preserve">(3), 1815–1824. </w:t>
      </w:r>
      <w:hyperlink r:id="rId138" w:history="1">
        <w:r w:rsidRPr="00293B92">
          <w:rPr>
            <w:rStyle w:val="Hyperlink"/>
            <w:lang w:val="en-US"/>
          </w:rPr>
          <w:t>https://doi.org/10.1007/s11192-019-03238-1</w:t>
        </w:r>
      </w:hyperlink>
    </w:p>
  </w:footnote>
  <w:footnote w:id="168">
    <w:p w14:paraId="040BDC52" w14:textId="748D13D4" w:rsidR="00293B92" w:rsidRPr="00293B92" w:rsidRDefault="00293B92" w:rsidP="009263AB">
      <w:pPr>
        <w:pStyle w:val="FootnoteText"/>
        <w:jc w:val="both"/>
        <w:rPr>
          <w:lang w:val="en-US"/>
        </w:rPr>
      </w:pPr>
      <w:r w:rsidRPr="00467B75">
        <w:rPr>
          <w:rStyle w:val="FootnoteReference"/>
        </w:rPr>
        <w:footnoteRef/>
      </w:r>
      <w:r w:rsidRPr="00293B92">
        <w:rPr>
          <w:lang w:val="en-US"/>
        </w:rPr>
        <w:t xml:space="preserve"> Liu, W. (2021). A matter of time: Publication dates in Web of Science Core Collection. </w:t>
      </w:r>
      <w:r w:rsidRPr="00293B92">
        <w:rPr>
          <w:i/>
          <w:iCs/>
          <w:lang w:val="en-US"/>
        </w:rPr>
        <w:t>Scientometrics</w:t>
      </w:r>
      <w:r w:rsidRPr="00293B92">
        <w:rPr>
          <w:lang w:val="en-US"/>
        </w:rPr>
        <w:t xml:space="preserve">, </w:t>
      </w:r>
      <w:r w:rsidRPr="00293B92">
        <w:rPr>
          <w:i/>
          <w:iCs/>
          <w:lang w:val="en-US"/>
        </w:rPr>
        <w:t>126</w:t>
      </w:r>
      <w:r w:rsidRPr="00293B92">
        <w:rPr>
          <w:lang w:val="en-US"/>
        </w:rPr>
        <w:t xml:space="preserve">(1), 849–857. </w:t>
      </w:r>
      <w:hyperlink r:id="rId139" w:history="1">
        <w:r w:rsidRPr="00293B92">
          <w:rPr>
            <w:rStyle w:val="Hyperlink"/>
            <w:lang w:val="en-US"/>
          </w:rPr>
          <w:t>https://doi.org/10.1007/s11192-020-03697-x</w:t>
        </w:r>
      </w:hyperlink>
    </w:p>
  </w:footnote>
  <w:footnote w:id="169">
    <w:p w14:paraId="560FD9C1" w14:textId="5ECD4467" w:rsidR="00293B92" w:rsidRPr="007C2C8C" w:rsidRDefault="00293B92" w:rsidP="009263AB">
      <w:pPr>
        <w:pStyle w:val="FootnoteText"/>
        <w:jc w:val="both"/>
        <w:rPr>
          <w:lang w:val="fr-FR"/>
        </w:rPr>
      </w:pPr>
      <w:r w:rsidRPr="00467B75">
        <w:rPr>
          <w:rStyle w:val="FootnoteReference"/>
        </w:rPr>
        <w:footnoteRef/>
      </w:r>
      <w:r w:rsidRPr="00791D87">
        <w:rPr>
          <w:lang w:val="en-US"/>
        </w:rPr>
        <w:t xml:space="preserve"> Liu, W., Huang, M., &amp; Wang, H. (2021). </w:t>
      </w:r>
      <w:r w:rsidRPr="00293B92">
        <w:rPr>
          <w:lang w:val="en-US"/>
        </w:rPr>
        <w:t xml:space="preserve">Same journal but different numbers of published records indexed in Scopus and Web of Science Core Collection: Causes, consequences, and solutions. </w:t>
      </w:r>
      <w:r w:rsidRPr="007C2C8C">
        <w:rPr>
          <w:i/>
          <w:iCs/>
          <w:lang w:val="fr-FR"/>
        </w:rPr>
        <w:t>Scientometrics</w:t>
      </w:r>
      <w:r w:rsidRPr="007C2C8C">
        <w:rPr>
          <w:lang w:val="fr-FR"/>
        </w:rPr>
        <w:t xml:space="preserve">, </w:t>
      </w:r>
      <w:r w:rsidRPr="007C2C8C">
        <w:rPr>
          <w:i/>
          <w:iCs/>
          <w:lang w:val="fr-FR"/>
        </w:rPr>
        <w:t>126</w:t>
      </w:r>
      <w:r w:rsidRPr="007C2C8C">
        <w:rPr>
          <w:lang w:val="fr-FR"/>
        </w:rPr>
        <w:t xml:space="preserve">(5), 4541–4550. </w:t>
      </w:r>
      <w:hyperlink r:id="rId140" w:history="1">
        <w:r w:rsidRPr="007C2C8C">
          <w:rPr>
            <w:rStyle w:val="Hyperlink"/>
            <w:lang w:val="fr-FR"/>
          </w:rPr>
          <w:t>https://doi.org/10.1007/s11192-021-03934-x</w:t>
        </w:r>
      </w:hyperlink>
    </w:p>
  </w:footnote>
  <w:footnote w:id="170">
    <w:p w14:paraId="3921A225" w14:textId="235AF1D5" w:rsidR="00293B92" w:rsidRPr="00293B92" w:rsidRDefault="00293B92" w:rsidP="009263AB">
      <w:pPr>
        <w:pStyle w:val="FootnoteText"/>
        <w:jc w:val="both"/>
        <w:rPr>
          <w:lang w:val="en-US"/>
        </w:rPr>
      </w:pPr>
      <w:r w:rsidRPr="00467B75">
        <w:rPr>
          <w:rStyle w:val="FootnoteReference"/>
        </w:rPr>
        <w:footnoteRef/>
      </w:r>
      <w:r w:rsidRPr="00A24796">
        <w:rPr>
          <w:lang w:val="fr-FR"/>
        </w:rPr>
        <w:t xml:space="preserve"> - Li, H., &amp; Liu, W. (2020). </w:t>
      </w:r>
      <w:r w:rsidRPr="00293B92">
        <w:rPr>
          <w:lang w:val="en-US"/>
        </w:rPr>
        <w:t xml:space="preserve">Same same but different: Self-citations identified through Scopus and Web of Science Core Collection. </w:t>
      </w:r>
      <w:r w:rsidRPr="00293B92">
        <w:rPr>
          <w:i/>
          <w:iCs/>
          <w:lang w:val="en-US"/>
        </w:rPr>
        <w:t>Scientometrics</w:t>
      </w:r>
      <w:r w:rsidRPr="00293B92">
        <w:rPr>
          <w:lang w:val="en-US"/>
        </w:rPr>
        <w:t xml:space="preserve">, </w:t>
      </w:r>
      <w:r w:rsidRPr="00293B92">
        <w:rPr>
          <w:i/>
          <w:iCs/>
          <w:lang w:val="en-US"/>
        </w:rPr>
        <w:t>124</w:t>
      </w:r>
      <w:r w:rsidRPr="00293B92">
        <w:rPr>
          <w:lang w:val="en-US"/>
        </w:rPr>
        <w:t xml:space="preserve">(3), 2723–2732. </w:t>
      </w:r>
      <w:hyperlink r:id="rId141" w:history="1">
        <w:r w:rsidRPr="00293B92">
          <w:rPr>
            <w:rStyle w:val="Hyperlink"/>
            <w:lang w:val="en-US"/>
          </w:rPr>
          <w:t>https://doi.org/10.1007/s11192-020-03573-8</w:t>
        </w:r>
      </w:hyperlink>
    </w:p>
  </w:footnote>
  <w:footnote w:id="171">
    <w:p w14:paraId="5A5647E5" w14:textId="752F5657" w:rsidR="00293B92" w:rsidRPr="00293B92" w:rsidRDefault="00293B92" w:rsidP="00E14603">
      <w:pPr>
        <w:pStyle w:val="FootnoteText"/>
        <w:jc w:val="both"/>
        <w:rPr>
          <w:lang w:val="en-US"/>
        </w:rPr>
      </w:pPr>
      <w:r w:rsidRPr="00467B75">
        <w:rPr>
          <w:rStyle w:val="FootnoteReference"/>
        </w:rPr>
        <w:footnoteRef/>
      </w:r>
      <w:r w:rsidRPr="00293B92">
        <w:rPr>
          <w:lang w:val="en-US"/>
        </w:rPr>
        <w:t xml:space="preserve"> </w:t>
      </w:r>
      <w:bookmarkStart w:id="19" w:name="_Hlk204027210"/>
      <w:r w:rsidRPr="00293B92">
        <w:rPr>
          <w:lang w:val="en-US"/>
        </w:rPr>
        <w:t xml:space="preserve">Mongeon, P., &amp; Paul-Hus, A. (2016). The journal coverage of Web of Science and Scopus: A comparative analysis. </w:t>
      </w:r>
      <w:r w:rsidRPr="00293B92">
        <w:rPr>
          <w:i/>
          <w:iCs/>
          <w:lang w:val="en-US"/>
        </w:rPr>
        <w:t>Scientometrics</w:t>
      </w:r>
      <w:r w:rsidRPr="00293B92">
        <w:rPr>
          <w:lang w:val="en-US"/>
        </w:rPr>
        <w:t xml:space="preserve">, </w:t>
      </w:r>
      <w:r w:rsidRPr="00293B92">
        <w:rPr>
          <w:i/>
          <w:iCs/>
          <w:lang w:val="en-US"/>
        </w:rPr>
        <w:t>106</w:t>
      </w:r>
      <w:r w:rsidRPr="00293B92">
        <w:rPr>
          <w:lang w:val="en-US"/>
        </w:rPr>
        <w:t>, 213–228</w:t>
      </w:r>
      <w:bookmarkEnd w:id="19"/>
      <w:r w:rsidRPr="00293B92">
        <w:rPr>
          <w:lang w:val="en-US"/>
        </w:rPr>
        <w:t xml:space="preserve">; Tennant, J. P. (2020). Web of Science and Scopus are not global databases of knowledge. </w:t>
      </w:r>
      <w:r w:rsidRPr="00293B92">
        <w:rPr>
          <w:i/>
          <w:iCs/>
          <w:lang w:val="en-US"/>
        </w:rPr>
        <w:t>European Science Editing</w:t>
      </w:r>
      <w:r w:rsidRPr="00293B92">
        <w:rPr>
          <w:lang w:val="en-US"/>
        </w:rPr>
        <w:t xml:space="preserve">, </w:t>
      </w:r>
      <w:r w:rsidRPr="00293B92">
        <w:rPr>
          <w:i/>
          <w:iCs/>
          <w:lang w:val="en-US"/>
        </w:rPr>
        <w:t>46</w:t>
      </w:r>
      <w:r w:rsidRPr="00293B92">
        <w:rPr>
          <w:lang w:val="en-US"/>
        </w:rPr>
        <w:t xml:space="preserve">, e51987. </w:t>
      </w:r>
      <w:hyperlink r:id="rId142" w:history="1">
        <w:r w:rsidRPr="00293B92">
          <w:rPr>
            <w:rStyle w:val="Hyperlink"/>
            <w:lang w:val="en-US"/>
          </w:rPr>
          <w:t>https://ese.arphahub.com/article/51987/download/pdf/</w:t>
        </w:r>
      </w:hyperlink>
      <w:r w:rsidRPr="00293B92">
        <w:rPr>
          <w:lang w:val="en-US"/>
        </w:rPr>
        <w:t xml:space="preserve">; </w:t>
      </w:r>
      <w:bookmarkStart w:id="20" w:name="_Hlk204027638"/>
      <w:r w:rsidRPr="00293B92">
        <w:rPr>
          <w:lang w:val="en-US"/>
        </w:rPr>
        <w:t xml:space="preserve">Vera-Baceta, M.-A., Thelwall, M., &amp; Kousha, K. (2019). Web of Science and Scopus language coverage. </w:t>
      </w:r>
      <w:r w:rsidRPr="00293B92">
        <w:rPr>
          <w:i/>
          <w:iCs/>
          <w:lang w:val="en-US"/>
        </w:rPr>
        <w:t>Scientometrics</w:t>
      </w:r>
      <w:r w:rsidRPr="00293B92">
        <w:rPr>
          <w:lang w:val="en-US"/>
        </w:rPr>
        <w:t xml:space="preserve">, </w:t>
      </w:r>
      <w:r w:rsidRPr="00293B92">
        <w:rPr>
          <w:i/>
          <w:iCs/>
          <w:lang w:val="en-US"/>
        </w:rPr>
        <w:t>121</w:t>
      </w:r>
      <w:r w:rsidRPr="00293B92">
        <w:rPr>
          <w:lang w:val="en-US"/>
        </w:rPr>
        <w:t xml:space="preserve">(3), 1803–1813. </w:t>
      </w:r>
      <w:hyperlink r:id="rId143" w:history="1">
        <w:r w:rsidRPr="00293B92">
          <w:rPr>
            <w:rStyle w:val="Hyperlink"/>
            <w:lang w:val="en-US"/>
          </w:rPr>
          <w:t>https://doi.org/10.1007/s11192-019-03264-z</w:t>
        </w:r>
      </w:hyperlink>
      <w:bookmarkEnd w:id="20"/>
    </w:p>
  </w:footnote>
  <w:footnote w:id="172">
    <w:p w14:paraId="3B110FF5" w14:textId="3537056B" w:rsidR="00293B92" w:rsidRPr="00293B92" w:rsidRDefault="00293B92" w:rsidP="00E14603">
      <w:pPr>
        <w:pStyle w:val="FootnoteText"/>
        <w:jc w:val="both"/>
        <w:rPr>
          <w:lang w:val="en-US"/>
        </w:rPr>
      </w:pPr>
      <w:r w:rsidRPr="00467B75">
        <w:rPr>
          <w:rStyle w:val="FootnoteReference"/>
        </w:rPr>
        <w:footnoteRef/>
      </w:r>
      <w:r w:rsidRPr="00293B92">
        <w:rPr>
          <w:lang w:val="en-US"/>
        </w:rPr>
        <w:t xml:space="preserve"> Caputo, A., &amp; Kargina, M. (2022). A user-friendly method to merge Scopus and Web of Science data during bibliometric analysis. Journal of Marketing Analytics, 10(1), 82–88. </w:t>
      </w:r>
      <w:hyperlink r:id="rId144" w:history="1">
        <w:r w:rsidRPr="00293B92">
          <w:rPr>
            <w:rStyle w:val="Hyperlink"/>
            <w:lang w:val="en-US"/>
          </w:rPr>
          <w:t>https://doi.org/10.1057/s41270-021-00142-7</w:t>
        </w:r>
      </w:hyperlink>
    </w:p>
  </w:footnote>
  <w:footnote w:id="173">
    <w:p w14:paraId="41B963CF" w14:textId="7B031B25" w:rsidR="00293B92" w:rsidRPr="00293B92" w:rsidRDefault="00293B92" w:rsidP="009263AB">
      <w:pPr>
        <w:pStyle w:val="FootnoteText"/>
        <w:jc w:val="both"/>
        <w:rPr>
          <w:lang w:val="en-US"/>
        </w:rPr>
      </w:pPr>
      <w:r w:rsidRPr="00F07920">
        <w:rPr>
          <w:rStyle w:val="FootnoteReference"/>
        </w:rPr>
        <w:footnoteRef/>
      </w:r>
      <w:r w:rsidRPr="00293B92">
        <w:rPr>
          <w:lang w:val="en-US"/>
        </w:rPr>
        <w:t xml:space="preserve"> Onwuteaka-Philipsen, B. D., Brinkman-Stoppelenburg, A., Penning, C., de Jong-Krul, G. J., Van Delden, J. J., &amp; Van Der Heide, A. (2012). Trends in end-of-life practices before and after the enactment of the euthanasia law in the Netherlands from 1990 to 2010: A repeated cross-sectional survey. The Lancet, 380(9845), 908–915. </w:t>
      </w:r>
      <w:hyperlink r:id="rId145" w:history="1">
        <w:r w:rsidRPr="00293B92">
          <w:rPr>
            <w:rStyle w:val="Hyperlink"/>
            <w:lang w:val="en-US"/>
          </w:rPr>
          <w:t>https://www.thelancet.com/journals/lancet/article/PIIS0140-6736(12)61034-4/abstract</w:t>
        </w:r>
      </w:hyperlink>
    </w:p>
  </w:footnote>
  <w:footnote w:id="174">
    <w:p w14:paraId="0036CD6D" w14:textId="664B9026" w:rsidR="00293B92" w:rsidRPr="00293B92" w:rsidRDefault="00293B92" w:rsidP="009263AB">
      <w:pPr>
        <w:pStyle w:val="FootnoteText"/>
        <w:jc w:val="both"/>
        <w:rPr>
          <w:lang w:val="en-US"/>
        </w:rPr>
      </w:pPr>
      <w:r w:rsidRPr="00F07920">
        <w:rPr>
          <w:rStyle w:val="FootnoteReference"/>
        </w:rPr>
        <w:footnoteRef/>
      </w:r>
      <w:r w:rsidRPr="004646AE">
        <w:rPr>
          <w:lang w:val="de-DE"/>
        </w:rPr>
        <w:t xml:space="preserve">  van den Ende, C., Bunge, E. M., &amp; van de Vathorst, S. (2021). </w:t>
      </w:r>
      <w:r w:rsidRPr="00293B92">
        <w:rPr>
          <w:lang w:val="en-US"/>
        </w:rPr>
        <w:t xml:space="preserve">Wish for euthanasia persists for at least one year after the request was declined by Euthanasia Expertise Center. Health Policy, 125(8), 1108–1113. </w:t>
      </w:r>
      <w:hyperlink r:id="rId146" w:history="1">
        <w:r w:rsidRPr="00293B92">
          <w:rPr>
            <w:rStyle w:val="Hyperlink"/>
            <w:lang w:val="en-US"/>
          </w:rPr>
          <w:t>https://www.sciencedirect.com/science/article/pii/S0168851021001299</w:t>
        </w:r>
      </w:hyperlink>
    </w:p>
  </w:footnote>
  <w:footnote w:id="175">
    <w:p w14:paraId="51737E2D" w14:textId="6D216056" w:rsidR="00293B92" w:rsidRPr="00DE73E3" w:rsidRDefault="00293B92" w:rsidP="009263AB">
      <w:pPr>
        <w:pStyle w:val="FootnoteText"/>
        <w:jc w:val="both"/>
        <w:rPr>
          <w:lang w:val="es-ES"/>
        </w:rPr>
      </w:pPr>
      <w:r w:rsidRPr="00F07920">
        <w:rPr>
          <w:rStyle w:val="FootnoteReference"/>
        </w:rPr>
        <w:footnoteRef/>
      </w:r>
      <w:r w:rsidRPr="00293B92">
        <w:rPr>
          <w:lang w:val="en-US"/>
        </w:rPr>
        <w:t xml:space="preserve"> Bernal, V., &amp; Trejo-Gabriel-Galan, J. M. (2021). Euthanasia laws in Spain and in the world: Medical aspects. </w:t>
      </w:r>
      <w:r w:rsidRPr="00DE73E3">
        <w:rPr>
          <w:lang w:val="es-ES"/>
        </w:rPr>
        <w:t xml:space="preserve">Atencion Primaria, 54(1), 102170–102170. </w:t>
      </w:r>
      <w:hyperlink r:id="rId147" w:history="1">
        <w:r w:rsidRPr="00DE73E3">
          <w:rPr>
            <w:rStyle w:val="Hyperlink"/>
            <w:lang w:val="es-ES"/>
          </w:rPr>
          <w:t>https://europepmc.org/article/med/34798415</w:t>
        </w:r>
      </w:hyperlink>
    </w:p>
  </w:footnote>
  <w:footnote w:id="176">
    <w:p w14:paraId="56BC6B4D" w14:textId="2E52039A" w:rsidR="00293B92" w:rsidRPr="00293B92" w:rsidRDefault="00293B92" w:rsidP="009263AB">
      <w:pPr>
        <w:pStyle w:val="FootnoteText"/>
        <w:jc w:val="both"/>
        <w:rPr>
          <w:lang w:val="en-US"/>
        </w:rPr>
      </w:pPr>
      <w:r w:rsidRPr="00F07920">
        <w:rPr>
          <w:rStyle w:val="FootnoteReference"/>
        </w:rPr>
        <w:footnoteRef/>
      </w:r>
      <w:r w:rsidRPr="00DE73E3">
        <w:rPr>
          <w:lang w:val="es-ES"/>
        </w:rPr>
        <w:t xml:space="preserve"> kadir, Y., Nurmala, L. D., &amp; Ismail, N. (2021). </w:t>
      </w:r>
      <w:r w:rsidRPr="00293B92">
        <w:rPr>
          <w:lang w:val="en-US"/>
        </w:rPr>
        <w:t xml:space="preserve">The Relevance of Legal Protection to Human Rights Related to Euthanasia Law in Indonesia. Jambura Law Review, 3(2), 319–335. </w:t>
      </w:r>
      <w:hyperlink r:id="rId148" w:history="1">
        <w:r w:rsidRPr="00293B92">
          <w:rPr>
            <w:rStyle w:val="Hyperlink"/>
            <w:lang w:val="en-US"/>
          </w:rPr>
          <w:t>https://ejurnal.ung.ac.id/index.php/jalrev/article/download/7111/3478</w:t>
        </w:r>
      </w:hyperlink>
    </w:p>
  </w:footnote>
  <w:footnote w:id="177">
    <w:p w14:paraId="156D40DE" w14:textId="68D92117" w:rsidR="00293B92" w:rsidRPr="004646AE" w:rsidRDefault="00293B92" w:rsidP="009263AB">
      <w:pPr>
        <w:pStyle w:val="FootnoteText"/>
        <w:jc w:val="both"/>
        <w:rPr>
          <w:lang w:val="pl-PL"/>
        </w:rPr>
      </w:pPr>
      <w:r w:rsidRPr="00F07920">
        <w:rPr>
          <w:rStyle w:val="FootnoteReference"/>
        </w:rPr>
        <w:footnoteRef/>
      </w:r>
      <w:r w:rsidRPr="00293B92">
        <w:rPr>
          <w:lang w:val="en-US"/>
        </w:rPr>
        <w:t xml:space="preserve"> Kamri, A. (2024). Medical Action of Doctors with Euthanasy From the Perspective of Criminal Acts on Islamic Law: A Normative Review. MEDICAL ACTION OF DOCTORS WITH EUTHANASY FROM THE PERSPECTIVE OF CRIMINAL ACTS ON ISLAMIC LAW: A NORMATIVE REVIEW, 18(6), 1. </w:t>
      </w:r>
      <w:hyperlink r:id="rId149" w:history="1">
        <w:r w:rsidRPr="004646AE">
          <w:rPr>
            <w:rStyle w:val="Hyperlink"/>
            <w:lang w:val="pl-PL"/>
          </w:rPr>
          <w:t>https://repository.umi.ac.id/6269/</w:t>
        </w:r>
      </w:hyperlink>
    </w:p>
  </w:footnote>
  <w:footnote w:id="178">
    <w:p w14:paraId="1B5E3A99" w14:textId="5B3AEF2C" w:rsidR="00293B92" w:rsidRPr="00293B92" w:rsidRDefault="00293B92" w:rsidP="009263AB">
      <w:pPr>
        <w:pStyle w:val="FootnoteText"/>
        <w:jc w:val="both"/>
        <w:rPr>
          <w:lang w:val="en-US"/>
        </w:rPr>
      </w:pPr>
      <w:r w:rsidRPr="00F07920">
        <w:rPr>
          <w:rStyle w:val="FootnoteReference"/>
        </w:rPr>
        <w:footnoteRef/>
      </w:r>
      <w:r w:rsidRPr="004646AE">
        <w:rPr>
          <w:lang w:val="pl-PL"/>
        </w:rPr>
        <w:t xml:space="preserve"> Pope, T. M., &amp; Okninski, M. E. (2016). </w:t>
      </w:r>
      <w:r w:rsidRPr="00293B92">
        <w:rPr>
          <w:lang w:val="en-US"/>
        </w:rPr>
        <w:t xml:space="preserve">Legal Standards for Brain Death and Undue Influence in Euthanasia Laws. Journal of Bioethical Inquiry, 13(2), 173–178. </w:t>
      </w:r>
      <w:hyperlink r:id="rId150" w:history="1">
        <w:r w:rsidRPr="00293B92">
          <w:rPr>
            <w:rStyle w:val="Hyperlink"/>
            <w:lang w:val="en-US"/>
          </w:rPr>
          <w:t>https://doi.org/10.1007/s11673-016-9718-0</w:t>
        </w:r>
      </w:hyperlink>
    </w:p>
  </w:footnote>
  <w:footnote w:id="179">
    <w:p w14:paraId="08FAD108" w14:textId="38576056" w:rsidR="00293B92" w:rsidRPr="00F07920" w:rsidRDefault="00293B92" w:rsidP="009263AB">
      <w:pPr>
        <w:pStyle w:val="FootnoteText"/>
        <w:jc w:val="both"/>
        <w:rPr>
          <w:lang w:val="fr-FR"/>
        </w:rPr>
      </w:pPr>
      <w:r w:rsidRPr="00F07920">
        <w:rPr>
          <w:rStyle w:val="FootnoteReference"/>
        </w:rPr>
        <w:footnoteRef/>
      </w:r>
      <w:r w:rsidRPr="00293B92">
        <w:rPr>
          <w:lang w:val="en-US"/>
        </w:rPr>
        <w:t xml:space="preserve"> - Klampfer, F. (2019). Euthanasia Laws, Slippery Slopes, and (Un) Reasonable Precaution. </w:t>
      </w:r>
      <w:r w:rsidRPr="00F07920">
        <w:rPr>
          <w:lang w:val="fr-FR"/>
        </w:rPr>
        <w:t xml:space="preserve">Prolegomena: Časopis Za Filozofiju, 18(2), 121–147. </w:t>
      </w:r>
      <w:hyperlink r:id="rId151" w:history="1">
        <w:r w:rsidRPr="00F07920">
          <w:rPr>
            <w:rStyle w:val="Hyperlink"/>
            <w:lang w:val="fr-FR"/>
          </w:rPr>
          <w:t>https://hrcak.srce.hr/237864</w:t>
        </w:r>
      </w:hyperlink>
    </w:p>
  </w:footnote>
  <w:footnote w:id="180">
    <w:p w14:paraId="1931E465" w14:textId="22C30F9C" w:rsidR="00293B92" w:rsidRPr="00293B92" w:rsidRDefault="00293B92" w:rsidP="009263AB">
      <w:pPr>
        <w:pStyle w:val="FootnoteText"/>
        <w:jc w:val="both"/>
        <w:rPr>
          <w:lang w:val="en-US"/>
        </w:rPr>
      </w:pPr>
      <w:r w:rsidRPr="00F07920">
        <w:rPr>
          <w:rStyle w:val="FootnoteReference"/>
        </w:rPr>
        <w:footnoteRef/>
      </w:r>
      <w:r w:rsidRPr="00F07920">
        <w:rPr>
          <w:lang w:val="fr-FR"/>
        </w:rPr>
        <w:t xml:space="preserve"> Pousset, G., Mortier, F., Bilsen, J., Cohen, J., &amp; Deliens, L. (2011). </w:t>
      </w:r>
      <w:r w:rsidRPr="00293B92">
        <w:rPr>
          <w:lang w:val="en-US"/>
        </w:rPr>
        <w:t xml:space="preserve">Attitudes and practices of physicians regarding physician-assisted dying in minors. </w:t>
      </w:r>
      <w:r w:rsidRPr="00293B92">
        <w:rPr>
          <w:i/>
          <w:iCs/>
          <w:lang w:val="en-US"/>
        </w:rPr>
        <w:t>Archives of Disease in Childhood</w:t>
      </w:r>
      <w:r w:rsidRPr="00293B92">
        <w:rPr>
          <w:lang w:val="en-US"/>
        </w:rPr>
        <w:t xml:space="preserve">, </w:t>
      </w:r>
      <w:r w:rsidRPr="00293B92">
        <w:rPr>
          <w:i/>
          <w:iCs/>
          <w:lang w:val="en-US"/>
        </w:rPr>
        <w:t>96</w:t>
      </w:r>
      <w:r w:rsidRPr="00293B92">
        <w:rPr>
          <w:lang w:val="en-US"/>
        </w:rPr>
        <w:t xml:space="preserve">(10), 948–953. </w:t>
      </w:r>
      <w:hyperlink r:id="rId152" w:history="1">
        <w:r w:rsidRPr="00293B92">
          <w:rPr>
            <w:rStyle w:val="Hyperlink"/>
            <w:lang w:val="en-US"/>
          </w:rPr>
          <w:t>https://adc.bmj.com/content/96/10/948</w:t>
        </w:r>
      </w:hyperlink>
      <w:r w:rsidRPr="00293B92">
        <w:rPr>
          <w:lang w:val="en-US"/>
        </w:rPr>
        <w:t>.</w:t>
      </w:r>
    </w:p>
  </w:footnote>
  <w:footnote w:id="181">
    <w:p w14:paraId="2A13AAEB" w14:textId="60B4C46D" w:rsidR="00293B92" w:rsidRPr="00293B92" w:rsidRDefault="00293B92" w:rsidP="009263AB">
      <w:pPr>
        <w:pStyle w:val="FootnoteText"/>
        <w:jc w:val="both"/>
        <w:rPr>
          <w:lang w:val="en-US"/>
        </w:rPr>
      </w:pPr>
      <w:r w:rsidRPr="00F07920">
        <w:rPr>
          <w:rStyle w:val="FootnoteReference"/>
        </w:rPr>
        <w:footnoteRef/>
      </w:r>
      <w:r w:rsidRPr="00293B92">
        <w:rPr>
          <w:lang w:val="en-US"/>
        </w:rPr>
        <w:t xml:space="preserve"> Smets, T., Cohen, J., Bilsen, J., Van Wesemael, Y., Rurup, M. L., &amp; Deliens, L. (2011). Attitudes and experiences of Belgian physicians regarding euthanasia practice and the euthanasia law. Journal of Pain and Symptom Management, 41(3), 580–593. </w:t>
      </w:r>
      <w:hyperlink r:id="rId153" w:history="1">
        <w:r w:rsidRPr="00293B92">
          <w:rPr>
            <w:rStyle w:val="Hyperlink"/>
            <w:lang w:val="en-US"/>
          </w:rPr>
          <w:t>https://www.sciencedirect.com/science/article/pii/S0885392410006937</w:t>
        </w:r>
      </w:hyperlink>
    </w:p>
  </w:footnote>
  <w:footnote w:id="182">
    <w:p w14:paraId="4F90C400" w14:textId="70D61A47"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Van Wesemael, Y., Cohen, J., Bilsen, J., Smets, T., Onwuteaka-Philipsen, B., &amp; Deliens, L. (2011). Process and outcomes of euthanasia requests under the Belgian act on euthanasia: A nationwide survey. Journal of Pain and Symptom Management, 42(5), 721–733. </w:t>
      </w:r>
      <w:hyperlink r:id="rId154" w:history="1">
        <w:r w:rsidRPr="00293B92">
          <w:rPr>
            <w:rStyle w:val="Hyperlink"/>
            <w:lang w:val="en-US"/>
          </w:rPr>
          <w:t>https://www.sciencedirect.com/science/article/pii/S0885392411001540</w:t>
        </w:r>
      </w:hyperlink>
    </w:p>
  </w:footnote>
  <w:footnote w:id="183">
    <w:p w14:paraId="7FBC0A8A" w14:textId="2EDBAC20"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Raus, K. (2016). The Extension of Belgium’s Euthanasia Law to Include Competent Minors. Journal of Bioethical Inquiry, 13(2), 305–315. </w:t>
      </w:r>
      <w:hyperlink r:id="rId155" w:history="1">
        <w:r w:rsidRPr="00293B92">
          <w:rPr>
            <w:rStyle w:val="Hyperlink"/>
            <w:lang w:val="en-US"/>
          </w:rPr>
          <w:t>https://doi.org/10.1007/s11673-016-9705-5</w:t>
        </w:r>
      </w:hyperlink>
    </w:p>
  </w:footnote>
  <w:footnote w:id="184">
    <w:p w14:paraId="6BED4877" w14:textId="07C88612"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Van Rickstal, R., De Vleminck, A., Chambaere, K., &amp; Van den Block, L. (2023). People with young-onset dementia and their family caregivers discussing euthanasia: A qualitative analysis of their considerations. Patient Education and Counseling, 115, 107882. https://www.sciencedirect.com/science/article/pii/S0738399123002628</w:t>
      </w:r>
    </w:p>
  </w:footnote>
  <w:footnote w:id="185">
    <w:p w14:paraId="0901F2A6" w14:textId="7C0B81D7"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Cleemput, J., &amp; Schoenmakers, B. (2019). Euthanasia in the case of dementia: A survey among Flemish GPs. BJGP Open, 3(4). </w:t>
      </w:r>
      <w:hyperlink r:id="rId156" w:history="1">
        <w:r w:rsidRPr="00293B92">
          <w:rPr>
            <w:rStyle w:val="Hyperlink"/>
            <w:lang w:val="en-US"/>
          </w:rPr>
          <w:t>https://bjgpopen.org/content/3/4/bjgpopen19X101677.abstract</w:t>
        </w:r>
      </w:hyperlink>
    </w:p>
  </w:footnote>
  <w:footnote w:id="186">
    <w:p w14:paraId="2AC66FB2" w14:textId="6AB62DFC"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Dierickx, S., Deliens, L., Cohen, J., &amp; Chambaere, K. (2017). Euthanasia for people with psychiatric disorders or dementia in Belgium: Analysis of officially reported cases. BMC Psychiatry, 17, 1–9. </w:t>
      </w:r>
      <w:hyperlink r:id="rId157" w:history="1">
        <w:r w:rsidRPr="00293B92">
          <w:rPr>
            <w:rStyle w:val="Hyperlink"/>
            <w:lang w:val="en-US"/>
          </w:rPr>
          <w:t>https://link.springer.com/article/10.1186/s12888-017-1369-0</w:t>
        </w:r>
      </w:hyperlink>
    </w:p>
  </w:footnote>
  <w:footnote w:id="187">
    <w:p w14:paraId="19B7CBA5" w14:textId="67784AAF" w:rsidR="00293B92" w:rsidRPr="00293B92" w:rsidRDefault="00293B92" w:rsidP="00E92410">
      <w:pPr>
        <w:pStyle w:val="FootnoteText"/>
        <w:jc w:val="both"/>
        <w:rPr>
          <w:lang w:val="en-US"/>
        </w:rPr>
      </w:pPr>
      <w:r w:rsidRPr="00F07920">
        <w:rPr>
          <w:rStyle w:val="FootnoteReference"/>
        </w:rPr>
        <w:footnoteRef/>
      </w:r>
      <w:r w:rsidRPr="00293B92">
        <w:rPr>
          <w:lang w:val="en-US"/>
        </w:rPr>
        <w:t xml:space="preserve"> de Boer, M. E., Dröes, R.-M., Jonker, C., Eefsting, J. A., &amp; Hertogh, C. M. (2010). Advance directives for euthanasia in dementia: Do law-based opportunities lead to more euthanasia? Health Policy, 98(2–3), 256–262. </w:t>
      </w:r>
      <w:hyperlink r:id="rId158" w:history="1">
        <w:r w:rsidRPr="00293B92">
          <w:rPr>
            <w:rStyle w:val="Hyperlink"/>
            <w:lang w:val="en-US"/>
          </w:rPr>
          <w:t>https://www.sciencedirect.com/science/article/pii/S0168851010001934</w:t>
        </w:r>
      </w:hyperlink>
    </w:p>
  </w:footnote>
  <w:footnote w:id="188">
    <w:p w14:paraId="3B0C3376" w14:textId="64EE3EB0"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Miller, D. G., Dresser, R., &amp; Kim, S. Y. (2019). Advance euthanasia directives: A controversial case and its ethical implications. Journal of Medical Ethics, 45(2), 84–89. </w:t>
      </w:r>
      <w:hyperlink r:id="rId159" w:history="1">
        <w:r w:rsidRPr="00293B92">
          <w:rPr>
            <w:rStyle w:val="Hyperlink"/>
            <w:lang w:val="en-US"/>
          </w:rPr>
          <w:t>https://jme.bmj.com/content/45/2/84.abstract</w:t>
        </w:r>
      </w:hyperlink>
    </w:p>
  </w:footnote>
  <w:footnote w:id="189">
    <w:p w14:paraId="5E1F0A63" w14:textId="0FAD600C" w:rsidR="00293B92" w:rsidRPr="00293B92" w:rsidRDefault="00293B92" w:rsidP="00B365CF">
      <w:pPr>
        <w:pStyle w:val="FootnoteText"/>
        <w:jc w:val="both"/>
        <w:rPr>
          <w:lang w:val="en-US"/>
        </w:rPr>
      </w:pPr>
      <w:r w:rsidRPr="00F07920">
        <w:rPr>
          <w:rStyle w:val="FootnoteReference"/>
        </w:rPr>
        <w:footnoteRef/>
      </w:r>
      <w:r w:rsidRPr="00791D87">
        <w:rPr>
          <w:lang w:val="en-US"/>
        </w:rPr>
        <w:t xml:space="preserve"> Verhagen, A. E., &amp; Buijsen, M. (2023). </w:t>
      </w:r>
      <w:r w:rsidRPr="00293B92">
        <w:rPr>
          <w:lang w:val="en-US"/>
        </w:rPr>
        <w:t xml:space="preserve">Should the Dutch Law on Euthanasia Be Expanded to Include Children? Cambridge Quarterly of Healthcare Ethics, 32(1), 5–13. </w:t>
      </w:r>
      <w:hyperlink r:id="rId160" w:history="1">
        <w:r w:rsidRPr="00293B92">
          <w:rPr>
            <w:rStyle w:val="Hyperlink"/>
            <w:lang w:val="en-US"/>
          </w:rPr>
          <w:t>https://www.cambridge.org/core/journals/cambridge-quarterly-of-healthcare-ethics/article/should-the-dutch-law-on-euthanasia-be-expanded-to-include-children/A41751232DBEF2EF8DC32998BB3E2C99</w:t>
        </w:r>
      </w:hyperlink>
    </w:p>
  </w:footnote>
  <w:footnote w:id="190">
    <w:p w14:paraId="67DE4D9B" w14:textId="7E63BF7F" w:rsidR="00293B92" w:rsidRPr="00DE73E3" w:rsidRDefault="00293B92" w:rsidP="00B365CF">
      <w:pPr>
        <w:pStyle w:val="FootnoteText"/>
        <w:jc w:val="both"/>
        <w:rPr>
          <w:lang w:val="de-DE"/>
        </w:rPr>
      </w:pPr>
      <w:r w:rsidRPr="00F07920">
        <w:rPr>
          <w:rStyle w:val="FootnoteReference"/>
        </w:rPr>
        <w:footnoteRef/>
      </w:r>
      <w:r w:rsidRPr="00DE73E3">
        <w:rPr>
          <w:lang w:val="de-DE"/>
        </w:rPr>
        <w:t xml:space="preserve"> Gramm, J. (2017). Palliativversorgung. Nervenheilkunde, 36(12), 993–996. </w:t>
      </w:r>
      <w:hyperlink r:id="rId161" w:history="1">
        <w:r w:rsidRPr="00DE73E3">
          <w:rPr>
            <w:rStyle w:val="Hyperlink"/>
            <w:lang w:val="de-DE"/>
          </w:rPr>
          <w:t>https://doi.org/10.1055/s-0038-1636952</w:t>
        </w:r>
      </w:hyperlink>
    </w:p>
  </w:footnote>
  <w:footnote w:id="191">
    <w:p w14:paraId="565424C0" w14:textId="55384C2C" w:rsidR="00293B92" w:rsidRPr="00293B92" w:rsidRDefault="00293B92" w:rsidP="00B365CF">
      <w:pPr>
        <w:pStyle w:val="FootnoteText"/>
        <w:jc w:val="both"/>
        <w:rPr>
          <w:lang w:val="en-US"/>
        </w:rPr>
      </w:pPr>
      <w:r w:rsidRPr="00F07920">
        <w:rPr>
          <w:rStyle w:val="FootnoteReference"/>
        </w:rPr>
        <w:footnoteRef/>
      </w:r>
      <w:r w:rsidRPr="00DE73E3">
        <w:rPr>
          <w:lang w:val="de-DE"/>
        </w:rPr>
        <w:t xml:space="preserve"> Raijmakers, N. J., van der Heide, A., Kouwenhoven, P. S., van Thiel, G. J., van Delden, J. J., &amp; Rietjens, J. A. (2015). </w:t>
      </w:r>
      <w:r w:rsidRPr="00293B92">
        <w:rPr>
          <w:lang w:val="en-US"/>
        </w:rPr>
        <w:t xml:space="preserve">Assistance in dying for older people without a serious medical condition who have a wish to die: A national cross-sectional survey. Journal of Medical Ethics, 41(2), 145–150. </w:t>
      </w:r>
      <w:hyperlink r:id="rId162" w:history="1">
        <w:r w:rsidRPr="00293B92">
          <w:rPr>
            <w:rStyle w:val="Hyperlink"/>
            <w:lang w:val="en-US"/>
          </w:rPr>
          <w:t>https://jme.bmj.com/content/41/2/145.short</w:t>
        </w:r>
      </w:hyperlink>
    </w:p>
  </w:footnote>
  <w:footnote w:id="192">
    <w:p w14:paraId="7512B3BC" w14:textId="76E4B324"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Smets, T., Cohen, J., Bilsen, J., Van Wesemael, Y., Rurup, M. L., &amp; Deliens, L. (2012). The labelling and reporting of euthanasia by Belgian physicians: A study of hypothetical cases. The European Journal of Public Health, 22(1), 19–26. </w:t>
      </w:r>
      <w:hyperlink r:id="rId163" w:history="1">
        <w:r w:rsidRPr="00293B92">
          <w:rPr>
            <w:rStyle w:val="Hyperlink"/>
            <w:lang w:val="en-US"/>
          </w:rPr>
          <w:t>https://academic.oup.com/eurpub/article-abstract/22/1/19/485407</w:t>
        </w:r>
      </w:hyperlink>
    </w:p>
  </w:footnote>
  <w:footnote w:id="193">
    <w:p w14:paraId="69863944" w14:textId="381E6311"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Sercu, M., Pype, P., Christiaens, T., Grypdonck, M., Derese, A., &amp; Deveugele, M. (2012). Are general practitioners prepared to end life on request in a country where euthanasia is legalised? Journal of Medical Ethics, 38(5), 274–280. </w:t>
      </w:r>
      <w:hyperlink r:id="rId164" w:history="1">
        <w:r w:rsidRPr="00293B92">
          <w:rPr>
            <w:rStyle w:val="Hyperlink"/>
            <w:lang w:val="en-US"/>
          </w:rPr>
          <w:t>https://jme.bmj.com/content/38/5/274.short</w:t>
        </w:r>
      </w:hyperlink>
    </w:p>
  </w:footnote>
  <w:footnote w:id="194">
    <w:p w14:paraId="5D4FDD36" w14:textId="35314599" w:rsidR="00293B92" w:rsidRPr="00293B92" w:rsidRDefault="00293B92" w:rsidP="00B365CF">
      <w:pPr>
        <w:pStyle w:val="FootnoteText"/>
        <w:jc w:val="both"/>
        <w:rPr>
          <w:lang w:val="en-US"/>
        </w:rPr>
      </w:pPr>
      <w:r w:rsidRPr="00F07920">
        <w:rPr>
          <w:rStyle w:val="FootnoteReference"/>
        </w:rPr>
        <w:footnoteRef/>
      </w:r>
      <w:r w:rsidRPr="00791D87">
        <w:rPr>
          <w:lang w:val="en-US"/>
        </w:rPr>
        <w:t xml:space="preserve"> Verhofstadt, M., Van Assche, K., Pardon, K., Gleydura, M., Titeca, K., &amp; Chambaere, K. (2024). </w:t>
      </w:r>
      <w:r w:rsidRPr="00293B92">
        <w:rPr>
          <w:lang w:val="en-US"/>
        </w:rPr>
        <w:t xml:space="preserve">Perspectives on the eligibility criteria for euthanasia for mental suffering caused by psychiatric disorder under the Belgian Euthanasia Law: A qualitative interview study among mental healthcare workers. International Journal of Law and Psychiatry, 93, 101961. </w:t>
      </w:r>
      <w:hyperlink r:id="rId165" w:history="1">
        <w:r w:rsidRPr="00293B92">
          <w:rPr>
            <w:rStyle w:val="Hyperlink"/>
            <w:lang w:val="en-US"/>
          </w:rPr>
          <w:t>https://www.sciencedirect.com/science/article/pii/S0160252724000104</w:t>
        </w:r>
      </w:hyperlink>
    </w:p>
  </w:footnote>
  <w:footnote w:id="195">
    <w:p w14:paraId="5BE655F4" w14:textId="06D69DD9"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De Hert, M., Thys, E., Catthoor, K., Van den Broeck, K., Matthys, F., Vansteelandt, K., &amp; Detraux, J. (2023). Media coverage of Belgium’s first criminal case concerning euthanasia for psychiatric patients: A content analysis of Flemish newspapers and magazines. Frontiers in Psychiatry, 13, 1050086. </w:t>
      </w:r>
      <w:hyperlink r:id="rId166" w:history="1">
        <w:r w:rsidRPr="00293B92">
          <w:rPr>
            <w:rStyle w:val="Hyperlink"/>
            <w:lang w:val="en-US"/>
          </w:rPr>
          <w:t>https://www.frontiersin.org/articles/10.3389/fpsyt.2022.1050086/full</w:t>
        </w:r>
      </w:hyperlink>
    </w:p>
  </w:footnote>
  <w:footnote w:id="196">
    <w:p w14:paraId="2E7C5CB7" w14:textId="25A36A6E"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Genicot, G. (2025). The conditional decriminalisation of euthanasia, a remarkable feature of Belgian law. Ethics, Medicine and Public Health, 33, 101054. </w:t>
      </w:r>
      <w:hyperlink r:id="rId167" w:history="1">
        <w:r w:rsidRPr="00293B92">
          <w:rPr>
            <w:rStyle w:val="Hyperlink"/>
            <w:lang w:val="en-US"/>
          </w:rPr>
          <w:t>https://www.sciencedirect.com/science/article/pii/S2352552525000131</w:t>
        </w:r>
      </w:hyperlink>
    </w:p>
  </w:footnote>
  <w:footnote w:id="197">
    <w:p w14:paraId="73FDA19C" w14:textId="0311526E" w:rsidR="00293B92" w:rsidRPr="004646AE" w:rsidRDefault="00293B92" w:rsidP="00B365CF">
      <w:pPr>
        <w:pStyle w:val="FootnoteText"/>
        <w:jc w:val="both"/>
        <w:rPr>
          <w:lang w:val="en-GB"/>
        </w:rPr>
      </w:pPr>
      <w:r w:rsidRPr="00F07920">
        <w:rPr>
          <w:rStyle w:val="FootnoteReference"/>
        </w:rPr>
        <w:footnoteRef/>
      </w:r>
      <w:r w:rsidRPr="00293B92">
        <w:rPr>
          <w:lang w:val="en-US"/>
        </w:rPr>
        <w:t xml:space="preserve"> Nutte, N. D. (2022). In the Face of Death. </w:t>
      </w:r>
      <w:hyperlink r:id="rId168" w:history="1">
        <w:r w:rsidRPr="004646AE">
          <w:rPr>
            <w:rStyle w:val="Hyperlink"/>
            <w:lang w:val="en-GB"/>
          </w:rPr>
          <w:t>https://doi.org/10.1163/25892525-bja10030</w:t>
        </w:r>
      </w:hyperlink>
    </w:p>
  </w:footnote>
  <w:footnote w:id="198">
    <w:p w14:paraId="642DC24C" w14:textId="10F01ED3" w:rsidR="00293B92" w:rsidRPr="00DE73E3" w:rsidRDefault="00293B92" w:rsidP="00B365CF">
      <w:pPr>
        <w:pStyle w:val="FootnoteText"/>
        <w:jc w:val="both"/>
        <w:rPr>
          <w:lang w:val="de-DE"/>
        </w:rPr>
      </w:pPr>
      <w:r w:rsidRPr="00F07920">
        <w:rPr>
          <w:rStyle w:val="FootnoteReference"/>
        </w:rPr>
        <w:footnoteRef/>
      </w:r>
      <w:r w:rsidRPr="004646AE">
        <w:rPr>
          <w:lang w:val="en-GB"/>
        </w:rPr>
        <w:t xml:space="preserve"> De Hert, M., Thys, E., Catthoor, K., Van den Broeck, K., Matthys, F., Vansteelandt, K., &amp; Detraux, J. (2023). </w:t>
      </w:r>
      <w:r w:rsidRPr="00293B92">
        <w:rPr>
          <w:lang w:val="en-US"/>
        </w:rPr>
        <w:t xml:space="preserve">Media coverage of Belgium’s first criminal case concerning euthanasia for psychiatric patients: A content analysis of Flemish newspapers and magazines. </w:t>
      </w:r>
      <w:r w:rsidRPr="00DE73E3">
        <w:rPr>
          <w:lang w:val="de-DE"/>
        </w:rPr>
        <w:t xml:space="preserve">Frontiers in Psychiatry, 13, 1050086. </w:t>
      </w:r>
      <w:hyperlink r:id="rId169" w:history="1">
        <w:r w:rsidRPr="00DE73E3">
          <w:rPr>
            <w:rStyle w:val="Hyperlink"/>
            <w:lang w:val="de-DE"/>
          </w:rPr>
          <w:t>https://www.frontiersin.org/articles/10.3389/fpsyt.2022.1050086/full</w:t>
        </w:r>
      </w:hyperlink>
    </w:p>
  </w:footnote>
  <w:footnote w:id="199">
    <w:p w14:paraId="4A83DBB7" w14:textId="2485F188" w:rsidR="00293B92" w:rsidRPr="00293B92" w:rsidRDefault="00293B92" w:rsidP="00B365CF">
      <w:pPr>
        <w:pStyle w:val="FootnoteText"/>
        <w:jc w:val="both"/>
        <w:rPr>
          <w:lang w:val="en-US"/>
        </w:rPr>
      </w:pPr>
      <w:r w:rsidRPr="00F07920">
        <w:rPr>
          <w:rStyle w:val="FootnoteReference"/>
        </w:rPr>
        <w:footnoteRef/>
      </w:r>
      <w:r w:rsidRPr="00DE73E3">
        <w:rPr>
          <w:lang w:val="de-DE"/>
        </w:rPr>
        <w:t xml:space="preserve"> Schweitser, F. (2025). </w:t>
      </w:r>
      <w:r w:rsidRPr="00293B92">
        <w:rPr>
          <w:lang w:val="en-US"/>
        </w:rPr>
        <w:t xml:space="preserve">Exploring the role of kinship involvement in euthanasia procedures: A case study of euthanasia in patients with psychiatric disorders in Belgium. Clinical Ethics, 20(1), 4–10. </w:t>
      </w:r>
      <w:hyperlink r:id="rId170" w:history="1">
        <w:r w:rsidRPr="00293B92">
          <w:rPr>
            <w:rStyle w:val="Hyperlink"/>
            <w:lang w:val="en-US"/>
          </w:rPr>
          <w:t>https://doi.org/10.1177/14777509241283314</w:t>
        </w:r>
      </w:hyperlink>
    </w:p>
  </w:footnote>
  <w:footnote w:id="200">
    <w:p w14:paraId="3F90C9DB" w14:textId="7B7BA22C"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Kimsma, G. K. (2010). Death by request in The Netherlands: Facts, the legal context and effects on physicians, patients and families. Medicine, Health Care and Philosophy, 13(4), 355–361. </w:t>
      </w:r>
      <w:hyperlink r:id="rId171" w:history="1">
        <w:r w:rsidRPr="00293B92">
          <w:rPr>
            <w:rStyle w:val="Hyperlink"/>
            <w:lang w:val="en-US"/>
          </w:rPr>
          <w:t>https://doi.org/10.1007/s11019-010-9265-0</w:t>
        </w:r>
      </w:hyperlink>
    </w:p>
  </w:footnote>
  <w:footnote w:id="201">
    <w:p w14:paraId="309CB040" w14:textId="72548E6C"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Rietjens, J. A., Raijmakers, N. J., Kouwenhoven, P. S., Seale, C., Van Thiel, G. J., Trappenburg, M., Van Delden, J. J., &amp; Van Der Heide, A. (2013). News media coverage of euthanasia: A content analysis of Dutch national newspapers. BMC Medical Ethics, 14(1), 11. </w:t>
      </w:r>
      <w:hyperlink r:id="rId172" w:history="1">
        <w:r w:rsidRPr="00293B92">
          <w:rPr>
            <w:rStyle w:val="Hyperlink"/>
            <w:lang w:val="en-US"/>
          </w:rPr>
          <w:t>https://doi.org/10.1186/1472-6939-14-11</w:t>
        </w:r>
      </w:hyperlink>
    </w:p>
  </w:footnote>
  <w:footnote w:id="202">
    <w:p w14:paraId="06224AFD" w14:textId="3EF2A5B6"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Riou, F., Aubry, R., Pontone, S., &amp; Pennec, S. (2015). When physicians report having used medical drugs to deliberately end a patient’s life: Findings of the “End-of-Life in France” survey. Journal of Pain and Symptom Management, 50(2), 208–215. </w:t>
      </w:r>
      <w:hyperlink r:id="rId173" w:history="1">
        <w:r w:rsidRPr="00293B92">
          <w:rPr>
            <w:rStyle w:val="Hyperlink"/>
            <w:lang w:val="en-US"/>
          </w:rPr>
          <w:t>https://www.sciencedirect.com/science/article/pii/S088539241500158X</w:t>
        </w:r>
      </w:hyperlink>
    </w:p>
  </w:footnote>
  <w:footnote w:id="203">
    <w:p w14:paraId="6CA3872D" w14:textId="11D17616"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Chambaere, K., Rietjens, J. A. C., Smets, T., Bilsen, J., Deschepper, R., Pasman, H. R. W., &amp; Deliens, L. (2012). Age-based disparities in end-of-life decisions in Belgium: A population-based death certificate survey. BMC Public Health, 12(1), 447. </w:t>
      </w:r>
      <w:hyperlink r:id="rId174" w:history="1">
        <w:r w:rsidRPr="00293B92">
          <w:rPr>
            <w:rStyle w:val="Hyperlink"/>
            <w:lang w:val="en-US"/>
          </w:rPr>
          <w:t>https://doi.org/10.1186/1471-2458-12-447</w:t>
        </w:r>
      </w:hyperlink>
      <w:r w:rsidRPr="00293B92">
        <w:rPr>
          <w:lang w:val="en-US"/>
        </w:rPr>
        <w:t xml:space="preserve">; Chambaere, K., Bilsen, J., Cohen, J., Onwuteaka-Philipsen, B. D., Mortier, F., &amp; Deliens, L. (2010). Physician-assisted deaths under the euthanasia law in Belgium: A population-based survey. CMAJ, 182(9), 895–901. </w:t>
      </w:r>
      <w:hyperlink r:id="rId175" w:history="1">
        <w:r w:rsidRPr="00293B92">
          <w:rPr>
            <w:rStyle w:val="Hyperlink"/>
            <w:lang w:val="en-US"/>
          </w:rPr>
          <w:t>https://www.cmaj.ca/content/182/9/895.short</w:t>
        </w:r>
      </w:hyperlink>
      <w:r w:rsidRPr="00293B92">
        <w:rPr>
          <w:lang w:val="en-US"/>
        </w:rPr>
        <w:t xml:space="preserve"> ; Chambaere, K., Bilsen, J., Cohen, J., Onwuteaka-Philipsen, B. D., Mortier, F., &amp; Deliens, L. (2011). Trends in Medical End-of-Life Decision Making in Flanders, Belgium 1998–2001–2007. Medical Decision Making, 31(3). </w:t>
      </w:r>
      <w:hyperlink r:id="rId176" w:history="1">
        <w:r w:rsidRPr="00293B92">
          <w:rPr>
            <w:rStyle w:val="Hyperlink"/>
            <w:lang w:val="en-US"/>
          </w:rPr>
          <w:t>https://doi.org/10.1177/0272989X10392379</w:t>
        </w:r>
      </w:hyperlink>
    </w:p>
  </w:footnote>
  <w:footnote w:id="204">
    <w:p w14:paraId="527EAD7F" w14:textId="77777777" w:rsidR="00820DF8" w:rsidRPr="007C7BEB" w:rsidRDefault="00820DF8" w:rsidP="00820DF8">
      <w:pPr>
        <w:pStyle w:val="FootnoteText"/>
        <w:jc w:val="both"/>
        <w:rPr>
          <w:lang w:val="fr-FR"/>
        </w:rPr>
      </w:pPr>
      <w:r w:rsidRPr="007C7BEB">
        <w:rPr>
          <w:rStyle w:val="FootnoteReference"/>
        </w:rPr>
        <w:footnoteRef/>
      </w:r>
      <w:r w:rsidRPr="00D53805">
        <w:rPr>
          <w:lang w:val="en-GB"/>
        </w:rPr>
        <w:t xml:space="preserve"> Basile, G., &amp; De Nina, A. (2023). </w:t>
      </w:r>
      <w:r w:rsidRPr="00293B92">
        <w:rPr>
          <w:lang w:val="en-US"/>
        </w:rPr>
        <w:t xml:space="preserve">The core notion of euthanasia in its primordial beginnings. </w:t>
      </w:r>
      <w:r w:rsidRPr="007C7BEB">
        <w:rPr>
          <w:i/>
          <w:iCs/>
          <w:lang w:val="fr-FR"/>
        </w:rPr>
        <w:t>La Clinica Terapeutica</w:t>
      </w:r>
      <w:r w:rsidRPr="007C7BEB">
        <w:rPr>
          <w:lang w:val="fr-FR"/>
        </w:rPr>
        <w:t xml:space="preserve">, </w:t>
      </w:r>
      <w:r w:rsidRPr="007C7BEB">
        <w:rPr>
          <w:i/>
          <w:iCs/>
          <w:lang w:val="fr-FR"/>
        </w:rPr>
        <w:t>174</w:t>
      </w:r>
      <w:r w:rsidRPr="007C7BEB">
        <w:rPr>
          <w:lang w:val="fr-FR"/>
        </w:rPr>
        <w:t xml:space="preserve">(2). </w:t>
      </w:r>
      <w:hyperlink r:id="rId177" w:history="1">
        <w:r w:rsidRPr="007C7BEB">
          <w:rPr>
            <w:rStyle w:val="Hyperlink"/>
            <w:lang w:val="fr-FR"/>
          </w:rPr>
          <w:t>http://clinicaterapeutica.it/ojs/index.php/1/article/view/713</w:t>
        </w:r>
      </w:hyperlink>
    </w:p>
  </w:footnote>
  <w:footnote w:id="205">
    <w:p w14:paraId="60D2C910" w14:textId="77777777" w:rsidR="00820DF8" w:rsidRPr="002B600B" w:rsidRDefault="00820DF8" w:rsidP="00820DF8">
      <w:pPr>
        <w:pStyle w:val="FootnoteText"/>
        <w:jc w:val="both"/>
        <w:rPr>
          <w:lang w:val="fr-FR"/>
        </w:rPr>
      </w:pPr>
      <w:r w:rsidRPr="007C7BEB">
        <w:rPr>
          <w:rStyle w:val="FootnoteReference"/>
        </w:rPr>
        <w:footnoteRef/>
      </w:r>
      <w:r w:rsidRPr="007C7BEB">
        <w:rPr>
          <w:lang w:val="fr-FR"/>
        </w:rPr>
        <w:t xml:space="preserve"> Ali, M., &amp; Pagala, A. (2023). IMPLEMENTASI KAIDAH-KAIDAH FIKIH PADA HUKUM EUTHANASIA. </w:t>
      </w:r>
      <w:r w:rsidRPr="002B600B">
        <w:rPr>
          <w:lang w:val="fr-FR"/>
        </w:rPr>
        <w:t xml:space="preserve">Minhaj: Jurnal Ilmu Syariah, 4(1), 62–76. </w:t>
      </w:r>
      <w:hyperlink r:id="rId178" w:history="1">
        <w:r w:rsidRPr="002B600B">
          <w:rPr>
            <w:rStyle w:val="Hyperlink"/>
            <w:lang w:val="fr-FR"/>
          </w:rPr>
          <w:t>https://jurnal.iaibafa.ac.id/index.php/minhaj/article/view/minhaj_januari23_05</w:t>
        </w:r>
      </w:hyperlink>
    </w:p>
  </w:footnote>
  <w:footnote w:id="206">
    <w:p w14:paraId="1178422F" w14:textId="77777777" w:rsidR="00820DF8" w:rsidRPr="004646AE" w:rsidRDefault="00820DF8" w:rsidP="00820DF8">
      <w:pPr>
        <w:pStyle w:val="FootnoteText"/>
        <w:jc w:val="both"/>
        <w:rPr>
          <w:lang w:val="pl-PL"/>
        </w:rPr>
      </w:pPr>
      <w:r w:rsidRPr="007C7BEB">
        <w:rPr>
          <w:rStyle w:val="FootnoteReference"/>
        </w:rPr>
        <w:footnoteRef/>
      </w:r>
      <w:r w:rsidRPr="00B22CC8">
        <w:rPr>
          <w:lang w:val="fr-FR"/>
        </w:rPr>
        <w:t xml:space="preserve"> Čović, A. (2023). </w:t>
      </w:r>
      <w:r w:rsidRPr="00293B92">
        <w:rPr>
          <w:lang w:val="en-US"/>
        </w:rPr>
        <w:t xml:space="preserve">Euthanasia: The right to die between God’s will and the will of a man. </w:t>
      </w:r>
      <w:r w:rsidRPr="004646AE">
        <w:rPr>
          <w:lang w:val="pl-PL"/>
        </w:rPr>
        <w:t xml:space="preserve">Strani Pravni Život, 67(2), 229–250. </w:t>
      </w:r>
      <w:hyperlink r:id="rId179" w:history="1">
        <w:r w:rsidRPr="004646AE">
          <w:rPr>
            <w:rStyle w:val="Hyperlink"/>
            <w:lang w:val="pl-PL"/>
          </w:rPr>
          <w:t>https://www.ceeol.com/search/article-detail?id=1161716</w:t>
        </w:r>
      </w:hyperlink>
    </w:p>
  </w:footnote>
  <w:footnote w:id="207">
    <w:p w14:paraId="58A7C269" w14:textId="77777777" w:rsidR="00820DF8" w:rsidRPr="00293B92" w:rsidRDefault="00820DF8" w:rsidP="00820DF8">
      <w:pPr>
        <w:pStyle w:val="FootnoteText"/>
        <w:jc w:val="both"/>
        <w:rPr>
          <w:lang w:val="en-US"/>
        </w:rPr>
      </w:pPr>
      <w:r w:rsidRPr="007C7BEB">
        <w:rPr>
          <w:rStyle w:val="FootnoteReference"/>
        </w:rPr>
        <w:footnoteRef/>
      </w:r>
      <w:r w:rsidRPr="00293B92">
        <w:rPr>
          <w:lang w:val="en-US"/>
        </w:rPr>
        <w:t xml:space="preserve"> Dierickx, S., Deliens, L., Cohen, J., &amp; Chambaere, K. (2017). Euthanasia for people with psychiatric disorders or dementia in Belgium: Analysis of officially reported cases. </w:t>
      </w:r>
      <w:r w:rsidRPr="00ED3976">
        <w:rPr>
          <w:i/>
          <w:iCs/>
          <w:lang w:val="en-US"/>
        </w:rPr>
        <w:t>BMC Psychiatry</w:t>
      </w:r>
      <w:r w:rsidRPr="00ED3976">
        <w:rPr>
          <w:lang w:val="en-US"/>
        </w:rPr>
        <w:t xml:space="preserve">, </w:t>
      </w:r>
      <w:r w:rsidRPr="00ED3976">
        <w:rPr>
          <w:i/>
          <w:iCs/>
          <w:lang w:val="en-US"/>
        </w:rPr>
        <w:t>17</w:t>
      </w:r>
      <w:r w:rsidRPr="00ED3976">
        <w:rPr>
          <w:lang w:val="en-US"/>
        </w:rPr>
        <w:t xml:space="preserve">, 1–9. </w:t>
      </w:r>
      <w:hyperlink r:id="rId180" w:history="1">
        <w:r w:rsidRPr="00ED3976">
          <w:rPr>
            <w:rStyle w:val="Hyperlink"/>
            <w:lang w:val="en-US"/>
          </w:rPr>
          <w:t>https://link.springer.com/article/10.1186/s12888-017-1369-0</w:t>
        </w:r>
      </w:hyperlink>
      <w:r w:rsidRPr="00ED3976">
        <w:rPr>
          <w:lang w:val="en-US"/>
        </w:rPr>
        <w:t xml:space="preserve"> ; Onwuteaka-Philipsen, B. D., Brinkman-Stoppelenburg, A., Penning, C., de Jong-Krul, G. J., Van Delden, J. J., &amp; Van Der Heide, A. (2012). </w:t>
      </w:r>
      <w:r w:rsidRPr="00293B92">
        <w:rPr>
          <w:lang w:val="en-US"/>
        </w:rPr>
        <w:t xml:space="preserve">Trends in end-of-life practices before and after the enactment of the euthanasia law in the Netherlands from 1990 to 2010: A repeated cross-sectional survey. </w:t>
      </w:r>
      <w:r w:rsidRPr="00293B92">
        <w:rPr>
          <w:i/>
          <w:iCs/>
          <w:lang w:val="en-US"/>
        </w:rPr>
        <w:t>The Lancet</w:t>
      </w:r>
      <w:r w:rsidRPr="00293B92">
        <w:rPr>
          <w:lang w:val="en-US"/>
        </w:rPr>
        <w:t xml:space="preserve">, </w:t>
      </w:r>
      <w:r w:rsidRPr="00293B92">
        <w:rPr>
          <w:i/>
          <w:iCs/>
          <w:lang w:val="en-US"/>
        </w:rPr>
        <w:t>380</w:t>
      </w:r>
      <w:r w:rsidRPr="00293B92">
        <w:rPr>
          <w:lang w:val="en-US"/>
        </w:rPr>
        <w:t xml:space="preserve">(9845), 908–915. </w:t>
      </w:r>
      <w:hyperlink r:id="rId181" w:history="1">
        <w:r w:rsidRPr="00293B92">
          <w:rPr>
            <w:rStyle w:val="Hyperlink"/>
            <w:lang w:val="en-US"/>
          </w:rPr>
          <w:t>https://www.thelancet.com/journals/lancet/article/PIIS0140-6736(12)61034-4/abstract</w:t>
        </w:r>
      </w:hyperlink>
      <w:r w:rsidRPr="00293B92">
        <w:rPr>
          <w:lang w:val="en-US"/>
        </w:rPr>
        <w:t>.</w:t>
      </w:r>
    </w:p>
  </w:footnote>
  <w:footnote w:id="208">
    <w:p w14:paraId="36DA11C8" w14:textId="77777777" w:rsidR="00820DF8" w:rsidRPr="00DE73E3" w:rsidRDefault="00820DF8" w:rsidP="00820DF8">
      <w:pPr>
        <w:pStyle w:val="FootnoteText"/>
        <w:jc w:val="both"/>
        <w:rPr>
          <w:lang w:val="es-ES"/>
        </w:rPr>
      </w:pPr>
      <w:r w:rsidRPr="002103EB">
        <w:rPr>
          <w:rStyle w:val="FootnoteReference"/>
        </w:rPr>
        <w:footnoteRef/>
      </w:r>
      <w:r w:rsidRPr="00293B92">
        <w:rPr>
          <w:lang w:val="en-US"/>
        </w:rPr>
        <w:t xml:space="preserve"> Bernal, V., &amp; Trejo-Gabriel-Galan, J. M. (2021). Euthanasia laws in Spain and in the world: Medical aspects. </w:t>
      </w:r>
      <w:r w:rsidRPr="00DE73E3">
        <w:rPr>
          <w:lang w:val="es-ES"/>
        </w:rPr>
        <w:t xml:space="preserve">Atencion Primaria, 54(1), 102170–102170. </w:t>
      </w:r>
      <w:hyperlink r:id="rId182" w:history="1">
        <w:r w:rsidRPr="00DE73E3">
          <w:rPr>
            <w:rStyle w:val="Hyperlink"/>
            <w:lang w:val="es-ES"/>
          </w:rPr>
          <w:t>https://europepmc.org/article/med/34798415</w:t>
        </w:r>
      </w:hyperlink>
    </w:p>
  </w:footnote>
  <w:footnote w:id="209">
    <w:p w14:paraId="66E9051D" w14:textId="77777777" w:rsidR="00820DF8" w:rsidRPr="00293B92" w:rsidRDefault="00820DF8" w:rsidP="00820DF8">
      <w:pPr>
        <w:pStyle w:val="FootnoteText"/>
        <w:jc w:val="both"/>
        <w:rPr>
          <w:lang w:val="en-US"/>
        </w:rPr>
      </w:pPr>
      <w:r w:rsidRPr="00F43630">
        <w:rPr>
          <w:rStyle w:val="FootnoteReference"/>
        </w:rPr>
        <w:footnoteRef/>
      </w:r>
      <w:r w:rsidRPr="00DE73E3">
        <w:rPr>
          <w:lang w:val="es-ES"/>
        </w:rPr>
        <w:t xml:space="preserve"> Kadir, Y., Nurmala, L. D., &amp; Ismail, N. (2021). </w:t>
      </w:r>
      <w:r w:rsidRPr="00293B92">
        <w:rPr>
          <w:lang w:val="en-US"/>
        </w:rPr>
        <w:t xml:space="preserve">The Relevance of Legal Protection to Human Rights Related to Euthanasia Law in Indonesia. Jambura Law Review, 3(2), 319–335. </w:t>
      </w:r>
      <w:hyperlink r:id="rId183" w:history="1">
        <w:r w:rsidRPr="00293B92">
          <w:rPr>
            <w:rStyle w:val="Hyperlink"/>
            <w:lang w:val="en-US"/>
          </w:rPr>
          <w:t>https://ejurnal.ung.ac.id/index.php/jalrev/article/download/7111/3478</w:t>
        </w:r>
      </w:hyperlink>
    </w:p>
  </w:footnote>
  <w:footnote w:id="210">
    <w:p w14:paraId="1476131D" w14:textId="77777777" w:rsidR="00820DF8" w:rsidRPr="00820DF8" w:rsidRDefault="00820DF8" w:rsidP="00820DF8">
      <w:pPr>
        <w:pStyle w:val="FootnoteText"/>
        <w:jc w:val="both"/>
        <w:rPr>
          <w:lang w:val="de-DE"/>
        </w:rPr>
      </w:pPr>
      <w:r w:rsidRPr="00F43630">
        <w:rPr>
          <w:rStyle w:val="FootnoteReference"/>
        </w:rPr>
        <w:footnoteRef/>
      </w:r>
      <w:r w:rsidRPr="00293B92">
        <w:rPr>
          <w:lang w:val="en-US"/>
        </w:rPr>
        <w:t xml:space="preserve"> Kamri, A. (2024). Medical Action of Doctors with Euthanasy From the Perspective of Criminal Acts on Islamic Law: A Normative Review. MEDICAL ACTION OF DOCTORS WITH EUTHANASY FROM THE PERSPECTIVE OF CRIMINAL ACTS ON ISLAMIC LAW: A NORMATIVE REVIEW, 18(6), 1. </w:t>
      </w:r>
      <w:hyperlink r:id="rId184" w:history="1">
        <w:r w:rsidRPr="00820DF8">
          <w:rPr>
            <w:rStyle w:val="Hyperlink"/>
            <w:lang w:val="de-DE"/>
          </w:rPr>
          <w:t>https://repository.umi.ac.id/6269/</w:t>
        </w:r>
      </w:hyperlink>
    </w:p>
  </w:footnote>
  <w:footnote w:id="211">
    <w:p w14:paraId="5885BD30" w14:textId="2A6F8244" w:rsidR="00293B92" w:rsidRPr="00293B92" w:rsidRDefault="00293B92" w:rsidP="00B365CF">
      <w:pPr>
        <w:pStyle w:val="FootnoteText"/>
        <w:jc w:val="both"/>
        <w:rPr>
          <w:lang w:val="en-US"/>
        </w:rPr>
      </w:pPr>
      <w:r w:rsidRPr="00F07920">
        <w:rPr>
          <w:rStyle w:val="FootnoteReference"/>
        </w:rPr>
        <w:footnoteRef/>
      </w:r>
      <w:r w:rsidRPr="00820DF8">
        <w:rPr>
          <w:lang w:val="de-DE"/>
        </w:rPr>
        <w:t xml:space="preserve"> Smets, T., Bilsen, J., Van den Block, L., Cohen, J., Van Casteren, V., &amp; Deliens, L. (2010). </w:t>
      </w:r>
      <w:r w:rsidRPr="00293B92">
        <w:rPr>
          <w:lang w:val="en-US"/>
        </w:rPr>
        <w:t xml:space="preserve">Euthanasia in patients dying at home in Belgium: Interview study on adherence to legal safeguards. The British Journal of General Practice, 60(573), e163. </w:t>
      </w:r>
      <w:hyperlink r:id="rId185" w:history="1">
        <w:r w:rsidRPr="00293B92">
          <w:rPr>
            <w:rStyle w:val="Hyperlink"/>
            <w:lang w:val="en-US"/>
          </w:rPr>
          <w:t>https://pmc.ncbi.nlm.nih.gov/articles/PMC2845507/</w:t>
        </w:r>
      </w:hyperlink>
    </w:p>
  </w:footnote>
  <w:footnote w:id="212">
    <w:p w14:paraId="1DB7AD63" w14:textId="67A742D2" w:rsidR="00293B92" w:rsidRPr="00293B92" w:rsidRDefault="00293B92" w:rsidP="00B365CF">
      <w:pPr>
        <w:pStyle w:val="FootnoteText"/>
        <w:jc w:val="both"/>
        <w:rPr>
          <w:lang w:val="en-US"/>
        </w:rPr>
      </w:pPr>
      <w:r w:rsidRPr="00F07920">
        <w:rPr>
          <w:rStyle w:val="FootnoteReference"/>
        </w:rPr>
        <w:footnoteRef/>
      </w:r>
      <w:r w:rsidRPr="00DE73E3">
        <w:rPr>
          <w:lang w:val="da-DK"/>
        </w:rPr>
        <w:t xml:space="preserve"> Smets, T., Bilsen, J., Cohen, J., Rurup, M. L., &amp; Deliens, L. (2010). </w:t>
      </w:r>
      <w:r w:rsidRPr="00293B92">
        <w:rPr>
          <w:lang w:val="en-US"/>
        </w:rPr>
        <w:t xml:space="preserve">Legal euthanasia in Belgium: Characteristics of all reported euthanasia cases. Medical Care, 48(2), 187–192. </w:t>
      </w:r>
      <w:hyperlink r:id="rId186" w:history="1">
        <w:r w:rsidRPr="00293B92">
          <w:rPr>
            <w:rStyle w:val="Hyperlink"/>
            <w:lang w:val="en-US"/>
          </w:rPr>
          <w:t>https://journals.lww.com/lww-medicalcare/fulltext/2010/02000/The_Work_Limitations_Questionnaire.15.aspx</w:t>
        </w:r>
      </w:hyperlink>
    </w:p>
  </w:footnote>
  <w:footnote w:id="213">
    <w:p w14:paraId="2A83655D" w14:textId="2F861006" w:rsidR="00293B92" w:rsidRPr="00293B92" w:rsidRDefault="00293B92" w:rsidP="00B365CF">
      <w:pPr>
        <w:pStyle w:val="FootnoteText"/>
        <w:jc w:val="both"/>
        <w:rPr>
          <w:lang w:val="en-US"/>
        </w:rPr>
      </w:pPr>
      <w:r w:rsidRPr="00F07920">
        <w:rPr>
          <w:rStyle w:val="FootnoteReference"/>
        </w:rPr>
        <w:footnoteRef/>
      </w:r>
      <w:r w:rsidRPr="00DE73E3">
        <w:rPr>
          <w:lang w:val="es-ES"/>
        </w:rPr>
        <w:t xml:space="preserve"> </w:t>
      </w:r>
      <w:r w:rsidR="00B365CF" w:rsidRPr="00B365CF">
        <w:rPr>
          <w:lang w:val="es-ES"/>
        </w:rPr>
        <w:t xml:space="preserve">- </w:t>
      </w:r>
      <w:r w:rsidRPr="00DE73E3">
        <w:rPr>
          <w:lang w:val="es-ES"/>
        </w:rPr>
        <w:t xml:space="preserve">Van Humbeeck, L., Piers, R., De Bock, R., &amp; Van Den Noortgate, N. (2022). </w:t>
      </w:r>
      <w:r w:rsidRPr="00293B92">
        <w:rPr>
          <w:lang w:val="en-US"/>
        </w:rPr>
        <w:t xml:space="preserve">Flemish healthcare providers’ attitude towards tiredness of life and euthanasia: A survey study. Aging &amp; Mental Health, 26(1), 205–211. </w:t>
      </w:r>
      <w:hyperlink r:id="rId187" w:history="1">
        <w:r w:rsidRPr="00293B92">
          <w:rPr>
            <w:rStyle w:val="Hyperlink"/>
            <w:lang w:val="en-US"/>
          </w:rPr>
          <w:t>https://doi.org/10.1080/13607863.2020.1870205</w:t>
        </w:r>
      </w:hyperlink>
    </w:p>
  </w:footnote>
  <w:footnote w:id="214">
    <w:p w14:paraId="0DD475AF" w14:textId="053B234C" w:rsidR="00293B92" w:rsidRPr="00DE73E3" w:rsidRDefault="00293B92" w:rsidP="00B365CF">
      <w:pPr>
        <w:pStyle w:val="FootnoteText"/>
        <w:jc w:val="both"/>
        <w:rPr>
          <w:lang w:val="es-ES"/>
        </w:rPr>
      </w:pPr>
      <w:r w:rsidRPr="00F07920">
        <w:rPr>
          <w:rStyle w:val="FootnoteReference"/>
        </w:rPr>
        <w:footnoteRef/>
      </w:r>
      <w:r w:rsidRPr="00471553">
        <w:rPr>
          <w:lang w:val="en-US"/>
        </w:rPr>
        <w:t xml:space="preserve"> Altisent, R., Muñoz, P., Delgado-Marroquín, M. T., Alonso, A., Ferrer, S., &amp; Nabal, M. (2021). </w:t>
      </w:r>
      <w:r w:rsidRPr="00DE73E3">
        <w:rPr>
          <w:lang w:val="es-ES"/>
        </w:rPr>
        <w:t xml:space="preserve">Euthanasia: Is this the law we need?[Eutanasia:?` es esta la ley que necesitamos?]. </w:t>
      </w:r>
      <w:hyperlink r:id="rId188" w:history="1">
        <w:r w:rsidRPr="00DE73E3">
          <w:rPr>
            <w:rStyle w:val="Hyperlink"/>
            <w:lang w:val="es-ES"/>
          </w:rPr>
          <w:t>https://zaguan.unizar.es/record/151472</w:t>
        </w:r>
      </w:hyperlink>
    </w:p>
  </w:footnote>
  <w:footnote w:id="215">
    <w:p w14:paraId="2AB36655" w14:textId="6BAE249A" w:rsidR="00293B92" w:rsidRPr="00DE73E3" w:rsidRDefault="00293B92" w:rsidP="00B365CF">
      <w:pPr>
        <w:pStyle w:val="FootnoteText"/>
        <w:jc w:val="both"/>
        <w:rPr>
          <w:lang w:val="es-ES"/>
        </w:rPr>
      </w:pPr>
      <w:r w:rsidRPr="00F07920">
        <w:rPr>
          <w:rStyle w:val="FootnoteReference"/>
        </w:rPr>
        <w:footnoteRef/>
      </w:r>
      <w:r w:rsidRPr="00DE73E3">
        <w:rPr>
          <w:lang w:val="es-ES"/>
        </w:rPr>
        <w:t xml:space="preserve"> Paradela-López, M., &amp; Jima-González, A. (2023). </w:t>
      </w:r>
      <w:r w:rsidRPr="00293B92">
        <w:rPr>
          <w:lang w:val="en-US"/>
        </w:rPr>
        <w:t xml:space="preserve">Analyzing the Spanish Euthanasia Law: Achievements and inconsistencies of the legal assistance to die. </w:t>
      </w:r>
      <w:r w:rsidRPr="00DE73E3">
        <w:rPr>
          <w:lang w:val="es-ES"/>
        </w:rPr>
        <w:t>Rev. Bioetica &amp; Derecho, 58, 147. https://heinonline.org/hol-cgi-bin/get_pdf.cgi?handle=hein.journals/rebiod58&amp;section=11</w:t>
      </w:r>
    </w:p>
  </w:footnote>
  <w:footnote w:id="216">
    <w:p w14:paraId="3F69A7B7" w14:textId="2C5ACFCA" w:rsidR="00293B92" w:rsidRPr="00293B92" w:rsidRDefault="00293B92" w:rsidP="00B365CF">
      <w:pPr>
        <w:pStyle w:val="FootnoteText"/>
        <w:jc w:val="both"/>
        <w:rPr>
          <w:lang w:val="en-US"/>
        </w:rPr>
      </w:pPr>
      <w:r w:rsidRPr="00F07920">
        <w:rPr>
          <w:rStyle w:val="FootnoteReference"/>
        </w:rPr>
        <w:footnoteRef/>
      </w:r>
      <w:r w:rsidRPr="00DE73E3">
        <w:rPr>
          <w:lang w:val="es-ES"/>
        </w:rPr>
        <w:t xml:space="preserve"> Novoa-Jurado, A., &amp; Melguizo-Jiménez, M. (2021). </w:t>
      </w:r>
      <w:r w:rsidRPr="00293B92">
        <w:rPr>
          <w:lang w:val="en-US"/>
        </w:rPr>
        <w:t xml:space="preserve">Family Medicine in the face of the law on medical aid in dying responsibility and guarantees. Atencion Primaria, 53(5), 102058–102058. </w:t>
      </w:r>
      <w:hyperlink r:id="rId189" w:history="1">
        <w:r w:rsidRPr="00293B92">
          <w:rPr>
            <w:rStyle w:val="Hyperlink"/>
            <w:lang w:val="en-US"/>
          </w:rPr>
          <w:t>https://europepmc.org/article/med/33873137</w:t>
        </w:r>
      </w:hyperlink>
    </w:p>
  </w:footnote>
  <w:footnote w:id="217">
    <w:p w14:paraId="5353F357" w14:textId="7FA4B7AD"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Archer, M., Willmott, L., Chambaere, K., Deliens, L., &amp; White, B. P. (2025). Key challenges in providing assisted dying in Belgium: A qualitative analysis of health professionals’ experiences. Palliative Care and Social Practice, 19, 26323524251318044. </w:t>
      </w:r>
      <w:hyperlink r:id="rId190" w:history="1">
        <w:r w:rsidRPr="00293B92">
          <w:rPr>
            <w:rStyle w:val="Hyperlink"/>
            <w:lang w:val="en-US"/>
          </w:rPr>
          <w:t>https://doi.org/10.1177/26323524251318044</w:t>
        </w:r>
      </w:hyperlink>
    </w:p>
  </w:footnote>
  <w:footnote w:id="218">
    <w:p w14:paraId="56AB44F8" w14:textId="378FB66C" w:rsidR="00293B92" w:rsidRPr="00CD214F" w:rsidRDefault="00293B92" w:rsidP="00B365CF">
      <w:pPr>
        <w:pStyle w:val="FootnoteText"/>
        <w:jc w:val="both"/>
        <w:rPr>
          <w:lang w:val="es-ES"/>
        </w:rPr>
      </w:pPr>
      <w:r w:rsidRPr="00F07920">
        <w:rPr>
          <w:rStyle w:val="FootnoteReference"/>
        </w:rPr>
        <w:footnoteRef/>
      </w:r>
      <w:r w:rsidRPr="00293B92">
        <w:rPr>
          <w:lang w:val="en-US"/>
        </w:rPr>
        <w:t xml:space="preserve"> Willmott, L., White, B., Stackpoole, C., Purser, K., &amp; McGee, A. (2016). (Failed) voluntary euthanasia law reform in Australia: Two decades of trends, models and politics. </w:t>
      </w:r>
      <w:r w:rsidRPr="00CD214F">
        <w:rPr>
          <w:lang w:val="es-ES"/>
        </w:rPr>
        <w:t xml:space="preserve">UNSWLJ, 39, 1. </w:t>
      </w:r>
      <w:hyperlink r:id="rId191" w:history="1">
        <w:r w:rsidRPr="00CD214F">
          <w:rPr>
            <w:rStyle w:val="Hyperlink"/>
            <w:lang w:val="es-ES"/>
          </w:rPr>
          <w:t>https://heinonline.org/hol-cgi-bin/get_pdf.cgi?handle=hein.journals/swales39&amp;section=5</w:t>
        </w:r>
      </w:hyperlink>
    </w:p>
  </w:footnote>
  <w:footnote w:id="219">
    <w:p w14:paraId="0381BB4F" w14:textId="5CCEF3E4" w:rsidR="00293B92" w:rsidRPr="00F07920" w:rsidRDefault="00293B92" w:rsidP="00D2668D">
      <w:pPr>
        <w:pStyle w:val="FootnoteText"/>
        <w:jc w:val="both"/>
        <w:rPr>
          <w:lang w:val="fr-FR"/>
        </w:rPr>
      </w:pPr>
      <w:r w:rsidRPr="00F07920">
        <w:rPr>
          <w:rStyle w:val="FootnoteReference"/>
        </w:rPr>
        <w:footnoteRef/>
      </w:r>
      <w:r w:rsidRPr="00DE73E3">
        <w:rPr>
          <w:lang w:val="es-ES"/>
        </w:rPr>
        <w:t xml:space="preserve"> Munuera Gómez, P., Martínez López, J. Á., Bódalo Lozano, E., &amp; Guillamón Ayala, J. A. (2023). </w:t>
      </w:r>
      <w:r w:rsidRPr="00F07920">
        <w:rPr>
          <w:lang w:val="fr-FR"/>
        </w:rPr>
        <w:t xml:space="preserve">La intervención de los trabajadores sociales en el marco de la Ley de Eutanasia. Trabajo social global - Global Social Work: Revista de investigaciones en intervención social, 13, 22–44. </w:t>
      </w:r>
      <w:hyperlink r:id="rId192" w:history="1">
        <w:r w:rsidRPr="00F07920">
          <w:rPr>
            <w:rStyle w:val="Hyperlink"/>
            <w:lang w:val="fr-FR"/>
          </w:rPr>
          <w:t>https://dialnet.unirioja.es/servlet/articulo?codigo=9239552</w:t>
        </w:r>
      </w:hyperlink>
    </w:p>
  </w:footnote>
  <w:footnote w:id="220">
    <w:p w14:paraId="22FB77AE" w14:textId="5810EAA3" w:rsidR="00293B92" w:rsidRPr="00DE73E3" w:rsidRDefault="00293B92" w:rsidP="00D2668D">
      <w:pPr>
        <w:pStyle w:val="FootnoteText"/>
        <w:jc w:val="both"/>
        <w:rPr>
          <w:lang w:val="es-ES"/>
        </w:rPr>
      </w:pPr>
      <w:r w:rsidRPr="00F07920">
        <w:rPr>
          <w:rStyle w:val="FootnoteReference"/>
        </w:rPr>
        <w:footnoteRef/>
      </w:r>
      <w:r w:rsidRPr="007C2C8C">
        <w:rPr>
          <w:lang w:val="fr-FR"/>
        </w:rPr>
        <w:t xml:space="preserve"> Joseba García, M., &amp; Ignacia, P. (2023). </w:t>
      </w:r>
      <w:r w:rsidRPr="00293B92">
        <w:rPr>
          <w:lang w:val="en-US"/>
        </w:rPr>
        <w:t xml:space="preserve">CEIC - The Spanish Anti-rights Field in the Face of the Euthanasia Law. </w:t>
      </w:r>
      <w:r w:rsidRPr="00DE73E3">
        <w:rPr>
          <w:lang w:val="es-ES"/>
        </w:rPr>
        <w:t>Mobilizational Repertoire and Identity Work (2018-21) [El campo antiderechos español frente a la Ley de Eutanasia. Repertorio movilizacional y trabajo identitario (2018-21)]. Revista Internacional de Sociología.</w:t>
      </w:r>
    </w:p>
  </w:footnote>
  <w:footnote w:id="221">
    <w:p w14:paraId="242B079C" w14:textId="2FD01739" w:rsidR="00293B92" w:rsidRPr="00293B92" w:rsidRDefault="00293B92" w:rsidP="00D2668D">
      <w:pPr>
        <w:pStyle w:val="FootnoteText"/>
        <w:jc w:val="both"/>
        <w:rPr>
          <w:lang w:val="en-US"/>
        </w:rPr>
      </w:pPr>
      <w:r w:rsidRPr="00F07920">
        <w:rPr>
          <w:rStyle w:val="FootnoteReference"/>
        </w:rPr>
        <w:footnoteRef/>
      </w:r>
      <w:r w:rsidRPr="00DE73E3">
        <w:rPr>
          <w:lang w:val="es-ES"/>
        </w:rPr>
        <w:t xml:space="preserve"> Verdaguer, M., Beroiz-Groh, P., Busquet-Duran, X., Moreno-Gabriel, E., Arreciado Marañón, A., Feijoo-Cid, M., Domènech, M., Íñiguez-Rueda, L., Vallès-Peris, N., Cantarell-Barella, G., &amp; Toran-Monserrat, P. (2024). </w:t>
      </w:r>
      <w:r w:rsidRPr="00293B92">
        <w:rPr>
          <w:lang w:val="en-US"/>
        </w:rPr>
        <w:t xml:space="preserve">[The euthanasia law and professional experiences: Tensions in clinical practice]. Gaceta Sanitaria, 38, 102373. </w:t>
      </w:r>
      <w:hyperlink r:id="rId193" w:history="1">
        <w:r w:rsidRPr="00293B92">
          <w:rPr>
            <w:rStyle w:val="Hyperlink"/>
            <w:lang w:val="en-US"/>
          </w:rPr>
          <w:t>https://doi.org/10.1016/j.gaceta.2024.102373</w:t>
        </w:r>
      </w:hyperlink>
    </w:p>
  </w:footnote>
  <w:footnote w:id="222">
    <w:p w14:paraId="21CFA465" w14:textId="54911277" w:rsidR="00293B92" w:rsidRPr="00293B92" w:rsidRDefault="00293B92" w:rsidP="00D2668D">
      <w:pPr>
        <w:pStyle w:val="FootnoteText"/>
        <w:jc w:val="both"/>
        <w:rPr>
          <w:lang w:val="en-US"/>
        </w:rPr>
      </w:pPr>
      <w:r w:rsidRPr="00F07920">
        <w:rPr>
          <w:rStyle w:val="FootnoteReference"/>
        </w:rPr>
        <w:footnoteRef/>
      </w:r>
      <w:r w:rsidRPr="00293B92">
        <w:rPr>
          <w:lang w:val="en-US"/>
        </w:rPr>
        <w:t xml:space="preserve"> Snijdewind, M. C., van Tol, D. G., Onwuteaka-Philipsen, B. D., &amp; Willems, D. L. (2018). Developments in the practice of physician-assisted dying: Perceptions of physicians who had experience with complex cases. Journal of Medical Ethics, 44(5), 292–296. </w:t>
      </w:r>
      <w:hyperlink r:id="rId194" w:history="1">
        <w:r w:rsidRPr="00293B92">
          <w:rPr>
            <w:rStyle w:val="Hyperlink"/>
            <w:lang w:val="en-US"/>
          </w:rPr>
          <w:t>https://doi.org/10.1136/medethics-2016-103405</w:t>
        </w:r>
      </w:hyperlink>
    </w:p>
  </w:footnote>
  <w:footnote w:id="223">
    <w:p w14:paraId="35E27D6D" w14:textId="79CD2851" w:rsidR="00293B92" w:rsidRPr="00293B92" w:rsidRDefault="00293B92" w:rsidP="00D2668D">
      <w:pPr>
        <w:pStyle w:val="FootnoteText"/>
        <w:jc w:val="both"/>
        <w:rPr>
          <w:lang w:val="en-US"/>
        </w:rPr>
      </w:pPr>
      <w:r w:rsidRPr="00F07920">
        <w:rPr>
          <w:rStyle w:val="FootnoteReference"/>
        </w:rPr>
        <w:footnoteRef/>
      </w:r>
      <w:r w:rsidRPr="00293B92">
        <w:rPr>
          <w:lang w:val="en-US"/>
        </w:rPr>
        <w:t xml:space="preserve"> Buijsen, M. (2016). Communicating Concerns: Reviewing the Review Procedure in Dutch Euthanasia Law. Cambridge Quarterly of Healthcare Ethics, 25(3), 395–403. </w:t>
      </w:r>
      <w:hyperlink r:id="rId195" w:history="1">
        <w:r w:rsidRPr="00293B92">
          <w:rPr>
            <w:rStyle w:val="Hyperlink"/>
            <w:lang w:val="en-US"/>
          </w:rPr>
          <w:t>https://www.cambridge.org/core/journals/cambridge-quarterly-of-healthcare-ethics/article/communicating-concerns/5B8D23A699D5519D431EFED7FE342B53</w:t>
        </w:r>
      </w:hyperlink>
    </w:p>
  </w:footnote>
  <w:footnote w:id="224">
    <w:p w14:paraId="4CF2840E" w14:textId="2F6AE391" w:rsidR="00293B92" w:rsidRPr="00293B92" w:rsidRDefault="00293B92" w:rsidP="00D2668D">
      <w:pPr>
        <w:pStyle w:val="FootnoteText"/>
        <w:jc w:val="both"/>
        <w:rPr>
          <w:lang w:val="en-US"/>
        </w:rPr>
      </w:pPr>
      <w:r w:rsidRPr="00F07920">
        <w:rPr>
          <w:rStyle w:val="FootnoteReference"/>
        </w:rPr>
        <w:footnoteRef/>
      </w:r>
      <w:r w:rsidRPr="004646AE">
        <w:rPr>
          <w:lang w:val="pl-PL"/>
        </w:rPr>
        <w:t xml:space="preserve"> Leppert, W., Gottwald, L., Majkowicz, M., Kazmierczak-Lukaszewicz, S., Forycka, M., Cialkowska-Rysz, A., &amp; Kotlinska-Lemieszek, A. (2013). </w:t>
      </w:r>
      <w:r w:rsidRPr="00293B92">
        <w:rPr>
          <w:lang w:val="en-US"/>
        </w:rPr>
        <w:t xml:space="preserve">A Comparison of Attitudes Toward Euthanasia Among Medical Students at Two Polish Universities. Journal of Cancer Education, 28(2), 384–391. </w:t>
      </w:r>
      <w:hyperlink r:id="rId196" w:history="1">
        <w:r w:rsidRPr="00293B92">
          <w:rPr>
            <w:rStyle w:val="Hyperlink"/>
            <w:lang w:val="en-US"/>
          </w:rPr>
          <w:t>https://doi.org/10.1007/s13187-012-0414-4</w:t>
        </w:r>
      </w:hyperlink>
    </w:p>
  </w:footnote>
  <w:footnote w:id="225">
    <w:p w14:paraId="0EC0F58A" w14:textId="4747E3E2" w:rsidR="00293B92" w:rsidRPr="00293B92" w:rsidRDefault="00293B92" w:rsidP="00D2668D">
      <w:pPr>
        <w:pStyle w:val="FootnoteText"/>
        <w:jc w:val="both"/>
        <w:rPr>
          <w:lang w:val="en-US"/>
        </w:rPr>
      </w:pPr>
      <w:r w:rsidRPr="00F07920">
        <w:rPr>
          <w:rStyle w:val="FootnoteReference"/>
        </w:rPr>
        <w:footnoteRef/>
      </w:r>
      <w:r w:rsidRPr="00791D87">
        <w:rPr>
          <w:lang w:val="en-US"/>
        </w:rPr>
        <w:t xml:space="preserve"> Terkamo-Moisio, A., Gastmans, C., Ryynänen, O.-P., &amp; Pietilä, A.-M. (2019). </w:t>
      </w:r>
      <w:r w:rsidRPr="00293B92">
        <w:rPr>
          <w:lang w:val="en-US"/>
        </w:rPr>
        <w:t xml:space="preserve">Finnish nurses’ attitudes towards their role in the euthanasia process. Nursing Ethics, 26(3), 700–714. </w:t>
      </w:r>
      <w:hyperlink r:id="rId197" w:history="1">
        <w:r w:rsidRPr="00293B92">
          <w:rPr>
            <w:rStyle w:val="Hyperlink"/>
            <w:lang w:val="en-US"/>
          </w:rPr>
          <w:t>https://doi.org/10.1177/0969733017720850</w:t>
        </w:r>
      </w:hyperlink>
    </w:p>
  </w:footnote>
  <w:footnote w:id="226">
    <w:p w14:paraId="1B986A8E" w14:textId="2E56F6DC" w:rsidR="00293B92" w:rsidRPr="00293B92" w:rsidRDefault="00293B92" w:rsidP="00D2668D">
      <w:pPr>
        <w:pStyle w:val="FootnoteText"/>
        <w:jc w:val="both"/>
        <w:rPr>
          <w:lang w:val="en-US"/>
        </w:rPr>
      </w:pPr>
      <w:r w:rsidRPr="00F07920">
        <w:rPr>
          <w:rStyle w:val="FootnoteReference"/>
        </w:rPr>
        <w:footnoteRef/>
      </w:r>
      <w:r w:rsidRPr="00293B92">
        <w:rPr>
          <w:lang w:val="en-US"/>
        </w:rPr>
        <w:t xml:space="preserve"> Woods, M., &amp; Rook, H. (2022). Exploring hospice Nurses’ viewpoints on end-of-life practices and assisted dying: A thematic analysis. Journal of Hospice &amp; Palliative Nursing, 24(4), E117–E125. </w:t>
      </w:r>
      <w:hyperlink r:id="rId198" w:history="1">
        <w:r w:rsidRPr="00293B92">
          <w:rPr>
            <w:rStyle w:val="Hyperlink"/>
            <w:lang w:val="en-US"/>
          </w:rPr>
          <w:t>https://journals.lww.com/jhpn/fulltext/2022/08000/Exploring_Hospice_Nurses__Viewpoints_on.8.aspx</w:t>
        </w:r>
      </w:hyperlink>
    </w:p>
  </w:footnote>
  <w:footnote w:id="227">
    <w:p w14:paraId="69E9B043" w14:textId="77777777" w:rsidR="00820DF8" w:rsidRPr="00293B92" w:rsidRDefault="00820DF8" w:rsidP="00820DF8">
      <w:pPr>
        <w:pStyle w:val="FootnoteText"/>
        <w:jc w:val="both"/>
        <w:rPr>
          <w:lang w:val="en-US"/>
        </w:rPr>
      </w:pPr>
      <w:r w:rsidRPr="00F43630">
        <w:rPr>
          <w:rStyle w:val="FootnoteReference"/>
        </w:rPr>
        <w:footnoteRef/>
      </w:r>
      <w:r w:rsidRPr="00ED3976">
        <w:rPr>
          <w:lang w:val="en-GB"/>
        </w:rPr>
        <w:t xml:space="preserve"> Pousset, G., Mortier, F., Bilsen, J., Cohen, J., &amp; Deliens, L. (2011). </w:t>
      </w:r>
      <w:r w:rsidRPr="00293B92">
        <w:rPr>
          <w:lang w:val="en-US"/>
        </w:rPr>
        <w:t xml:space="preserve">Attitudes and practices of physicians regarding physician-assisted dying in minors. Archives of Disease in Childhood, 96(10), 948–953. </w:t>
      </w:r>
      <w:hyperlink r:id="rId199" w:history="1">
        <w:r w:rsidRPr="006D1376">
          <w:rPr>
            <w:rStyle w:val="Hyperlink"/>
            <w:lang w:val="en-US"/>
          </w:rPr>
          <w:t>https://adc.bmj.com/content/96/10/948</w:t>
        </w:r>
      </w:hyperlink>
      <w:r w:rsidRPr="00293B92">
        <w:rPr>
          <w:lang w:val="en-US"/>
        </w:rPr>
        <w:t xml:space="preserve">; Raus, K. (2016). The Extension of Belgium’s Euthanasia Law to Include Competent Minors. Journal of Bioethical Inquiry, 13(2), 305–315. </w:t>
      </w:r>
      <w:hyperlink r:id="rId200" w:history="1">
        <w:r w:rsidRPr="00293B92">
          <w:rPr>
            <w:rStyle w:val="Hyperlink"/>
            <w:lang w:val="en-US"/>
          </w:rPr>
          <w:t>https://doi.org/10.1007/s11673-016-9705-5</w:t>
        </w:r>
      </w:hyperlink>
    </w:p>
  </w:footnote>
  <w:footnote w:id="228">
    <w:p w14:paraId="451BE078" w14:textId="77777777" w:rsidR="00820DF8" w:rsidRPr="00293B92" w:rsidRDefault="00820DF8" w:rsidP="00820DF8">
      <w:pPr>
        <w:pStyle w:val="FootnoteText"/>
        <w:jc w:val="both"/>
        <w:rPr>
          <w:lang w:val="en-US"/>
        </w:rPr>
      </w:pPr>
      <w:r w:rsidRPr="00F43630">
        <w:rPr>
          <w:rStyle w:val="FootnoteReference"/>
        </w:rPr>
        <w:footnoteRef/>
      </w:r>
      <w:r w:rsidRPr="00293B92">
        <w:rPr>
          <w:lang w:val="en-US"/>
        </w:rPr>
        <w:t xml:space="preserve"> Cleemput, J., &amp; Schoenmakers, B. (2019). Euthanasia in the case of dementia: A survey among Flemish GPs. </w:t>
      </w:r>
      <w:r w:rsidRPr="00DE73E3">
        <w:rPr>
          <w:lang w:val="sv-SE"/>
        </w:rPr>
        <w:t xml:space="preserve">BJGP Open, 3(4). </w:t>
      </w:r>
      <w:hyperlink r:id="rId201" w:history="1">
        <w:r w:rsidRPr="00DE73E3">
          <w:rPr>
            <w:rStyle w:val="Hyperlink"/>
            <w:lang w:val="sv-SE"/>
          </w:rPr>
          <w:t>https://bjgpopen.org/content/3/4/bjgpopen19X101677.abstract</w:t>
        </w:r>
      </w:hyperlink>
      <w:r w:rsidRPr="00DE73E3">
        <w:rPr>
          <w:lang w:val="sv-SE"/>
        </w:rPr>
        <w:t xml:space="preserve">; Van Rickstal, R., De Vleminck, A., Chambaere, K., &amp; Van den Block, L. (2023). </w:t>
      </w:r>
      <w:r w:rsidRPr="00293B92">
        <w:rPr>
          <w:lang w:val="en-US"/>
        </w:rPr>
        <w:t xml:space="preserve">People with young-onset dementia and their family caregivers discussing euthanasia: A qualitative analysis of their considerations. Patient Education and Counseling, 115, 107882. </w:t>
      </w:r>
      <w:hyperlink r:id="rId202" w:history="1">
        <w:r w:rsidRPr="00293B92">
          <w:rPr>
            <w:rStyle w:val="Hyperlink"/>
            <w:lang w:val="en-US"/>
          </w:rPr>
          <w:t>https://www.sciencedirect.com/science/article/pii/S0738399123002628</w:t>
        </w:r>
      </w:hyperlink>
      <w:r w:rsidRPr="00293B92">
        <w:rPr>
          <w:lang w:val="en-US"/>
        </w:rPr>
        <w:t>.</w:t>
      </w:r>
    </w:p>
  </w:footnote>
  <w:footnote w:id="229">
    <w:p w14:paraId="597F252C" w14:textId="77777777" w:rsidR="00820DF8" w:rsidRPr="00293B92" w:rsidRDefault="00820DF8" w:rsidP="00820DF8">
      <w:pPr>
        <w:pStyle w:val="FootnoteText"/>
        <w:jc w:val="both"/>
        <w:rPr>
          <w:lang w:val="en-US"/>
        </w:rPr>
      </w:pPr>
      <w:r w:rsidRPr="00F43630">
        <w:rPr>
          <w:rStyle w:val="FootnoteReference"/>
        </w:rPr>
        <w:footnoteRef/>
      </w:r>
      <w:r w:rsidRPr="00293B92">
        <w:rPr>
          <w:lang w:val="en-US"/>
        </w:rPr>
        <w:t xml:space="preserve"> de Boer, M. E., Dröes, R.-M., Jonker, C., Eefsting, J. A., &amp; Hertogh, C. M. (2010). Advance directives for euthanasia in dementia: Do law-based opportunities lead to more euthanasia? Health Policy, 98(2–3), 256–262. </w:t>
      </w:r>
      <w:hyperlink r:id="rId203" w:history="1">
        <w:r w:rsidRPr="00293B92">
          <w:rPr>
            <w:rStyle w:val="Hyperlink"/>
            <w:lang w:val="en-US"/>
          </w:rPr>
          <w:t>https://www.sciencedirect.com/science/article/pii/S0168851010001934</w:t>
        </w:r>
      </w:hyperlink>
      <w:r w:rsidRPr="00293B92">
        <w:rPr>
          <w:lang w:val="en-US"/>
        </w:rPr>
        <w:t xml:space="preserve">; Miller, D. G., Dresser, R., &amp; Kim, S. Y. (2019). Advance euthanasia directives: A controversial case and its ethical implications. Journal of Medical Ethics, 45(2), 84–89. </w:t>
      </w:r>
      <w:hyperlink r:id="rId204" w:history="1">
        <w:r w:rsidRPr="00293B92">
          <w:rPr>
            <w:rStyle w:val="Hyperlink"/>
            <w:lang w:val="en-US"/>
          </w:rPr>
          <w:t>https://jme.bmj.com/content/45/2/84.abstract</w:t>
        </w:r>
      </w:hyperlink>
    </w:p>
  </w:footnote>
  <w:footnote w:id="230">
    <w:p w14:paraId="7DC1F10E" w14:textId="77777777" w:rsidR="00820DF8" w:rsidRPr="00293B92" w:rsidRDefault="00820DF8" w:rsidP="00820DF8">
      <w:pPr>
        <w:pStyle w:val="FootnoteText"/>
        <w:jc w:val="both"/>
        <w:rPr>
          <w:lang w:val="en-US"/>
        </w:rPr>
      </w:pPr>
      <w:r w:rsidRPr="00F43630">
        <w:rPr>
          <w:rStyle w:val="FootnoteReference"/>
        </w:rPr>
        <w:footnoteRef/>
      </w:r>
      <w:r w:rsidRPr="00791D87">
        <w:rPr>
          <w:lang w:val="en-US"/>
        </w:rPr>
        <w:t xml:space="preserve"> Pope, T. M., &amp; Okninski, M. E. (2016). </w:t>
      </w:r>
      <w:r w:rsidRPr="00293B92">
        <w:rPr>
          <w:lang w:val="en-US"/>
        </w:rPr>
        <w:t xml:space="preserve">Legal Standards for Brain Death and Undue Influence in Euthanasia Laws. Journal of Bioethical Inquiry, 13(2), 173–178. </w:t>
      </w:r>
      <w:hyperlink r:id="rId205" w:history="1">
        <w:r w:rsidRPr="00293B92">
          <w:rPr>
            <w:rStyle w:val="Hyperlink"/>
            <w:lang w:val="en-US"/>
          </w:rPr>
          <w:t>https://doi.org/10.1007/s11673-016-9718-0</w:t>
        </w:r>
      </w:hyperlink>
    </w:p>
  </w:footnote>
  <w:footnote w:id="231">
    <w:p w14:paraId="1449B1C1" w14:textId="77777777" w:rsidR="00820DF8" w:rsidRPr="00293B92" w:rsidRDefault="00820DF8" w:rsidP="00820DF8">
      <w:pPr>
        <w:pStyle w:val="FootnoteText"/>
        <w:jc w:val="both"/>
        <w:rPr>
          <w:lang w:val="en-US"/>
        </w:rPr>
      </w:pPr>
      <w:r w:rsidRPr="00F43630">
        <w:rPr>
          <w:rStyle w:val="FootnoteReference"/>
        </w:rPr>
        <w:footnoteRef/>
      </w:r>
      <w:r w:rsidRPr="00293B92">
        <w:rPr>
          <w:lang w:val="en-US"/>
        </w:rPr>
        <w:t xml:space="preserve"> Buijsen, M. (2016). Communicating Concerns: Reviewing the Review Procedure in Dutch Euthanasia Law. Cambridge Quarterly of Healthcare Ethics, 25(3), 395–403. </w:t>
      </w:r>
      <w:hyperlink r:id="rId206" w:history="1">
        <w:r w:rsidRPr="00293B92">
          <w:rPr>
            <w:rStyle w:val="Hyperlink"/>
            <w:lang w:val="en-US"/>
          </w:rPr>
          <w:t>https://www.cambridge.org/core/journals/cambridge-quarterly-of-healthcare-ethics/article/communicating-concerns/5B8D23A699D5519D431EFED7FE342B53</w:t>
        </w:r>
      </w:hyperlink>
    </w:p>
  </w:footnote>
  <w:footnote w:id="232">
    <w:p w14:paraId="6A3502C4" w14:textId="77777777" w:rsidR="00820DF8" w:rsidRPr="00293B92" w:rsidRDefault="00820DF8" w:rsidP="00820DF8">
      <w:pPr>
        <w:pStyle w:val="FootnoteText"/>
        <w:jc w:val="both"/>
        <w:rPr>
          <w:lang w:val="en-US"/>
        </w:rPr>
      </w:pPr>
      <w:r w:rsidRPr="00F43630">
        <w:rPr>
          <w:rStyle w:val="FootnoteReference"/>
        </w:rPr>
        <w:footnoteRef/>
      </w:r>
      <w:r w:rsidRPr="00293B92">
        <w:rPr>
          <w:lang w:val="en-US"/>
        </w:rPr>
        <w:t xml:space="preserve"> De Hert, M., Loos, S., Sterckx, S., Thys, E., &amp; Van Assche, K. (2022). Improving control over euthanasia of persons with psychiatric illness: Lessons from the first Belgian criminal court case concerning euthanasia. Frontiers in Psychiatry, 13, 933748. </w:t>
      </w:r>
      <w:hyperlink r:id="rId207" w:history="1">
        <w:r w:rsidRPr="00293B92">
          <w:rPr>
            <w:rStyle w:val="Hyperlink"/>
            <w:lang w:val="en-US"/>
          </w:rPr>
          <w:t>https://www.frontiersin.org/articles/10.3389/fpsyt.2022.933748/full</w:t>
        </w:r>
      </w:hyperlink>
      <w:r w:rsidRPr="00293B92">
        <w:rPr>
          <w:lang w:val="en-US"/>
        </w:rPr>
        <w:t xml:space="preserve">; Smets, T., Bilsen, J., Cohen, J., Rurup, M. L., &amp; Deliens, L. (2010). Legal euthanasia in Belgium: Characteristics of all reported euthanasia cases. Medical Care, 48(2), 187–192. </w:t>
      </w:r>
      <w:hyperlink r:id="rId208" w:history="1">
        <w:r w:rsidRPr="00293B92">
          <w:rPr>
            <w:rStyle w:val="Hyperlink"/>
            <w:lang w:val="en-US"/>
          </w:rPr>
          <w:t>https://journals.lww.com/lww-medicalcare/fulltext/2010/02000/The_Work_Limitations_Questionnaire.15.aspx</w:t>
        </w:r>
      </w:hyperlink>
    </w:p>
  </w:footnote>
  <w:footnote w:id="233">
    <w:p w14:paraId="0EB80840" w14:textId="77777777" w:rsidR="00820DF8" w:rsidRPr="00293B92" w:rsidRDefault="00820DF8" w:rsidP="00820DF8">
      <w:pPr>
        <w:pStyle w:val="FootnoteText"/>
        <w:jc w:val="both"/>
        <w:rPr>
          <w:lang w:val="en-US"/>
        </w:rPr>
      </w:pPr>
      <w:r w:rsidRPr="00F43630">
        <w:rPr>
          <w:rStyle w:val="FootnoteReference"/>
        </w:rPr>
        <w:footnoteRef/>
      </w:r>
      <w:r w:rsidRPr="00293B92">
        <w:rPr>
          <w:lang w:val="en-US"/>
        </w:rPr>
        <w:t xml:space="preserve"> Chambaere, K., Bilsen, J., Cohen, J., Onwuteaka-Philipsen, B. D., Mortier, F., &amp; Deliens, L. (2010). Physician-assisted deaths under the euthanasia law in Belgium: A population-based survey. CMAJ, 182(9), 895–901. </w:t>
      </w:r>
      <w:hyperlink r:id="rId209" w:history="1">
        <w:r w:rsidRPr="00293B92">
          <w:rPr>
            <w:rStyle w:val="Hyperlink"/>
            <w:lang w:val="en-US"/>
          </w:rPr>
          <w:t>https://www.cmaj.ca/content/182/9/895.short</w:t>
        </w:r>
      </w:hyperlink>
      <w:r w:rsidRPr="00293B92">
        <w:rPr>
          <w:lang w:val="en-US"/>
        </w:rPr>
        <w:t xml:space="preserve">; Verhofstadt, M., Van Assche, K., Pardon, K., Gleydura, M., Titeca, K., &amp; Chambaere, K. (2024). Perspectives on the eligibility criteria for euthanasia for mental suffering caused by psychiatric disorder under the Belgian Euthanasia Law: A qualitative interview study among mental healthcare workers. International Journal of Law and Psychiatry, 93, 101961. </w:t>
      </w:r>
      <w:hyperlink r:id="rId210" w:history="1">
        <w:r w:rsidRPr="00293B92">
          <w:rPr>
            <w:rStyle w:val="Hyperlink"/>
            <w:lang w:val="en-US"/>
          </w:rPr>
          <w:t>https://www.sciencedirect.com/science/article/pii/S0160252724000104</w:t>
        </w:r>
      </w:hyperlink>
    </w:p>
  </w:footnote>
  <w:footnote w:id="234">
    <w:p w14:paraId="413C7EA3" w14:textId="4A3D22D0" w:rsidR="00293B92" w:rsidRPr="00DE73E3" w:rsidRDefault="00293B92" w:rsidP="00D2668D">
      <w:pPr>
        <w:pStyle w:val="FootnoteText"/>
        <w:jc w:val="both"/>
        <w:rPr>
          <w:lang w:val="es-ES"/>
        </w:rPr>
      </w:pPr>
      <w:r w:rsidRPr="00F07920">
        <w:rPr>
          <w:rStyle w:val="FootnoteReference"/>
        </w:rPr>
        <w:footnoteRef/>
      </w:r>
      <w:r w:rsidRPr="004646AE">
        <w:rPr>
          <w:lang w:val="fr-FR"/>
        </w:rPr>
        <w:t xml:space="preserve"> Demedts, D., Magerman, J., Goossens, E., Tricas-Sauras, S., Bilsen, J., De Smet, S., &amp; Fobelets, M. (2024). </w:t>
      </w:r>
      <w:r w:rsidRPr="00293B92">
        <w:rPr>
          <w:lang w:val="en-US"/>
        </w:rPr>
        <w:t xml:space="preserve">Using simulation to teach nursing students how to deal with a euthanasia request. </w:t>
      </w:r>
      <w:r w:rsidRPr="00DE73E3">
        <w:rPr>
          <w:lang w:val="es-ES"/>
        </w:rPr>
        <w:t xml:space="preserve">Plos One, 19(3), e0299049. </w:t>
      </w:r>
      <w:hyperlink r:id="rId211" w:history="1">
        <w:r w:rsidRPr="00DE73E3">
          <w:rPr>
            <w:rStyle w:val="Hyperlink"/>
            <w:lang w:val="es-ES"/>
          </w:rPr>
          <w:t>https://journals.plos.org/plosone/article?id=10.1371/journal.pone.0299049</w:t>
        </w:r>
      </w:hyperlink>
    </w:p>
  </w:footnote>
  <w:footnote w:id="235">
    <w:p w14:paraId="48D2FDC5" w14:textId="053FA29A" w:rsidR="00293B92" w:rsidRPr="00293B92" w:rsidRDefault="00293B92" w:rsidP="00D2668D">
      <w:pPr>
        <w:pStyle w:val="FootnoteText"/>
        <w:jc w:val="both"/>
        <w:rPr>
          <w:lang w:val="en-US"/>
        </w:rPr>
      </w:pPr>
      <w:r w:rsidRPr="00F07920">
        <w:rPr>
          <w:rStyle w:val="FootnoteReference"/>
        </w:rPr>
        <w:footnoteRef/>
      </w:r>
      <w:r w:rsidRPr="00F07920">
        <w:rPr>
          <w:lang w:val="fr-FR"/>
        </w:rPr>
        <w:t xml:space="preserve"> Arreciado Marañón, A., García-Sierra, R., Busquet-Duran, X., Tort-Nasarre, G., &amp; Feijoo-Cid, M. (2025). </w:t>
      </w:r>
      <w:r w:rsidRPr="00293B92">
        <w:rPr>
          <w:lang w:val="en-US"/>
        </w:rPr>
        <w:t xml:space="preserve">Nursing students’ attitude toward euthanasia following its legalization in Spain. Nursing Ethics, 32(2), 412–423. </w:t>
      </w:r>
      <w:hyperlink r:id="rId212" w:history="1">
        <w:r w:rsidRPr="00293B92">
          <w:rPr>
            <w:rStyle w:val="Hyperlink"/>
            <w:lang w:val="en-US"/>
          </w:rPr>
          <w:t>https://doi.org/10.1177/09697330241238342</w:t>
        </w:r>
      </w:hyperlink>
    </w:p>
  </w:footnote>
  <w:footnote w:id="236">
    <w:p w14:paraId="615E3E23" w14:textId="4D8F07EA"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Hesselink, B. A. M., Onwuteaka-Philipsen, B. D., Janssen, A., Buiting, H. M., Kollau, M., Rietjens, J. A. C., &amp; Pasman, H. R. W. (2012). Do guidelines on euthanasia and physician-assisted suicide in Dutch hospitals and nursing homes reflect the law? A content analysis. Journal of Medical Ethics, 38(1), 35–42. </w:t>
      </w:r>
      <w:hyperlink r:id="rId213" w:history="1">
        <w:r w:rsidRPr="00293B92">
          <w:rPr>
            <w:rStyle w:val="Hyperlink"/>
            <w:lang w:val="en-US"/>
          </w:rPr>
          <w:t>https://jme.bmj.com/content/38/1/35.short</w:t>
        </w:r>
      </w:hyperlink>
    </w:p>
  </w:footnote>
  <w:footnote w:id="237">
    <w:p w14:paraId="7782C12B" w14:textId="6BE471E8"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Bolt, E. E., Flens, E. Q., Pasman, H. R. W., Willems, D., &amp; Onwuteaka‐Philipsen, B. D. (2017). Physician‐assisted dying for children is conceivable for most Dutch paediatricians, irrespective of the patient’s age or competence to decide. Acta Paediatrica, 106(4), 668–675. </w:t>
      </w:r>
      <w:hyperlink r:id="rId214" w:history="1">
        <w:r w:rsidRPr="00293B92">
          <w:rPr>
            <w:rStyle w:val="Hyperlink"/>
            <w:lang w:val="en-US"/>
          </w:rPr>
          <w:t>https://doi.org/10.1111/apa.13620</w:t>
        </w:r>
      </w:hyperlink>
    </w:p>
  </w:footnote>
  <w:footnote w:id="238">
    <w:p w14:paraId="6E398382" w14:textId="5D9C1DCC" w:rsidR="00293B92" w:rsidRPr="00293B92" w:rsidRDefault="00293B92" w:rsidP="00B365CF">
      <w:pPr>
        <w:pStyle w:val="FootnoteText"/>
        <w:jc w:val="both"/>
        <w:rPr>
          <w:lang w:val="en-US"/>
        </w:rPr>
      </w:pPr>
      <w:r w:rsidRPr="00F07920">
        <w:rPr>
          <w:rStyle w:val="FootnoteReference"/>
        </w:rPr>
        <w:footnoteRef/>
      </w:r>
      <w:r w:rsidRPr="00293B92">
        <w:rPr>
          <w:lang w:val="en-US"/>
        </w:rPr>
        <w:t xml:space="preserve"> Coers, D. O., Scholten, S. H., De Boer, M. E., Sizoo, E. M., Buijsen, M. A. J. M., Frederiks, B. J. M., Leget, C. J. W., &amp; Hertogh, C. M. P. M. (2024). A qualitative focus group study on legal experts’ views regarding euthanasia requests based on an advance euthanasia directive. BMC Medical Ethics, 25(1), 119. </w:t>
      </w:r>
      <w:hyperlink r:id="rId215" w:history="1">
        <w:r w:rsidRPr="00293B92">
          <w:rPr>
            <w:rStyle w:val="Hyperlink"/>
            <w:lang w:val="en-US"/>
          </w:rPr>
          <w:t>https://doi.org/10.1186/s12910-024-01111-2</w:t>
        </w:r>
      </w:hyperlink>
    </w:p>
  </w:footnote>
  <w:footnote w:id="239">
    <w:p w14:paraId="2F76F9DB" w14:textId="1313FE84" w:rsidR="00293B92" w:rsidRPr="00453316" w:rsidRDefault="00293B92" w:rsidP="00B365CF">
      <w:pPr>
        <w:pStyle w:val="FootnoteText"/>
        <w:jc w:val="both"/>
        <w:rPr>
          <w:lang w:val="en-US"/>
        </w:rPr>
      </w:pPr>
      <w:r w:rsidRPr="00F07920">
        <w:rPr>
          <w:rStyle w:val="FootnoteReference"/>
        </w:rPr>
        <w:footnoteRef/>
      </w:r>
      <w:r w:rsidRPr="00791D87">
        <w:rPr>
          <w:lang w:val="en-US"/>
        </w:rPr>
        <w:t xml:space="preserve"> Bergman, T. D., Pasman, H. R. W., &amp; Onwuteaka-Philipsen, B. D. (2020). </w:t>
      </w:r>
      <w:r w:rsidRPr="00293B92">
        <w:rPr>
          <w:lang w:val="en-US"/>
        </w:rPr>
        <w:t xml:space="preserve">Complexities in consultations in case of euthanasia or physician-assisted suicide: A survey among SCEN physicians. </w:t>
      </w:r>
      <w:r w:rsidRPr="00453316">
        <w:rPr>
          <w:lang w:val="en-US"/>
        </w:rPr>
        <w:t xml:space="preserve">BMC Family Practice, 21(1), 6. </w:t>
      </w:r>
      <w:hyperlink r:id="rId216" w:history="1">
        <w:r w:rsidRPr="00453316">
          <w:rPr>
            <w:rStyle w:val="Hyperlink"/>
            <w:lang w:val="en-US"/>
          </w:rPr>
          <w:t>https://doi.org/10.1186/s12875-019-1063-z</w:t>
        </w:r>
      </w:hyperlink>
    </w:p>
  </w:footnote>
  <w:footnote w:id="240">
    <w:p w14:paraId="01156878" w14:textId="4424D7D1"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Criminal Code of the Republic of Lithuania, Valstybės žinios, 2000, Nr. 89-2741. Retrieved 08.22.2025, From: </w:t>
      </w:r>
      <w:hyperlink r:id="rId217" w:history="1">
        <w:r w:rsidRPr="00A27EAE">
          <w:rPr>
            <w:rStyle w:val="Hyperlink"/>
            <w:lang w:val="en-US"/>
          </w:rPr>
          <w:t>https://www.e-tar.lt/portal/lt/legalAct/TAR.2B866DFF7D43/asr</w:t>
        </w:r>
      </w:hyperlink>
    </w:p>
  </w:footnote>
  <w:footnote w:id="241">
    <w:p w14:paraId="2D5581C9" w14:textId="77777777"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w:t>
      </w:r>
      <w:bookmarkStart w:id="26" w:name="_Hlk217766826"/>
      <w:r w:rsidRPr="00A27EAE">
        <w:rPr>
          <w:lang w:val="en-US"/>
        </w:rPr>
        <w:t xml:space="preserve">The Constitutional Court of the Republic of Lithuania, Case No. 2/98. Retrieved 08.12.2025, From: </w:t>
      </w:r>
      <w:hyperlink r:id="rId218" w:history="1">
        <w:r w:rsidRPr="00A27EAE">
          <w:rPr>
            <w:rStyle w:val="Hyperlink"/>
            <w:lang w:val="en-US"/>
          </w:rPr>
          <w:t>https://lrkt.lt/lt/teismo-aktai/paieska/135/ta385/content</w:t>
        </w:r>
      </w:hyperlink>
      <w:bookmarkEnd w:id="26"/>
    </w:p>
  </w:footnote>
  <w:footnote w:id="242">
    <w:p w14:paraId="4460CCB8" w14:textId="77777777" w:rsidR="00A70645" w:rsidRPr="00A27EAE" w:rsidRDefault="00A70645" w:rsidP="004C5406">
      <w:pPr>
        <w:pStyle w:val="FootnoteText"/>
        <w:jc w:val="both"/>
        <w:rPr>
          <w:rStyle w:val="Hyperlink"/>
          <w:lang w:val="en-US"/>
        </w:rPr>
      </w:pPr>
      <w:r w:rsidRPr="00342F4C">
        <w:rPr>
          <w:rStyle w:val="FootnoteReference"/>
        </w:rPr>
        <w:footnoteRef/>
      </w:r>
      <w:r w:rsidRPr="00A27EAE">
        <w:rPr>
          <w:lang w:val="en-US"/>
        </w:rPr>
        <w:t xml:space="preserve"> Beriozovas, O., &amp; Avižienė, G. (2023). Institute of euthanasia: between a persons right to life and the right to a dignified death: problems and challenges in the implementation of human rights of choice in Lithuania. Acta prosperitatis, 14(1). </w:t>
      </w:r>
      <w:r w:rsidRPr="00A27EAE">
        <w:rPr>
          <w:rStyle w:val="Hyperlink"/>
          <w:lang w:val="en-US"/>
        </w:rPr>
        <w:t>DOI: 10.37804/1691-6077-2023-14-31-36.</w:t>
      </w:r>
    </w:p>
  </w:footnote>
  <w:footnote w:id="243">
    <w:p w14:paraId="509A85DF" w14:textId="77777777" w:rsidR="00A70645" w:rsidRPr="001256EA" w:rsidRDefault="00A70645" w:rsidP="004C5406">
      <w:pPr>
        <w:pStyle w:val="FootnoteText"/>
        <w:jc w:val="both"/>
        <w:rPr>
          <w:lang w:val="en-US"/>
        </w:rPr>
      </w:pPr>
      <w:r w:rsidRPr="00342F4C">
        <w:rPr>
          <w:rStyle w:val="FootnoteReference"/>
        </w:rPr>
        <w:footnoteRef/>
      </w:r>
      <w:r w:rsidRPr="00A27EAE">
        <w:rPr>
          <w:lang w:val="en-US"/>
        </w:rPr>
        <w:t xml:space="preserve"> Constitution of the Republic of Lithuania, Valstybės Žinios, 1992, Nr. 33-1014. Retrieved 08.22.2025, From: </w:t>
      </w:r>
      <w:r w:rsidRPr="001256EA">
        <w:rPr>
          <w:lang w:val="en-US"/>
        </w:rPr>
        <w:t>https://www.lrs.lt/home/Konstitucija/Konstitucija20220522.htm</w:t>
      </w:r>
    </w:p>
  </w:footnote>
  <w:footnote w:id="244">
    <w:p w14:paraId="530EA80F" w14:textId="240FB09F" w:rsidR="00A70645" w:rsidRPr="001256EA" w:rsidRDefault="00A70645" w:rsidP="00AB2467">
      <w:pPr>
        <w:pStyle w:val="FootnoteText"/>
        <w:rPr>
          <w:lang w:val="lt-LT"/>
        </w:rPr>
      </w:pPr>
      <w:r w:rsidRPr="001256EA">
        <w:rPr>
          <w:rStyle w:val="FootnoteReference"/>
        </w:rPr>
        <w:footnoteRef/>
      </w:r>
      <w:r w:rsidRPr="001256EA">
        <w:rPr>
          <w:lang w:val="en-US"/>
        </w:rPr>
        <w:t xml:space="preserve"> </w:t>
      </w:r>
      <w:r w:rsidR="00922395" w:rsidRPr="001256EA">
        <w:rPr>
          <w:lang w:val="lt-LT"/>
        </w:rPr>
        <w:t>Stankevičiūtė, R. (2024). </w:t>
      </w:r>
      <w:r w:rsidR="00922395" w:rsidRPr="001256EA">
        <w:rPr>
          <w:i/>
          <w:iCs/>
          <w:lang w:val="lt-LT"/>
        </w:rPr>
        <w:t>Eutanazijos galimybė Lietuvoje: etiniai aspektai</w:t>
      </w:r>
      <w:r w:rsidR="00922395" w:rsidRPr="001256EA">
        <w:rPr>
          <w:lang w:val="lt-LT"/>
        </w:rPr>
        <w:t xml:space="preserve"> (Doctoral dissertation, Vilniaus universitetas.). </w:t>
      </w:r>
      <w:r w:rsidR="00922395" w:rsidRPr="00095984">
        <w:rPr>
          <w:lang w:val="lt-LT"/>
        </w:rPr>
        <w:t xml:space="preserve">Retrieved 20.12.2025, From: </w:t>
      </w:r>
      <w:r w:rsidR="00922395" w:rsidRPr="001256EA">
        <w:rPr>
          <w:lang w:val="lt-LT"/>
        </w:rPr>
        <w:t>https://epublications.vu.lt/object/elaba:210541406/</w:t>
      </w:r>
    </w:p>
  </w:footnote>
  <w:footnote w:id="245">
    <w:p w14:paraId="74521E70" w14:textId="07B232B8" w:rsidR="00A70645" w:rsidRPr="00001C8C" w:rsidRDefault="00A70645" w:rsidP="00AB2467">
      <w:pPr>
        <w:pStyle w:val="FootnoteText"/>
        <w:rPr>
          <w:lang w:val="lt-LT"/>
        </w:rPr>
      </w:pPr>
      <w:r w:rsidRPr="001256EA">
        <w:rPr>
          <w:rStyle w:val="FootnoteReference"/>
        </w:rPr>
        <w:footnoteRef/>
      </w:r>
      <w:r w:rsidRPr="00095984">
        <w:rPr>
          <w:lang w:val="lt-LT"/>
        </w:rPr>
        <w:t xml:space="preserve"> </w:t>
      </w:r>
      <w:bookmarkStart w:id="27" w:name="_Hlk217205634"/>
      <w:r w:rsidR="00922395" w:rsidRPr="001256EA">
        <w:rPr>
          <w:lang w:val="lt-LT"/>
        </w:rPr>
        <w:t>Pocius, A. (2025). </w:t>
      </w:r>
      <w:r w:rsidR="00922395" w:rsidRPr="001256EA">
        <w:rPr>
          <w:i/>
          <w:iCs/>
          <w:lang w:val="lt-LT"/>
        </w:rPr>
        <w:t>Nužudymas labai susijaudinus</w:t>
      </w:r>
      <w:r w:rsidR="00922395" w:rsidRPr="001256EA">
        <w:rPr>
          <w:lang w:val="lt-LT"/>
        </w:rPr>
        <w:t xml:space="preserve"> (Doctoral dissertation, Mykolo Romerio universitetas.). Retrieved 19.12.2025, From: </w:t>
      </w:r>
      <w:hyperlink r:id="rId219" w:history="1">
        <w:r w:rsidR="00922395" w:rsidRPr="001256EA">
          <w:rPr>
            <w:rStyle w:val="Hyperlink"/>
            <w:lang w:val="lt-LT"/>
          </w:rPr>
          <w:t>https://gs.elaba.lt/object/elaba:237586966/</w:t>
        </w:r>
      </w:hyperlink>
    </w:p>
    <w:bookmarkEnd w:id="27"/>
  </w:footnote>
  <w:footnote w:id="246">
    <w:p w14:paraId="0D66AA79" w14:textId="1AD0D448" w:rsidR="00A70645" w:rsidRPr="00A27EAE" w:rsidRDefault="00A70645" w:rsidP="00AB2467">
      <w:pPr>
        <w:pStyle w:val="FootnoteText"/>
        <w:rPr>
          <w:lang w:val="en-US"/>
        </w:rPr>
      </w:pPr>
      <w:r w:rsidRPr="00342F4C">
        <w:rPr>
          <w:rStyle w:val="FootnoteReference"/>
        </w:rPr>
        <w:footnoteRef/>
      </w:r>
      <w:r w:rsidRPr="00001C8C">
        <w:rPr>
          <w:lang w:val="lt-LT"/>
        </w:rPr>
        <w:t xml:space="preserve"> Bachmetjev, B., Airapetian, A., Jakubauskienė, M., Zablockis, R., &amp; Čekanauskaitė, A. (2025). </w:t>
      </w:r>
      <w:r w:rsidRPr="00A27EAE">
        <w:rPr>
          <w:lang w:val="en-US"/>
        </w:rPr>
        <w:t xml:space="preserve">Demographic influences on Lithuanian physicians’ attitudes toward medical assistance in dying: a cross-sectional study. Frontiers in psychiatry, 15, 1507790. </w:t>
      </w:r>
      <w:hyperlink r:id="rId220" w:history="1">
        <w:r w:rsidRPr="00A27EAE">
          <w:rPr>
            <w:rStyle w:val="Hyperlink"/>
            <w:lang w:val="en-US"/>
          </w:rPr>
          <w:t>https://doi.org/10.3389/fpsyt.2024.1507790</w:t>
        </w:r>
      </w:hyperlink>
    </w:p>
  </w:footnote>
  <w:footnote w:id="247">
    <w:p w14:paraId="36A69A22" w14:textId="77777777"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Vilniaus miesto apylinkės prokuratūros byla Valstybė prieš Ž.Slavinskienę [Vilnius City District Prosecutor's Office case State v. Ž. Slavinskienė]. Nr. 10-2-315-98. Retrieved 08.22.2025, From: https://www.baltictimes.com/news/articles/4197/?utm</w:t>
      </w:r>
    </w:p>
  </w:footnote>
  <w:footnote w:id="248">
    <w:p w14:paraId="3073CA57" w14:textId="586C7BC9"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Explanatory note to the draft law on euthanasia, 2015. Retrieved 08.22.2025, From: </w:t>
      </w:r>
      <w:hyperlink r:id="rId221" w:history="1">
        <w:r w:rsidRPr="00A27EAE">
          <w:rPr>
            <w:rStyle w:val="Hyperlink"/>
            <w:lang w:val="en-US"/>
          </w:rPr>
          <w:t>https://e-seimas.lrs.lt/portal/legalAct/lt/TAK/883dd950bb5011e4a939cd67303e5a1f?jfwid=-txjh8zt0q</w:t>
        </w:r>
      </w:hyperlink>
    </w:p>
  </w:footnote>
  <w:footnote w:id="249">
    <w:p w14:paraId="65264A17" w14:textId="310A28F2"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Euthanasia Bill, 2015-02-20, No. XIIP-2071(2). Retrieved 08.22.2025, From: </w:t>
      </w:r>
      <w:hyperlink r:id="rId222" w:history="1">
        <w:r w:rsidR="004116D9" w:rsidRPr="00C07C1D">
          <w:rPr>
            <w:rStyle w:val="Hyperlink"/>
            <w:lang w:val="en-US"/>
          </w:rPr>
          <w:t>https://e-seimas.lrs.lt/portal/legalAct/lt/TAP/447e4060bb5011e4a939cd67303e5a1f?positionInSearchResults=0&amp;searchModelUUID=c9f16a4b-903e-48bd-a23d-c616e0e1b6da</w:t>
        </w:r>
      </w:hyperlink>
      <w:r w:rsidR="004116D9">
        <w:rPr>
          <w:lang w:val="en-US"/>
        </w:rPr>
        <w:t xml:space="preserve"> </w:t>
      </w:r>
    </w:p>
  </w:footnote>
  <w:footnote w:id="250">
    <w:p w14:paraId="08F53012" w14:textId="77777777"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w:t>
      </w:r>
      <w:r w:rsidRPr="00A27EAE">
        <w:rPr>
          <w:i/>
          <w:iCs/>
          <w:lang w:val="en-US"/>
        </w:rPr>
        <w:t>Ibid</w:t>
      </w:r>
    </w:p>
  </w:footnote>
  <w:footnote w:id="251">
    <w:p w14:paraId="4141E29A" w14:textId="01078BCB"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Euthanasia Bill, 2015-02-20, No. XIIP-2071(2). Retrieved 08.22.2025, From: </w:t>
      </w:r>
      <w:hyperlink r:id="rId223" w:history="1">
        <w:r w:rsidR="006A4BF7" w:rsidRPr="006D1376">
          <w:rPr>
            <w:rStyle w:val="Hyperlink"/>
            <w:lang w:val="en-US"/>
          </w:rPr>
          <w:t>https://e-seimas.lrs.lt/portal/legalAct/lt/TAP/447e4060bb5011e4a939cd67303e5a1f?positionInSearchResults=0&amp;searchModelUUID=c9f16a4b-903e-48bd-a23d-c616e0e1b6da</w:t>
        </w:r>
      </w:hyperlink>
      <w:r w:rsidR="006A4BF7">
        <w:rPr>
          <w:lang w:val="en-US"/>
        </w:rPr>
        <w:t xml:space="preserve"> </w:t>
      </w:r>
    </w:p>
  </w:footnote>
  <w:footnote w:id="252">
    <w:p w14:paraId="179F1367" w14:textId="54D5BF9C"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Order of the Minister of Health of the Republic of Lithuania on the approval of the Description of Requirements for the Provision of Inpatient Palliative Care Services for Adults and Children, the Description of Requirements for the Provision of Outpatient Palliative Care Services for Adults and Children, the Description of Requirements for the Provision of Day Inpatient Palliative Care Services for Adults and Children and the Description of Requirements for the Basic Training Program for Palliative Care Provision, Valstybės žinios, 2007-01-18, Nr. 7-290. Retrieved 08.22.2025, From: </w:t>
      </w:r>
      <w:hyperlink r:id="rId224" w:history="1">
        <w:r w:rsidRPr="00A27EAE">
          <w:rPr>
            <w:rStyle w:val="Hyperlink"/>
            <w:lang w:val="en-US"/>
          </w:rPr>
          <w:t>https://e-seimas.lrs.lt/portal/legalAct/lt/TAD/TAIS.291106/asr</w:t>
        </w:r>
      </w:hyperlink>
    </w:p>
  </w:footnote>
  <w:footnote w:id="253">
    <w:p w14:paraId="4CB807A5" w14:textId="79FE225D"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Praktiniai, N. T. N. B. sunkiomis ir nepagydomomis ligomis sergančių asmenų orumo apsaugos reikalavimas–tarptautinės ir nacionalinės teisės normos bei praktiniai jų taikymo aspektai1. </w:t>
      </w:r>
      <w:hyperlink r:id="rId225" w:anchor="_blank" w:history="1">
        <w:r w:rsidRPr="00A27EAE">
          <w:rPr>
            <w:rStyle w:val="Hyperlink"/>
            <w:lang w:val="en-US"/>
          </w:rPr>
          <w:t>https://doi.org/10.7220/#_blank</w:t>
        </w:r>
      </w:hyperlink>
      <w:r w:rsidRPr="00A27EAE">
        <w:rPr>
          <w:lang w:val="en-US"/>
        </w:rPr>
        <w:t xml:space="preserve"> ISSN 2029-4239 (online) Teisės apžvalga No. 1 (23), 2021, p. 3-21.</w:t>
      </w:r>
      <w:r w:rsidR="006A4BF7">
        <w:rPr>
          <w:lang w:val="en-US"/>
        </w:rPr>
        <w:t xml:space="preserve"> </w:t>
      </w:r>
    </w:p>
  </w:footnote>
  <w:footnote w:id="254">
    <w:p w14:paraId="4B0A2BBE" w14:textId="77777777" w:rsidR="00A70645" w:rsidRDefault="00A70645" w:rsidP="004C5406">
      <w:pPr>
        <w:pStyle w:val="FootnoteText"/>
        <w:jc w:val="both"/>
      </w:pPr>
      <w:r w:rsidRPr="00342F4C">
        <w:rPr>
          <w:rStyle w:val="FootnoteReference"/>
        </w:rPr>
        <w:footnoteRef/>
      </w:r>
      <w:r w:rsidRPr="00A27EAE">
        <w:rPr>
          <w:lang w:val="en-US"/>
        </w:rPr>
        <w:t xml:space="preserve"> Josifova, I. (2025). Ethical, Legal, and Practical Aspects of Euthanasia and Assisted Suicide. </w:t>
      </w:r>
      <w:r>
        <w:t>Iustinianus Primus L. Rev., 16, 179.</w:t>
      </w:r>
    </w:p>
  </w:footnote>
  <w:footnote w:id="255">
    <w:p w14:paraId="603CF9F4" w14:textId="77777777" w:rsidR="00A70645" w:rsidRPr="00A27EAE" w:rsidRDefault="00A70645" w:rsidP="004C5406">
      <w:pPr>
        <w:pStyle w:val="FootnoteText"/>
        <w:jc w:val="both"/>
        <w:rPr>
          <w:lang w:val="en-US"/>
        </w:rPr>
      </w:pPr>
      <w:r w:rsidRPr="00342F4C">
        <w:rPr>
          <w:rStyle w:val="FootnoteReference"/>
        </w:rPr>
        <w:footnoteRef/>
      </w:r>
      <w:r>
        <w:t xml:space="preserve"> Marsella, E., Zein, A., Nahar, S., &amp; Suhendar, A. (2025). </w:t>
      </w:r>
      <w:r w:rsidRPr="00A27EAE">
        <w:rPr>
          <w:lang w:val="en-US"/>
        </w:rPr>
        <w:t>Euthanasia: A Fiqh Approach to the issue of Dignified Death in a Medical Context. Pharos Journal of Theology, 106(1). DOI: 10.46222/pharosjot.106.4.</w:t>
      </w:r>
    </w:p>
  </w:footnote>
  <w:footnote w:id="256">
    <w:p w14:paraId="1E4DEEFE" w14:textId="2724AB99"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w:t>
      </w:r>
      <w:bookmarkStart w:id="29" w:name="_Hlk206878800"/>
      <w:r w:rsidRPr="00A27EAE">
        <w:rPr>
          <w:lang w:val="en-US"/>
        </w:rPr>
        <w:t xml:space="preserve">World federation right to die societies (2024), World Map. Retrieved 08.22.2025, From: </w:t>
      </w:r>
      <w:hyperlink r:id="rId226" w:history="1">
        <w:r w:rsidRPr="00A27EAE">
          <w:rPr>
            <w:rStyle w:val="Hyperlink"/>
            <w:lang w:val="en-US"/>
          </w:rPr>
          <w:t>https://wfrtds.org/worldmap/</w:t>
        </w:r>
      </w:hyperlink>
      <w:bookmarkEnd w:id="29"/>
    </w:p>
  </w:footnote>
  <w:footnote w:id="257">
    <w:p w14:paraId="2ED64896" w14:textId="44D7E3F3"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Termination of Life on Request and Assisted Suicide (Review Procedures) Act. Entered into force April 1, 2002, Netherlands. Retrieved 08.22.2025, From: </w:t>
      </w:r>
      <w:hyperlink r:id="rId227" w:history="1">
        <w:r w:rsidRPr="00A27EAE">
          <w:rPr>
            <w:rStyle w:val="Hyperlink"/>
            <w:lang w:val="en-US"/>
          </w:rPr>
          <w:t>https://wetten.overheid.nl/BWBR0012410/2021-10-01</w:t>
        </w:r>
      </w:hyperlink>
    </w:p>
  </w:footnote>
  <w:footnote w:id="258">
    <w:p w14:paraId="6DAB72D0" w14:textId="2950B32D"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Criminal Code of the Kingdom of the Netherlands (Wetboek van Strafrecht) (as amended up to 2012). Legislationline. Retrieved 08.22.2025, From: </w:t>
      </w:r>
      <w:hyperlink r:id="rId228" w:history="1">
        <w:r w:rsidRPr="00A27EAE">
          <w:rPr>
            <w:rStyle w:val="Hyperlink"/>
            <w:lang w:val="en-US"/>
          </w:rPr>
          <w:t>https://</w:t>
        </w:r>
        <w:bookmarkStart w:id="31" w:name="_Hlt206187963"/>
        <w:bookmarkStart w:id="32" w:name="_Hlt206187964"/>
        <w:r w:rsidRPr="00A27EAE">
          <w:rPr>
            <w:rStyle w:val="Hyperlink"/>
            <w:lang w:val="en-US"/>
          </w:rPr>
          <w:t>l</w:t>
        </w:r>
        <w:bookmarkEnd w:id="31"/>
        <w:bookmarkEnd w:id="32"/>
        <w:r w:rsidRPr="00A27EAE">
          <w:rPr>
            <w:rStyle w:val="Hyperlink"/>
            <w:lang w:val="en-US"/>
          </w:rPr>
          <w:t>egislationline.org/Netherlands</w:t>
        </w:r>
      </w:hyperlink>
    </w:p>
  </w:footnote>
  <w:footnote w:id="259">
    <w:p w14:paraId="65608AF9" w14:textId="17F68D48"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Termination of Life on Request and Assisted Suicide (Review Procedures) Act. Entered into force April 1, 2002, Netherlands. Retrieved 08.22.2025, From: </w:t>
      </w:r>
      <w:hyperlink r:id="rId229" w:history="1">
        <w:r w:rsidRPr="00A27EAE">
          <w:rPr>
            <w:rStyle w:val="Hyperlink"/>
            <w:lang w:val="en-US"/>
          </w:rPr>
          <w:t>https://wetten.overheid.nl/BWBR0012410/2021-10-01</w:t>
        </w:r>
      </w:hyperlink>
    </w:p>
  </w:footnote>
  <w:footnote w:id="260">
    <w:p w14:paraId="43C06493" w14:textId="62266170" w:rsidR="00A70645" w:rsidRPr="004646AE" w:rsidRDefault="00A70645" w:rsidP="004C5406">
      <w:pPr>
        <w:pStyle w:val="FootnoteText"/>
        <w:jc w:val="both"/>
        <w:rPr>
          <w:lang w:val="de-DE"/>
        </w:rPr>
      </w:pPr>
      <w:r w:rsidRPr="00342F4C">
        <w:rPr>
          <w:rStyle w:val="FootnoteReference"/>
        </w:rPr>
        <w:footnoteRef/>
      </w:r>
      <w:r w:rsidRPr="00DE73E3">
        <w:rPr>
          <w:lang w:val="es-ES"/>
        </w:rPr>
        <w:t xml:space="preserve"> Orsini, F., Cioffi, A., Cipolloni, L., Bosco, M. A., Fabrello, C., Cecannecchia, C., &amp; De Simone, S. (2025). </w:t>
      </w:r>
      <w:r w:rsidRPr="00A27EAE">
        <w:rPr>
          <w:lang w:val="en-US"/>
        </w:rPr>
        <w:t>Towards a European End-of-Life Regulation: A Necessary Analysis. </w:t>
      </w:r>
      <w:r w:rsidRPr="004646AE">
        <w:rPr>
          <w:i/>
          <w:iCs/>
          <w:lang w:val="de-DE"/>
        </w:rPr>
        <w:t>Healthcare</w:t>
      </w:r>
      <w:r w:rsidRPr="004646AE">
        <w:rPr>
          <w:lang w:val="de-DE"/>
        </w:rPr>
        <w:t>, </w:t>
      </w:r>
      <w:r w:rsidRPr="004646AE">
        <w:rPr>
          <w:i/>
          <w:iCs/>
          <w:lang w:val="de-DE"/>
        </w:rPr>
        <w:t>13</w:t>
      </w:r>
      <w:r w:rsidRPr="004646AE">
        <w:rPr>
          <w:lang w:val="de-DE"/>
        </w:rPr>
        <w:t xml:space="preserve">(2), 130. </w:t>
      </w:r>
      <w:hyperlink r:id="rId230" w:history="1">
        <w:r w:rsidR="003A148E" w:rsidRPr="004646AE">
          <w:rPr>
            <w:rStyle w:val="Hyperlink"/>
            <w:lang w:val="de-DE"/>
          </w:rPr>
          <w:t>https://doi.org/10.3390/healthcare13020130</w:t>
        </w:r>
      </w:hyperlink>
      <w:r w:rsidR="003A148E" w:rsidRPr="004646AE">
        <w:rPr>
          <w:lang w:val="de-DE"/>
        </w:rPr>
        <w:t xml:space="preserve"> </w:t>
      </w:r>
    </w:p>
  </w:footnote>
  <w:footnote w:id="261">
    <w:p w14:paraId="46DF2761" w14:textId="123F735C" w:rsidR="00A70645" w:rsidRPr="00A27EAE" w:rsidRDefault="00A70645" w:rsidP="004C5406">
      <w:pPr>
        <w:pStyle w:val="FootnoteText"/>
        <w:jc w:val="both"/>
        <w:rPr>
          <w:lang w:val="en-US"/>
        </w:rPr>
      </w:pPr>
      <w:r w:rsidRPr="00342F4C">
        <w:rPr>
          <w:rStyle w:val="FootnoteReference"/>
        </w:rPr>
        <w:footnoteRef/>
      </w:r>
      <w:r w:rsidRPr="004646AE">
        <w:rPr>
          <w:lang w:val="de-DE"/>
        </w:rPr>
        <w:t xml:space="preserve"> </w:t>
      </w:r>
      <w:bookmarkStart w:id="33" w:name="_Hlk206879461"/>
      <w:r w:rsidRPr="004646AE">
        <w:rPr>
          <w:lang w:val="de-DE"/>
        </w:rPr>
        <w:t xml:space="preserve">Schweren, L. J., Rasing, S. P., Kammeraat, M., Middelkoop, L. A., Werner, R., Mérelle, S. Y., ... </w:t>
      </w:r>
      <w:r w:rsidRPr="00A27EAE">
        <w:rPr>
          <w:lang w:val="en-US"/>
        </w:rPr>
        <w:t>&amp; van Veen, S. M. (2025). Requests for medical assistance in dying by young Dutch people with psychiatric disorders. JAMA psychiatry, 82(3), 246-252. DOI:10.1001/jamapsychiatry.2024.4006.</w:t>
      </w:r>
      <w:bookmarkEnd w:id="33"/>
      <w:r w:rsidR="003A148E">
        <w:rPr>
          <w:lang w:val="en-US"/>
        </w:rPr>
        <w:t xml:space="preserve">  </w:t>
      </w:r>
    </w:p>
  </w:footnote>
  <w:footnote w:id="262">
    <w:p w14:paraId="79F6951E" w14:textId="50C9F997"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Termination of Life on Request and Assisted Suicide (Review Procedures) Act. Entered into force April 1, 2002, Netherlands. </w:t>
      </w:r>
      <w:bookmarkStart w:id="34" w:name="_Hlk206880188"/>
      <w:r w:rsidRPr="00A27EAE">
        <w:rPr>
          <w:lang w:val="en-US"/>
        </w:rPr>
        <w:t xml:space="preserve">Retrieved 08.22.2025, From: </w:t>
      </w:r>
      <w:bookmarkEnd w:id="34"/>
      <w:r w:rsidR="003A148E">
        <w:rPr>
          <w:lang w:val="en-US"/>
        </w:rPr>
        <w:fldChar w:fldCharType="begin"/>
      </w:r>
      <w:r w:rsidR="003A148E">
        <w:rPr>
          <w:lang w:val="en-US"/>
        </w:rPr>
        <w:instrText xml:space="preserve"> HYPERLINK "</w:instrText>
      </w:r>
      <w:r w:rsidR="003A148E" w:rsidRPr="00A27EAE">
        <w:rPr>
          <w:lang w:val="en-US"/>
        </w:rPr>
        <w:instrText>https://wetten.overheid.nl/BWBR0012410/2021-10-01</w:instrText>
      </w:r>
      <w:r w:rsidR="003A148E">
        <w:rPr>
          <w:lang w:val="en-US"/>
        </w:rPr>
        <w:instrText xml:space="preserve">" </w:instrText>
      </w:r>
      <w:r w:rsidR="003A148E">
        <w:rPr>
          <w:lang w:val="en-US"/>
        </w:rPr>
      </w:r>
      <w:r w:rsidR="003A148E">
        <w:rPr>
          <w:lang w:val="en-US"/>
        </w:rPr>
        <w:fldChar w:fldCharType="separate"/>
      </w:r>
      <w:r w:rsidR="003A148E" w:rsidRPr="006D1376">
        <w:rPr>
          <w:rStyle w:val="Hyperlink"/>
          <w:lang w:val="en-US"/>
        </w:rPr>
        <w:t>https://wetten.overheid.nl/BWBR0012410/2021-10-01</w:t>
      </w:r>
      <w:r w:rsidR="003A148E">
        <w:rPr>
          <w:lang w:val="en-US"/>
        </w:rPr>
        <w:fldChar w:fldCharType="end"/>
      </w:r>
      <w:r w:rsidR="003A148E">
        <w:rPr>
          <w:lang w:val="en-US"/>
        </w:rPr>
        <w:t xml:space="preserve"> </w:t>
      </w:r>
    </w:p>
  </w:footnote>
  <w:footnote w:id="263">
    <w:p w14:paraId="03C39AC9" w14:textId="4E2F38B6"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den Exter, A. (2025). Euthanasia Review Report: What Is Happening in the Netherlands?. Jotwell: J. Things We Like, 1.</w:t>
      </w:r>
      <w:r w:rsidR="003A148E">
        <w:rPr>
          <w:lang w:val="en-US"/>
        </w:rPr>
        <w:t xml:space="preserve"> </w:t>
      </w:r>
    </w:p>
  </w:footnote>
  <w:footnote w:id="264">
    <w:p w14:paraId="0215C04E" w14:textId="7B111DB1" w:rsidR="00A70645" w:rsidRPr="00A27EAE" w:rsidRDefault="00A70645" w:rsidP="004C5406">
      <w:pPr>
        <w:pStyle w:val="FootnoteText"/>
        <w:jc w:val="both"/>
        <w:rPr>
          <w:lang w:val="en-US"/>
        </w:rPr>
      </w:pPr>
      <w:r w:rsidRPr="00342F4C">
        <w:rPr>
          <w:rStyle w:val="FootnoteReference"/>
        </w:rPr>
        <w:footnoteRef/>
      </w:r>
      <w:r w:rsidRPr="00A27EAE">
        <w:rPr>
          <w:lang w:val="en-US"/>
        </w:rPr>
        <w:t xml:space="preserve"> Law on Euthanasia (Euthanasia Act). (2002). Moniteur Belge [Belgian Official Gazette]. Retrieved 08.22.2025, From: </w:t>
      </w:r>
      <w:hyperlink r:id="rId231" w:anchor="top" w:history="1">
        <w:r w:rsidRPr="00A27EAE">
          <w:rPr>
            <w:rStyle w:val="Hyperlink"/>
            <w:lang w:val="en-US"/>
          </w:rPr>
          <w:t>https://www.ejustice.just.fgov.be/cgi/article_body.pl?language=nl&amp;caller=summary&amp;pub_date=2002-06-22&amp;numac=2002009590#top</w:t>
        </w:r>
      </w:hyperlink>
    </w:p>
  </w:footnote>
  <w:footnote w:id="265">
    <w:p w14:paraId="177F150E" w14:textId="028D3750" w:rsidR="00A70645" w:rsidRPr="001256EA" w:rsidRDefault="00A70645" w:rsidP="00312DC1">
      <w:pPr>
        <w:pStyle w:val="FootnoteText"/>
        <w:jc w:val="both"/>
        <w:rPr>
          <w:lang w:val="en-US"/>
        </w:rPr>
      </w:pPr>
      <w:r w:rsidRPr="00342F4C">
        <w:rPr>
          <w:rStyle w:val="FootnoteReference"/>
        </w:rPr>
        <w:footnoteRef/>
      </w:r>
      <w:r w:rsidRPr="00A27EAE">
        <w:rPr>
          <w:lang w:val="en-US"/>
        </w:rPr>
        <w:t xml:space="preserve"> </w:t>
      </w:r>
      <w:r w:rsidR="00B100B8" w:rsidRPr="001256EA">
        <w:rPr>
          <w:lang w:val="en-US"/>
        </w:rPr>
        <w:t>Josifova, I. (2025). Ethical, Legal, and Practical Aspects of Euthanasia and Assisted Suicide. </w:t>
      </w:r>
      <w:r w:rsidR="00B100B8" w:rsidRPr="001256EA">
        <w:rPr>
          <w:i/>
          <w:iCs/>
          <w:lang w:val="en-US"/>
        </w:rPr>
        <w:t>Iustinianus Primus L. Rev.</w:t>
      </w:r>
      <w:r w:rsidR="00B100B8" w:rsidRPr="001256EA">
        <w:rPr>
          <w:lang w:val="en-US"/>
        </w:rPr>
        <w:t>, </w:t>
      </w:r>
      <w:r w:rsidR="00B100B8" w:rsidRPr="001256EA">
        <w:rPr>
          <w:i/>
          <w:iCs/>
          <w:lang w:val="en-US"/>
        </w:rPr>
        <w:t>16</w:t>
      </w:r>
      <w:r w:rsidR="00B100B8" w:rsidRPr="001256EA">
        <w:rPr>
          <w:lang w:val="en-US"/>
        </w:rPr>
        <w:t>, 179.</w:t>
      </w:r>
    </w:p>
  </w:footnote>
  <w:footnote w:id="266">
    <w:p w14:paraId="01576DB8" w14:textId="09A8471A" w:rsidR="00A70645" w:rsidRPr="001256EA" w:rsidRDefault="00A70645" w:rsidP="00312DC1">
      <w:pPr>
        <w:pStyle w:val="FootnoteText"/>
        <w:jc w:val="both"/>
        <w:rPr>
          <w:lang w:val="de-DE"/>
        </w:rPr>
      </w:pPr>
      <w:r w:rsidRPr="001256EA">
        <w:rPr>
          <w:rStyle w:val="FootnoteReference"/>
        </w:rPr>
        <w:footnoteRef/>
      </w:r>
      <w:r w:rsidRPr="001256EA">
        <w:rPr>
          <w:lang w:val="en-US"/>
        </w:rPr>
        <w:t xml:space="preserve"> </w:t>
      </w:r>
      <w:r w:rsidR="00DD7887" w:rsidRPr="001256EA">
        <w:rPr>
          <w:lang w:val="en-US"/>
        </w:rPr>
        <w:t>Wels, J., &amp; Hamarat, N. (2025). Incidence and prevalence of reported euthanasia cases in Belgium, 2002 to 2023. </w:t>
      </w:r>
      <w:r w:rsidR="00DD7887" w:rsidRPr="001256EA">
        <w:rPr>
          <w:i/>
          <w:iCs/>
          <w:lang w:val="de-DE"/>
        </w:rPr>
        <w:t>JAMA network open</w:t>
      </w:r>
      <w:r w:rsidR="00DD7887" w:rsidRPr="001256EA">
        <w:rPr>
          <w:lang w:val="de-DE"/>
        </w:rPr>
        <w:t>, </w:t>
      </w:r>
      <w:r w:rsidR="00DD7887" w:rsidRPr="001256EA">
        <w:rPr>
          <w:i/>
          <w:iCs/>
          <w:lang w:val="de-DE"/>
        </w:rPr>
        <w:t>8</w:t>
      </w:r>
      <w:r w:rsidR="00DD7887" w:rsidRPr="001256EA">
        <w:rPr>
          <w:lang w:val="de-DE"/>
        </w:rPr>
        <w:t>(4), e256841-e256841.</w:t>
      </w:r>
    </w:p>
  </w:footnote>
  <w:footnote w:id="267">
    <w:p w14:paraId="1218D5BB" w14:textId="4BFCDCCC" w:rsidR="00A70645" w:rsidRPr="00A27EAE" w:rsidRDefault="00A70645" w:rsidP="00312DC1">
      <w:pPr>
        <w:pStyle w:val="FootnoteText"/>
        <w:jc w:val="both"/>
        <w:rPr>
          <w:lang w:val="en-US"/>
        </w:rPr>
      </w:pPr>
      <w:r w:rsidRPr="001256EA">
        <w:rPr>
          <w:rStyle w:val="FootnoteReference"/>
        </w:rPr>
        <w:footnoteRef/>
      </w:r>
      <w:r w:rsidRPr="001256EA">
        <w:rPr>
          <w:lang w:val="de-DE"/>
        </w:rPr>
        <w:t xml:space="preserve"> </w:t>
      </w:r>
      <w:r w:rsidR="00DD7887" w:rsidRPr="001256EA">
        <w:rPr>
          <w:lang w:val="de-DE"/>
        </w:rPr>
        <w:t xml:space="preserve">Raus, K., Vanderhaegen, B., &amp; Sterckx, S. (2021, February). </w:t>
      </w:r>
      <w:r w:rsidR="00DD7887" w:rsidRPr="001256EA">
        <w:rPr>
          <w:lang w:val="en-US"/>
        </w:rPr>
        <w:t>Euthanasia in Belgium: shortcomings of the law and its application and of the monitoring of practice. In </w:t>
      </w:r>
      <w:r w:rsidR="00DD7887" w:rsidRPr="001256EA">
        <w:rPr>
          <w:i/>
          <w:iCs/>
          <w:lang w:val="en-US"/>
        </w:rPr>
        <w:t>The Journal of Medicine and Philosophy: A Forum for Bioethics and Philosophy of Medicine</w:t>
      </w:r>
      <w:r w:rsidR="00DD7887" w:rsidRPr="001256EA">
        <w:rPr>
          <w:lang w:val="en-US"/>
        </w:rPr>
        <w:t> (Vol. 46, No. 1, pp. 80-107). US: Oxford University Press.</w:t>
      </w:r>
    </w:p>
  </w:footnote>
  <w:footnote w:id="268">
    <w:p w14:paraId="5DCC2F04" w14:textId="24738D33" w:rsidR="00A70645" w:rsidRDefault="00A70645" w:rsidP="00312DC1">
      <w:pPr>
        <w:pStyle w:val="FootnoteText"/>
        <w:jc w:val="both"/>
      </w:pPr>
      <w:r w:rsidRPr="00342F4C">
        <w:rPr>
          <w:rStyle w:val="FootnoteReference"/>
        </w:rPr>
        <w:footnoteRef/>
      </w:r>
      <w:r w:rsidRPr="00A27EAE">
        <w:rPr>
          <w:lang w:val="en-US"/>
        </w:rPr>
        <w:t xml:space="preserve"> </w:t>
      </w:r>
      <w:r w:rsidR="00867FB6" w:rsidRPr="001256EA">
        <w:rPr>
          <w:lang w:val="en-US"/>
        </w:rPr>
        <w:t>Raus, K., Deliens, L., &amp; Chambaere, K. (2021). The extension of the Belgian euthanasia law to minors in 2014. In </w:t>
      </w:r>
      <w:r w:rsidR="00867FB6" w:rsidRPr="001256EA">
        <w:rPr>
          <w:i/>
          <w:iCs/>
          <w:lang w:val="en-US"/>
        </w:rPr>
        <w:t>International perspectives on end-of-life law reform: politics, persuasion and persistence</w:t>
      </w:r>
      <w:r w:rsidR="00867FB6" w:rsidRPr="001256EA">
        <w:rPr>
          <w:lang w:val="en-US"/>
        </w:rPr>
        <w:t xml:space="preserve"> (pp. 40-62). </w:t>
      </w:r>
      <w:r w:rsidR="00867FB6" w:rsidRPr="00BB574A">
        <w:rPr>
          <w:lang w:val="fr-FR"/>
        </w:rPr>
        <w:t>Cambridge University Press.</w:t>
      </w:r>
    </w:p>
  </w:footnote>
  <w:footnote w:id="269">
    <w:p w14:paraId="7D3487C0" w14:textId="74BEFDAC" w:rsidR="00A70645" w:rsidRPr="004646AE" w:rsidRDefault="00A70645" w:rsidP="00312DC1">
      <w:pPr>
        <w:pStyle w:val="FootnoteText"/>
        <w:jc w:val="both"/>
        <w:rPr>
          <w:lang w:val="en-GB"/>
        </w:rPr>
      </w:pPr>
      <w:r w:rsidRPr="00342F4C">
        <w:rPr>
          <w:rStyle w:val="FootnoteReference"/>
        </w:rPr>
        <w:footnoteRef/>
      </w:r>
      <w:r>
        <w:t xml:space="preserve"> </w:t>
      </w:r>
      <w:bookmarkStart w:id="35" w:name="_Hlk217766925"/>
      <w:r>
        <w:t xml:space="preserve">Belgio–Cour Constitutionnelle—Sent. 153/2015: Decisione Della Corte Costituzionale Sulla Legge che Estende L’eutanasia ai Minori. </w:t>
      </w:r>
      <w:bookmarkStart w:id="36" w:name="_Hlk206880637"/>
      <w:r w:rsidRPr="004646AE">
        <w:rPr>
          <w:lang w:val="en-GB"/>
        </w:rPr>
        <w:t xml:space="preserve">Retrieved 08.22.2025, From: </w:t>
      </w:r>
      <w:bookmarkEnd w:id="36"/>
      <w:r>
        <w:rPr>
          <w:rFonts w:ascii="Aptos" w:hAnsi="Aptos"/>
        </w:rPr>
        <w:fldChar w:fldCharType="begin"/>
      </w:r>
      <w:r w:rsidRPr="004646AE">
        <w:rPr>
          <w:lang w:val="en-GB"/>
        </w:rPr>
        <w:instrText xml:space="preserve"> HYPERLINK  "https://www.biodiritto.org/Biolaw-pedia/Giurisprudenza/Belgio-Cour-constitutionnelle-sent.-153-2015-decisione-della-Corte-costituzionale-sulla-legge-che-estende-l-eutanasia-ai-minori" </w:instrText>
      </w:r>
      <w:r>
        <w:rPr>
          <w:rFonts w:ascii="Aptos" w:hAnsi="Aptos"/>
        </w:rPr>
      </w:r>
      <w:r>
        <w:rPr>
          <w:rFonts w:ascii="Aptos" w:hAnsi="Aptos"/>
        </w:rPr>
        <w:fldChar w:fldCharType="separate"/>
      </w:r>
      <w:r w:rsidRPr="004646AE">
        <w:rPr>
          <w:rStyle w:val="Hyperlink"/>
          <w:lang w:val="en-GB"/>
        </w:rPr>
        <w:t>https://www.biodiritto.org/Biolaw-pedia/Giurisprudenza/Belgio-Cour-constitutionnelle-sent.-153-2015-decisione-della-Corte-costituzionale-sulla-legge-che-estende-l-eutanasia-ai-minori</w:t>
      </w:r>
      <w:r>
        <w:rPr>
          <w:rStyle w:val="Hyperlink"/>
        </w:rPr>
        <w:fldChar w:fldCharType="end"/>
      </w:r>
      <w:bookmarkEnd w:id="35"/>
    </w:p>
  </w:footnote>
  <w:footnote w:id="270">
    <w:p w14:paraId="6348CA6F" w14:textId="5E1698E8"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Henry, S. (2022, December 13). Northern French seeking euthanasia find legal option in Belgium. Le Monde (English edition). Retrieved 08.22.2025, From: </w:t>
      </w:r>
      <w:hyperlink r:id="rId232" w:anchor=":~:text=Northern%20French%20seeking%20euthanasia%20find,Belgian%20institutions%20to%20impose%20restrictions" w:history="1">
        <w:r w:rsidRPr="00A27EAE">
          <w:rPr>
            <w:rStyle w:val="Hyperlink"/>
            <w:lang w:val="en-US"/>
          </w:rPr>
          <w:t>https://www.lemonde.fr/en/france/article/2022/12/13/northern-french-seeking-euthanasia-find-legal-option-in-belgium_6007595_7.html#:~:text=Northern%20French%20seeking%20euthanasia%20find,Belgian%20institutions%20to%20impose%20restrictions</w:t>
        </w:r>
      </w:hyperlink>
    </w:p>
  </w:footnote>
  <w:footnote w:id="271">
    <w:p w14:paraId="7A8ADD90" w14:textId="23F4EC00"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Law on euthanasia and assisted suicide (Mémorial A</w:t>
      </w:r>
      <w:r w:rsidRPr="00A27EAE">
        <w:rPr>
          <w:lang w:val="en-US"/>
        </w:rPr>
        <w:noBreakHyphen/>
        <w:t xml:space="preserve">No 46). Luxembourg. (2009). Retrieved 08.22.2025, From: </w:t>
      </w:r>
      <w:hyperlink r:id="rId233" w:history="1">
        <w:r w:rsidRPr="00A27EAE">
          <w:rPr>
            <w:rStyle w:val="Hyperlink"/>
            <w:lang w:val="en-US"/>
          </w:rPr>
          <w:t>https://legilux.public.lu/eli/etat/leg/loi/2009/0</w:t>
        </w:r>
        <w:bookmarkStart w:id="37" w:name="_Hlt206880690"/>
        <w:bookmarkStart w:id="38" w:name="_Hlt206880691"/>
        <w:r w:rsidRPr="00A27EAE">
          <w:rPr>
            <w:rStyle w:val="Hyperlink"/>
            <w:lang w:val="en-US"/>
          </w:rPr>
          <w:t>3</w:t>
        </w:r>
        <w:bookmarkEnd w:id="37"/>
        <w:bookmarkEnd w:id="38"/>
        <w:r w:rsidRPr="00A27EAE">
          <w:rPr>
            <w:rStyle w:val="Hyperlink"/>
            <w:lang w:val="en-US"/>
          </w:rPr>
          <w:t>/16/n2/jo</w:t>
        </w:r>
      </w:hyperlink>
    </w:p>
  </w:footnote>
  <w:footnote w:id="272">
    <w:p w14:paraId="3C62C3F7" w14:textId="060E8F2D"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Schwarzová, A. (2025). Best practices on informed consent procedures in sensitive areas of medical practice. Bioethica, 11(1), 64-80. </w:t>
      </w:r>
      <w:hyperlink r:id="rId234" w:history="1">
        <w:r w:rsidRPr="00A27EAE">
          <w:rPr>
            <w:rStyle w:val="Hyperlink"/>
            <w:lang w:val="en-US"/>
          </w:rPr>
          <w:t>https://doi.org/10.12681/bioeth.40932</w:t>
        </w:r>
      </w:hyperlink>
    </w:p>
  </w:footnote>
  <w:footnote w:id="273">
    <w:p w14:paraId="3404AEE0" w14:textId="45893AA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Bertini, I. (2025). The Right to Die: Autonomy at the Limits. Voices in Bioethics, 11. </w:t>
      </w:r>
      <w:hyperlink r:id="rId235" w:history="1">
        <w:r w:rsidR="003A148E" w:rsidRPr="006D1376">
          <w:rPr>
            <w:rStyle w:val="Hyperlink"/>
            <w:lang w:val="en-US"/>
          </w:rPr>
          <w:t>https://doi.org/10.52214/vib.v11i.13787</w:t>
        </w:r>
      </w:hyperlink>
      <w:r w:rsidR="003A148E">
        <w:rPr>
          <w:lang w:val="en-US"/>
        </w:rPr>
        <w:t xml:space="preserve"> </w:t>
      </w:r>
    </w:p>
  </w:footnote>
  <w:footnote w:id="274">
    <w:p w14:paraId="32B5A08A" w14:textId="77975649" w:rsidR="00A70645" w:rsidRPr="00DE73E3" w:rsidRDefault="00A70645" w:rsidP="00312DC1">
      <w:pPr>
        <w:pStyle w:val="FootnoteText"/>
        <w:jc w:val="both"/>
        <w:rPr>
          <w:lang w:val="es-ES"/>
        </w:rPr>
      </w:pPr>
      <w:r w:rsidRPr="00342F4C">
        <w:rPr>
          <w:rStyle w:val="FootnoteReference"/>
        </w:rPr>
        <w:footnoteRef/>
      </w:r>
      <w:r>
        <w:t xml:space="preserve"> </w:t>
      </w:r>
      <w:bookmarkStart w:id="39" w:name="_Hlk217766970"/>
      <w:r>
        <w:t xml:space="preserve">Ley Orgánica 3/2021, de 24 de marzo, de regulación de la eutanasia (BOE núm. 72). </w:t>
      </w:r>
      <w:r w:rsidRPr="00DE73E3">
        <w:rPr>
          <w:lang w:val="es-ES"/>
        </w:rPr>
        <w:t xml:space="preserve">Agencia Estatal Boletín Oficial del Estado. </w:t>
      </w:r>
      <w:bookmarkStart w:id="40" w:name="_Hlk206881428"/>
      <w:r w:rsidRPr="00DE73E3">
        <w:rPr>
          <w:lang w:val="es-ES"/>
        </w:rPr>
        <w:t xml:space="preserve">Retrieved 08.22.2025, From: </w:t>
      </w:r>
      <w:bookmarkEnd w:id="40"/>
      <w:r>
        <w:rPr>
          <w:rFonts w:ascii="Aptos" w:hAnsi="Aptos"/>
        </w:rPr>
        <w:fldChar w:fldCharType="begin"/>
      </w:r>
      <w:r w:rsidRPr="00DE73E3">
        <w:rPr>
          <w:lang w:val="es-ES"/>
        </w:rPr>
        <w:instrText xml:space="preserve"> HYPERLINK  "https://www.boe.es/eli/es/lo/2021/03/24/3" </w:instrText>
      </w:r>
      <w:r>
        <w:rPr>
          <w:rFonts w:ascii="Aptos" w:hAnsi="Aptos"/>
        </w:rPr>
      </w:r>
      <w:r>
        <w:rPr>
          <w:rFonts w:ascii="Aptos" w:hAnsi="Aptos"/>
        </w:rPr>
        <w:fldChar w:fldCharType="separate"/>
      </w:r>
      <w:r w:rsidRPr="00DE73E3">
        <w:rPr>
          <w:rStyle w:val="Hyperlink"/>
          <w:lang w:val="es-ES"/>
        </w:rPr>
        <w:t>https://www.boe.es/eli/es/lo/2021/03/24/3</w:t>
      </w:r>
      <w:r>
        <w:rPr>
          <w:rStyle w:val="Hyperlink"/>
        </w:rPr>
        <w:fldChar w:fldCharType="end"/>
      </w:r>
      <w:bookmarkEnd w:id="39"/>
    </w:p>
  </w:footnote>
  <w:footnote w:id="275">
    <w:p w14:paraId="7CDCADD0" w14:textId="03D61D6B" w:rsidR="00A70645" w:rsidRPr="00DE73E3" w:rsidRDefault="00A70645" w:rsidP="00312DC1">
      <w:pPr>
        <w:pStyle w:val="FootnoteText"/>
        <w:jc w:val="both"/>
        <w:rPr>
          <w:lang w:val="de-DE"/>
        </w:rPr>
      </w:pPr>
      <w:r w:rsidRPr="00342F4C">
        <w:rPr>
          <w:rStyle w:val="FootnoteReference"/>
        </w:rPr>
        <w:footnoteRef/>
      </w:r>
      <w:r w:rsidRPr="00DE73E3">
        <w:rPr>
          <w:lang w:val="de-DE"/>
        </w:rPr>
        <w:t xml:space="preserve"> Bundesministerium für Justiz. (s. f.). Sterbehilfe [en leicht</w:t>
      </w:r>
      <w:r w:rsidRPr="00DE73E3">
        <w:rPr>
          <w:lang w:val="de-DE"/>
        </w:rPr>
        <w:softHyphen/>
        <w:t xml:space="preserve">er Sprache]. Retrieved 08.22.2025, From:  </w:t>
      </w:r>
      <w:hyperlink r:id="rId236" w:history="1">
        <w:r w:rsidRPr="00DE73E3">
          <w:rPr>
            <w:rStyle w:val="Hyperlink"/>
            <w:lang w:val="de-DE"/>
          </w:rPr>
          <w:t>https://www.bmj.gv.at/service/Leichter-Lesen/Sterbehilfe.html?utm</w:t>
        </w:r>
      </w:hyperlink>
    </w:p>
  </w:footnote>
  <w:footnote w:id="276">
    <w:p w14:paraId="3905030B" w14:textId="48333EC1" w:rsidR="00A70645" w:rsidRPr="00DE73E3" w:rsidRDefault="00A70645" w:rsidP="00312DC1">
      <w:pPr>
        <w:pStyle w:val="FootnoteText"/>
        <w:jc w:val="both"/>
        <w:rPr>
          <w:lang w:val="de-DE"/>
        </w:rPr>
      </w:pPr>
      <w:r w:rsidRPr="00342F4C">
        <w:rPr>
          <w:rStyle w:val="FootnoteReference"/>
        </w:rPr>
        <w:footnoteRef/>
      </w:r>
      <w:r w:rsidRPr="00DE73E3">
        <w:rPr>
          <w:lang w:val="de-DE"/>
        </w:rPr>
        <w:t xml:space="preserve"> Bundesgesetz, mit dem ein Sterbeverfügungsgesetz erlassen und das Suchtmittelgesetz sowie das Strafgesetzbuch geändert werden (Ministerialentwurf). Parlament der Republik Österreich. (2021). Retrieved 08.22.2025, From:  </w:t>
      </w:r>
      <w:hyperlink r:id="rId237" w:history="1">
        <w:r w:rsidRPr="00DE73E3">
          <w:rPr>
            <w:rStyle w:val="Hyperlink"/>
            <w:lang w:val="de-DE"/>
          </w:rPr>
          <w:t>https://www.parlament.gv.at/dokument/XXVII/ME/150/imfname_1006947.pdf</w:t>
        </w:r>
      </w:hyperlink>
    </w:p>
  </w:footnote>
  <w:footnote w:id="277">
    <w:p w14:paraId="105287DA" w14:textId="70FB4462" w:rsidR="00A70645" w:rsidRPr="00CD214F" w:rsidRDefault="00A70645" w:rsidP="00312DC1">
      <w:pPr>
        <w:pStyle w:val="FootnoteText"/>
        <w:jc w:val="both"/>
        <w:rPr>
          <w:lang w:val="es-ES"/>
        </w:rPr>
      </w:pPr>
      <w:r w:rsidRPr="00342F4C">
        <w:rPr>
          <w:rStyle w:val="FootnoteReference"/>
        </w:rPr>
        <w:footnoteRef/>
      </w:r>
      <w:r w:rsidRPr="00ED3976">
        <w:rPr>
          <w:lang w:val="de-DE"/>
        </w:rPr>
        <w:t xml:space="preserve"> </w:t>
      </w:r>
      <w:bookmarkStart w:id="42" w:name="_Hlk217767001"/>
      <w:r w:rsidRPr="00ED3976">
        <w:rPr>
          <w:lang w:val="de-DE"/>
        </w:rPr>
        <w:t xml:space="preserve">Lei n.º 22/2023, de 25 de maio: Regula as condições em que a morte medicamente assistida não é punível e altera o Código Penal (Diário da República, 1.ª série, n.º 101, pp. 10–20). </w:t>
      </w:r>
      <w:r w:rsidRPr="00CD214F">
        <w:rPr>
          <w:lang w:val="es-ES"/>
        </w:rPr>
        <w:t xml:space="preserve">Assembleia da República. (2023).  Retrieved 08.22.2025, From: </w:t>
      </w:r>
      <w:hyperlink r:id="rId238" w:history="1">
        <w:r w:rsidRPr="00CD214F">
          <w:rPr>
            <w:rStyle w:val="Hyperlink"/>
            <w:lang w:val="es-ES"/>
          </w:rPr>
          <w:t>https://diariodarepublica.pt/dr/detalhe/lei/22-2023-213498831?utm</w:t>
        </w:r>
      </w:hyperlink>
    </w:p>
    <w:bookmarkEnd w:id="42"/>
  </w:footnote>
  <w:footnote w:id="278">
    <w:p w14:paraId="49327B47" w14:textId="727B4E5F" w:rsidR="00A70645" w:rsidRPr="00A27EAE" w:rsidRDefault="00A70645" w:rsidP="00312DC1">
      <w:pPr>
        <w:pStyle w:val="FootnoteText"/>
        <w:jc w:val="both"/>
        <w:rPr>
          <w:lang w:val="en-US"/>
        </w:rPr>
      </w:pPr>
      <w:r w:rsidRPr="00342F4C">
        <w:rPr>
          <w:rStyle w:val="FootnoteReference"/>
        </w:rPr>
        <w:footnoteRef/>
      </w:r>
      <w:bookmarkStart w:id="43" w:name="_Hlk217767034"/>
      <w:r>
        <w:t xml:space="preserve">Tribunal Constitucional. (2025). Acórdão n.º 307/2025: Comunicação sobre a declaração de inconstitucionalidade de várias normas da Lei da Morte Medicamente Assistida [Comunicado]. </w:t>
      </w:r>
      <w:bookmarkStart w:id="44" w:name="_Hlk206881848"/>
      <w:r w:rsidRPr="00A27EAE">
        <w:rPr>
          <w:lang w:val="en-US"/>
        </w:rPr>
        <w:t xml:space="preserve">Retrieved 08.22.2025, From: </w:t>
      </w:r>
      <w:bookmarkEnd w:id="44"/>
      <w:r>
        <w:rPr>
          <w:rFonts w:ascii="Aptos" w:hAnsi="Aptos"/>
        </w:rPr>
        <w:fldChar w:fldCharType="begin"/>
      </w:r>
      <w:r w:rsidRPr="00A27EAE">
        <w:rPr>
          <w:lang w:val="en-US"/>
        </w:rPr>
        <w:instrText xml:space="preserve"> HYPERLINK  "https://www.tribunalconstitucional.pt/tc/imprensa0200-bd8632.html?utm" </w:instrText>
      </w:r>
      <w:r>
        <w:rPr>
          <w:rFonts w:ascii="Aptos" w:hAnsi="Aptos"/>
        </w:rPr>
      </w:r>
      <w:r>
        <w:rPr>
          <w:rFonts w:ascii="Aptos" w:hAnsi="Aptos"/>
        </w:rPr>
        <w:fldChar w:fldCharType="separate"/>
      </w:r>
      <w:r w:rsidRPr="00A27EAE">
        <w:rPr>
          <w:rStyle w:val="Hyperlink"/>
          <w:lang w:val="en-US"/>
        </w:rPr>
        <w:t>https://www.tribunalconstitucional.pt/tc/imprensa0200-bd8632.html?utm</w:t>
      </w:r>
      <w:r>
        <w:rPr>
          <w:rStyle w:val="Hyperlink"/>
        </w:rPr>
        <w:fldChar w:fldCharType="end"/>
      </w:r>
      <w:bookmarkEnd w:id="43"/>
    </w:p>
  </w:footnote>
  <w:footnote w:id="279">
    <w:p w14:paraId="30B03EC4" w14:textId="7F7A8C91" w:rsidR="00A70645" w:rsidRPr="00A27EAE" w:rsidRDefault="00A70645" w:rsidP="00312DC1">
      <w:pPr>
        <w:pStyle w:val="FootnoteText"/>
        <w:jc w:val="both"/>
        <w:rPr>
          <w:lang w:val="en-US"/>
        </w:rPr>
      </w:pPr>
      <w:r w:rsidRPr="00342F4C">
        <w:rPr>
          <w:rStyle w:val="FootnoteReference"/>
        </w:rPr>
        <w:footnoteRef/>
      </w:r>
      <w:r w:rsidRPr="00ED3976">
        <w:rPr>
          <w:lang w:val="en-US"/>
        </w:rPr>
        <w:t xml:space="preserve"> Healthcare Denmark. (s. f.). Digital infrastructure. En Digitalisation. </w:t>
      </w:r>
      <w:bookmarkStart w:id="45" w:name="_Hlk206881973"/>
      <w:r w:rsidRPr="00A27EAE">
        <w:rPr>
          <w:lang w:val="en-US"/>
        </w:rPr>
        <w:t xml:space="preserve">Retrieved 08.22.2025, From: </w:t>
      </w:r>
      <w:bookmarkEnd w:id="45"/>
      <w:r>
        <w:rPr>
          <w:rFonts w:ascii="Aptos" w:hAnsi="Aptos"/>
        </w:rPr>
        <w:fldChar w:fldCharType="begin"/>
      </w:r>
      <w:r w:rsidRPr="00A27EAE">
        <w:rPr>
          <w:lang w:val="en-US"/>
        </w:rPr>
        <w:instrText xml:space="preserve"> HYPERLINK  "https://healthcaredenmark.dk/national-strongholds/digitalisation/digital-infrastructure/" </w:instrText>
      </w:r>
      <w:r>
        <w:rPr>
          <w:rFonts w:ascii="Aptos" w:hAnsi="Aptos"/>
        </w:rPr>
      </w:r>
      <w:r>
        <w:rPr>
          <w:rFonts w:ascii="Aptos" w:hAnsi="Aptos"/>
        </w:rPr>
        <w:fldChar w:fldCharType="separate"/>
      </w:r>
      <w:r w:rsidRPr="00A27EAE">
        <w:rPr>
          <w:rStyle w:val="Hyperlink"/>
          <w:lang w:val="en-US"/>
        </w:rPr>
        <w:t>https://healthcaredenmark.dk/national-strongholds/digitalisation/digital-infrastructure/</w:t>
      </w:r>
      <w:r>
        <w:rPr>
          <w:rStyle w:val="Hyperlink"/>
        </w:rPr>
        <w:fldChar w:fldCharType="end"/>
      </w:r>
    </w:p>
  </w:footnote>
  <w:footnote w:id="280">
    <w:p w14:paraId="7464B539" w14:textId="77777777" w:rsidR="00A70645" w:rsidRPr="00DE73E3" w:rsidRDefault="00A70645" w:rsidP="00312DC1">
      <w:pPr>
        <w:pStyle w:val="FootnoteText"/>
        <w:jc w:val="both"/>
        <w:rPr>
          <w:lang w:val="es-ES"/>
        </w:rPr>
      </w:pPr>
      <w:r w:rsidRPr="00342F4C">
        <w:rPr>
          <w:rStyle w:val="FootnoteReference"/>
        </w:rPr>
        <w:footnoteRef/>
      </w:r>
      <w:r w:rsidRPr="00DE73E3">
        <w:rPr>
          <w:lang w:val="es-ES"/>
        </w:rPr>
        <w:t xml:space="preserve"> Orsini, F., Cioffi, A., Cipolloni, L., Bosco, M. A., Fabrello, C., Cecannecchia, C., &amp; De Simone, S. (2025). </w:t>
      </w:r>
      <w:r w:rsidRPr="00A27EAE">
        <w:rPr>
          <w:lang w:val="en-US"/>
        </w:rPr>
        <w:t>Towards a European End-of-Life Regulation: A Necessary Analysis. </w:t>
      </w:r>
      <w:r w:rsidRPr="00DE73E3">
        <w:rPr>
          <w:i/>
          <w:iCs/>
          <w:lang w:val="es-ES"/>
        </w:rPr>
        <w:t>Healthcare</w:t>
      </w:r>
      <w:r w:rsidRPr="00DE73E3">
        <w:rPr>
          <w:lang w:val="es-ES"/>
        </w:rPr>
        <w:t>, </w:t>
      </w:r>
      <w:r w:rsidRPr="00DE73E3">
        <w:rPr>
          <w:i/>
          <w:iCs/>
          <w:lang w:val="es-ES"/>
        </w:rPr>
        <w:t>13</w:t>
      </w:r>
      <w:r w:rsidRPr="00DE73E3">
        <w:rPr>
          <w:lang w:val="es-ES"/>
        </w:rPr>
        <w:t>(2), 130. https://doi.org/10.3390/healthcare13020130</w:t>
      </w:r>
    </w:p>
  </w:footnote>
  <w:footnote w:id="281">
    <w:p w14:paraId="56894B9C" w14:textId="1B6F92D6" w:rsidR="00A70645" w:rsidRPr="00CB0C3C" w:rsidRDefault="00A70645" w:rsidP="00312DC1">
      <w:pPr>
        <w:pStyle w:val="FootnoteText"/>
        <w:jc w:val="both"/>
        <w:rPr>
          <w:lang w:val="es-ES"/>
        </w:rPr>
      </w:pPr>
      <w:r w:rsidRPr="00342F4C">
        <w:rPr>
          <w:rStyle w:val="FootnoteReference"/>
        </w:rPr>
        <w:footnoteRef/>
      </w:r>
      <w:r w:rsidRPr="00DE73E3">
        <w:rPr>
          <w:lang w:val="es-ES"/>
        </w:rPr>
        <w:t xml:space="preserve"> Regio Decreto n. 1398: Approvazione del testo definitivo del Codice Penale (Gazzetta Ufficiale, Serie Generale n. 251, 26 ottobre 1930). </w:t>
      </w:r>
      <w:r w:rsidRPr="00CB0C3C">
        <w:rPr>
          <w:lang w:val="es-ES"/>
        </w:rPr>
        <w:t xml:space="preserve">Italia. </w:t>
      </w:r>
      <w:bookmarkStart w:id="46" w:name="_Hlk206882062"/>
      <w:r w:rsidRPr="00CB0C3C">
        <w:rPr>
          <w:lang w:val="es-ES"/>
        </w:rPr>
        <w:t>Retrieved 08.22.2025, From:</w:t>
      </w:r>
      <w:bookmarkEnd w:id="46"/>
      <w:r w:rsidRPr="00CB0C3C">
        <w:rPr>
          <w:lang w:val="es-ES"/>
        </w:rPr>
        <w:t xml:space="preserve"> </w:t>
      </w:r>
      <w:hyperlink r:id="rId239" w:history="1">
        <w:r w:rsidRPr="00CB0C3C">
          <w:rPr>
            <w:rStyle w:val="Hyperlink"/>
            <w:lang w:val="es-ES"/>
          </w:rPr>
          <w:t>https://www.gazzettaufficiale.it/sommario/codici/codicePenale</w:t>
        </w:r>
      </w:hyperlink>
    </w:p>
  </w:footnote>
  <w:footnote w:id="282">
    <w:p w14:paraId="6C267BE8" w14:textId="77777777" w:rsidR="00A70645" w:rsidRPr="00A27EAE" w:rsidRDefault="00A70645" w:rsidP="00312DC1">
      <w:pPr>
        <w:pStyle w:val="FootnoteText"/>
        <w:jc w:val="both"/>
        <w:rPr>
          <w:lang w:val="en-US"/>
        </w:rPr>
      </w:pPr>
      <w:r w:rsidRPr="00342F4C">
        <w:rPr>
          <w:rStyle w:val="FootnoteReference"/>
        </w:rPr>
        <w:footnoteRef/>
      </w:r>
      <w:bookmarkStart w:id="47" w:name="_Hlk217767070"/>
      <w:r w:rsidRPr="00CB0C3C">
        <w:rPr>
          <w:lang w:val="es-ES"/>
        </w:rPr>
        <w:t xml:space="preserve">Corte Costituzionale. (2019, 22 de noviembre). Sentenza n. 242/2019 (ECLI:IT:COST:2019:242): Giudizio di legittimità costituzionale in via incidentale. Deposito: 22 de noviembre de 2019; pubblicazione in Gazzetta Ufficiale: 27 de noviembre de 2019 (Gazzetta Ufficiale n. 48). </w:t>
      </w:r>
      <w:r w:rsidRPr="00A27EAE">
        <w:rPr>
          <w:lang w:val="en-US"/>
        </w:rPr>
        <w:t xml:space="preserve">Retrieved 08.22.2025, From: </w:t>
      </w:r>
      <w:hyperlink r:id="rId240" w:history="1">
        <w:r w:rsidRPr="00A27EAE">
          <w:rPr>
            <w:rStyle w:val="Hyperlink"/>
            <w:lang w:val="en-US"/>
          </w:rPr>
          <w:t>https://www.cortecostituzionale.it/actionSchedaPronuncia.do?param_ecli=ECLI%3AIT%3ACOST%3A2019%3A242&amp;utm</w:t>
        </w:r>
      </w:hyperlink>
      <w:bookmarkEnd w:id="47"/>
    </w:p>
  </w:footnote>
  <w:footnote w:id="283">
    <w:p w14:paraId="1B6C6420" w14:textId="2260CE79" w:rsidR="00A70645" w:rsidRPr="00A27EAE" w:rsidRDefault="00A70645" w:rsidP="00312DC1">
      <w:pPr>
        <w:pStyle w:val="FootnoteText"/>
        <w:jc w:val="both"/>
        <w:rPr>
          <w:lang w:val="en-US"/>
        </w:rPr>
      </w:pPr>
      <w:r w:rsidRPr="00342F4C">
        <w:rPr>
          <w:rStyle w:val="FootnoteReference"/>
        </w:rPr>
        <w:footnoteRef/>
      </w:r>
      <w:bookmarkStart w:id="48" w:name="_Hlk217767111"/>
      <w:r w:rsidRPr="00DE73E3">
        <w:rPr>
          <w:lang w:val="es-ES"/>
        </w:rPr>
        <w:t xml:space="preserve">Regione Toscana. (2025). Legge regionale 14 marzo 2025, n. 16: Modalità organizzative per l’attuazione delle sentenze della Corte costituzionale 242/2019 e 135/2024. </w:t>
      </w:r>
      <w:bookmarkStart w:id="49" w:name="_Hlk206953656"/>
      <w:r w:rsidRPr="00A27EAE">
        <w:rPr>
          <w:lang w:val="en-US"/>
        </w:rPr>
        <w:t>Retrieved 08.22.2025, From:</w:t>
      </w:r>
      <w:bookmarkEnd w:id="49"/>
      <w:r w:rsidRPr="00A27EAE">
        <w:rPr>
          <w:lang w:val="en-US"/>
        </w:rPr>
        <w:t xml:space="preserve"> </w:t>
      </w:r>
      <w:hyperlink r:id="rId241" w:history="1">
        <w:r w:rsidRPr="00A27EAE">
          <w:rPr>
            <w:rStyle w:val="Hyperlink"/>
            <w:lang w:val="en-US"/>
          </w:rPr>
          <w:t>https://raccoltanormativa.consiglio.regione.toscana.it/articolo?urndoc=urn%3Anir%3Aregione.toscana%3Alegge%3A2025-03-14%3B16&amp;utm</w:t>
        </w:r>
      </w:hyperlink>
    </w:p>
    <w:bookmarkEnd w:id="48"/>
  </w:footnote>
  <w:footnote w:id="284">
    <w:p w14:paraId="2849E862" w14:textId="77777777" w:rsidR="00A70645" w:rsidRPr="00A27EAE" w:rsidRDefault="00A70645" w:rsidP="00312DC1">
      <w:pPr>
        <w:pStyle w:val="FootnoteText"/>
        <w:jc w:val="both"/>
        <w:rPr>
          <w:lang w:val="en-US"/>
        </w:rPr>
      </w:pPr>
      <w:r w:rsidRPr="00342F4C">
        <w:rPr>
          <w:rStyle w:val="FootnoteReference"/>
        </w:rPr>
        <w:footnoteRef/>
      </w:r>
      <w:r w:rsidRPr="00DE73E3">
        <w:rPr>
          <w:lang w:val="es-ES"/>
        </w:rPr>
        <w:t xml:space="preserve"> Orsini, F., Cioffi, A., Cipolloni, L., Bosco, M. A., Fabrello, C., Cecannecchia, C., &amp; De Simone, S. (2025). </w:t>
      </w:r>
      <w:r w:rsidRPr="00A27EAE">
        <w:rPr>
          <w:lang w:val="en-US"/>
        </w:rPr>
        <w:t>Towards a European End-of-Life Regulation: A Necessary Analysis. </w:t>
      </w:r>
      <w:r w:rsidRPr="00A27EAE">
        <w:rPr>
          <w:i/>
          <w:iCs/>
          <w:lang w:val="en-US"/>
        </w:rPr>
        <w:t>Healthcare</w:t>
      </w:r>
      <w:r w:rsidRPr="00A27EAE">
        <w:rPr>
          <w:lang w:val="en-US"/>
        </w:rPr>
        <w:t>, </w:t>
      </w:r>
      <w:r w:rsidRPr="00A27EAE">
        <w:rPr>
          <w:i/>
          <w:iCs/>
          <w:lang w:val="en-US"/>
        </w:rPr>
        <w:t>13</w:t>
      </w:r>
      <w:r w:rsidRPr="00A27EAE">
        <w:rPr>
          <w:lang w:val="en-US"/>
        </w:rPr>
        <w:t>(2), 130. https://doi.org/10.3390/healthcare13020130</w:t>
      </w:r>
    </w:p>
  </w:footnote>
  <w:footnote w:id="285">
    <w:p w14:paraId="3664B964" w14:textId="76DDAA4E"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Swiss Criminal Code (1937). The Federal Assembly the Swiss Confederation. Retrieved 08.22.2025, From: </w:t>
      </w:r>
      <w:hyperlink r:id="rId242" w:history="1">
        <w:r w:rsidRPr="00A27EAE">
          <w:rPr>
            <w:rStyle w:val="Hyperlink"/>
            <w:lang w:val="en-US"/>
          </w:rPr>
          <w:t>https://www.f</w:t>
        </w:r>
        <w:bookmarkStart w:id="51" w:name="_Hlt206953528"/>
        <w:bookmarkStart w:id="52" w:name="_Hlt206953529"/>
        <w:r w:rsidRPr="00A27EAE">
          <w:rPr>
            <w:rStyle w:val="Hyperlink"/>
            <w:lang w:val="en-US"/>
          </w:rPr>
          <w:t>e</w:t>
        </w:r>
        <w:bookmarkEnd w:id="51"/>
        <w:bookmarkEnd w:id="52"/>
        <w:r w:rsidRPr="00A27EAE">
          <w:rPr>
            <w:rStyle w:val="Hyperlink"/>
            <w:lang w:val="en-US"/>
          </w:rPr>
          <w:t>dlex.admin.ch/eli/cc/54/757_781_799/de?utm</w:t>
        </w:r>
      </w:hyperlink>
    </w:p>
  </w:footnote>
  <w:footnote w:id="286">
    <w:p w14:paraId="2BA1A4B2" w14:textId="2FFE30AB" w:rsidR="00A70645" w:rsidRPr="00A27EAE" w:rsidRDefault="00A70645" w:rsidP="00F7751E">
      <w:pPr>
        <w:pStyle w:val="FootnoteText"/>
        <w:jc w:val="both"/>
        <w:rPr>
          <w:lang w:val="en-US"/>
        </w:rPr>
      </w:pPr>
      <w:r w:rsidRPr="00342F4C">
        <w:rPr>
          <w:rStyle w:val="FootnoteReference"/>
        </w:rPr>
        <w:footnoteRef/>
      </w:r>
      <w:r w:rsidRPr="00DE73E3">
        <w:rPr>
          <w:lang w:val="de-DE"/>
        </w:rPr>
        <w:t xml:space="preserve"> Gesetzliche Regelung der Suizidhilfe in der Schweiz: ein kurzer Überblick (n.d.). </w:t>
      </w:r>
      <w:r w:rsidRPr="00A27EAE">
        <w:rPr>
          <w:lang w:val="en-US"/>
        </w:rPr>
        <w:t>Retrieved 08.22.2025, From: https://www.exit.ch/artikel/gesetzliche-regelung-der-suizidhilfe-in-der-schweiz-ein-kurzer-ueberblick/?utm</w:t>
      </w:r>
    </w:p>
  </w:footnote>
  <w:footnote w:id="287">
    <w:p w14:paraId="733809B7" w14:textId="30DB74F0"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Canada’s medical assistance in dying (MAID) law (2024). Government of Canada.  Retrieved 08.22.2025, From: </w:t>
      </w:r>
      <w:hyperlink r:id="rId243" w:history="1">
        <w:r w:rsidRPr="00A27EAE">
          <w:rPr>
            <w:rStyle w:val="Hyperlink"/>
            <w:lang w:val="en-US"/>
          </w:rPr>
          <w:t>https://www.justice.gc.ca/eng</w:t>
        </w:r>
        <w:bookmarkStart w:id="53" w:name="_Hlt206953871"/>
        <w:bookmarkStart w:id="54" w:name="_Hlt206953872"/>
        <w:r w:rsidRPr="00A27EAE">
          <w:rPr>
            <w:rStyle w:val="Hyperlink"/>
            <w:lang w:val="en-US"/>
          </w:rPr>
          <w:t>/</w:t>
        </w:r>
        <w:bookmarkEnd w:id="53"/>
        <w:bookmarkEnd w:id="54"/>
        <w:r w:rsidRPr="00A27EAE">
          <w:rPr>
            <w:rStyle w:val="Hyperlink"/>
            <w:lang w:val="en-US"/>
          </w:rPr>
          <w:t>cj-jp/ad-am/bk-di.html?utm</w:t>
        </w:r>
      </w:hyperlink>
    </w:p>
  </w:footnote>
  <w:footnote w:id="288">
    <w:p w14:paraId="47D9B581" w14:textId="6E21E5BD"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Criminal Code of Canada (R.S.C., 1985, c. C-46). Retrieved 08.22.2025, From: </w:t>
      </w:r>
      <w:hyperlink r:id="rId244" w:history="1">
        <w:r w:rsidRPr="00A27EAE">
          <w:rPr>
            <w:rStyle w:val="Hyperlink"/>
            <w:lang w:val="en-US"/>
          </w:rPr>
          <w:t>http</w:t>
        </w:r>
        <w:bookmarkStart w:id="55" w:name="_Hlt206953971"/>
        <w:bookmarkStart w:id="56" w:name="_Hlt206953972"/>
        <w:r w:rsidRPr="00A27EAE">
          <w:rPr>
            <w:rStyle w:val="Hyperlink"/>
            <w:lang w:val="en-US"/>
          </w:rPr>
          <w:t>s</w:t>
        </w:r>
        <w:bookmarkEnd w:id="55"/>
        <w:bookmarkEnd w:id="56"/>
        <w:r w:rsidRPr="00A27EAE">
          <w:rPr>
            <w:rStyle w:val="Hyperlink"/>
            <w:lang w:val="en-US"/>
          </w:rPr>
          <w:t>://laws-lois.justice.gc.ca/eng/acts/c-46/section-241.2.html?utm</w:t>
        </w:r>
      </w:hyperlink>
    </w:p>
  </w:footnote>
  <w:footnote w:id="289">
    <w:p w14:paraId="0614F1CE" w14:textId="7777777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Gupta, M., &amp; Downie, J. (2025). Interpreting and operationalizing the incurability requirement in Canada’s assisted dying legislation. Frontiers in Psychiatry, 16, 1549289. https://doi.org/10.3389/fpsyt.2025.1549289</w:t>
      </w:r>
    </w:p>
  </w:footnote>
  <w:footnote w:id="290">
    <w:p w14:paraId="6C8D1A70" w14:textId="25777999"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Fifth Annual Report on Medical Assistance in Dying in Canada (2023). Government of Canada. </w:t>
      </w:r>
      <w:bookmarkStart w:id="57" w:name="_Hlk206954376"/>
      <w:r w:rsidRPr="00A27EAE">
        <w:rPr>
          <w:lang w:val="en-US"/>
        </w:rPr>
        <w:t>Retrieved 08.22.2025, From:</w:t>
      </w:r>
      <w:bookmarkEnd w:id="57"/>
      <w:r w:rsidRPr="00A27EAE">
        <w:rPr>
          <w:lang w:val="en-US"/>
        </w:rPr>
        <w:t xml:space="preserve"> </w:t>
      </w:r>
      <w:hyperlink r:id="rId245" w:history="1">
        <w:r w:rsidRPr="00A27EAE">
          <w:rPr>
            <w:rStyle w:val="Hyperlink"/>
            <w:lang w:val="en-US"/>
          </w:rPr>
          <w:t>https://www</w:t>
        </w:r>
        <w:bookmarkStart w:id="58" w:name="_Hlt206954157"/>
        <w:bookmarkStart w:id="59" w:name="_Hlt206954158"/>
        <w:r w:rsidRPr="00A27EAE">
          <w:rPr>
            <w:rStyle w:val="Hyperlink"/>
            <w:lang w:val="en-US"/>
          </w:rPr>
          <w:t>.</w:t>
        </w:r>
        <w:bookmarkEnd w:id="58"/>
        <w:bookmarkEnd w:id="59"/>
        <w:r w:rsidRPr="00A27EAE">
          <w:rPr>
            <w:rStyle w:val="Hyperlink"/>
            <w:lang w:val="en-US"/>
          </w:rPr>
          <w:t>canada.ca/en/health-canada/services/publications/health-system-services/annual-report-medical-assistance-dying-2023.html?utm</w:t>
        </w:r>
      </w:hyperlink>
    </w:p>
  </w:footnote>
  <w:footnote w:id="291">
    <w:p w14:paraId="7C3C3A23" w14:textId="7380B8D2"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Reuters (2024). Canada to delay assisted death solely on mental illness until 2027. Retrieved 08.22.2025, From: </w:t>
      </w:r>
      <w:hyperlink r:id="rId246" w:history="1">
        <w:r w:rsidRPr="00A27EAE">
          <w:rPr>
            <w:rStyle w:val="Hyperlink"/>
            <w:lang w:val="en-US"/>
          </w:rPr>
          <w:t>https://www.reuter</w:t>
        </w:r>
        <w:bookmarkStart w:id="60" w:name="_Hlt206954318"/>
        <w:bookmarkStart w:id="61" w:name="_Hlt206954319"/>
        <w:r w:rsidRPr="00A27EAE">
          <w:rPr>
            <w:rStyle w:val="Hyperlink"/>
            <w:lang w:val="en-US"/>
          </w:rPr>
          <w:t>s</w:t>
        </w:r>
        <w:bookmarkEnd w:id="60"/>
        <w:bookmarkEnd w:id="61"/>
        <w:r w:rsidRPr="00A27EAE">
          <w:rPr>
            <w:rStyle w:val="Hyperlink"/>
            <w:lang w:val="en-US"/>
          </w:rPr>
          <w:t>.com/world/americas/canada-delay-assisted-death-solely-mental-illness-until-2027-2024-02-01/?utm</w:t>
        </w:r>
      </w:hyperlink>
    </w:p>
  </w:footnote>
  <w:footnote w:id="292">
    <w:p w14:paraId="2D8F4FDF" w14:textId="7777777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Oregon Health Authority (2024). Oregon death with dignity act data summary. Retrieved 08.22.2025, From: </w:t>
      </w:r>
      <w:hyperlink r:id="rId247" w:history="1">
        <w:r w:rsidRPr="00A27EAE">
          <w:rPr>
            <w:rStyle w:val="Hyperlink"/>
            <w:lang w:val="en-US"/>
          </w:rPr>
          <w:t>https://www.oregon.gov/oha/PH/PROVIDERPARTNERRESOURCES/EVALUATIONRESEARCH/DEATHWITHDIGNITYACT/Documents/year27.pdf</w:t>
        </w:r>
      </w:hyperlink>
    </w:p>
  </w:footnote>
  <w:footnote w:id="293">
    <w:p w14:paraId="6DF7DAED" w14:textId="2C3F531E" w:rsidR="00A70645" w:rsidRPr="00A27EAE" w:rsidRDefault="00A70645" w:rsidP="00312DC1">
      <w:pPr>
        <w:pStyle w:val="FootnoteText"/>
        <w:jc w:val="both"/>
        <w:rPr>
          <w:lang w:val="en-US"/>
        </w:rPr>
      </w:pPr>
      <w:r w:rsidRPr="00342F4C">
        <w:rPr>
          <w:rStyle w:val="FootnoteReference"/>
        </w:rPr>
        <w:footnoteRef/>
      </w:r>
      <w:r w:rsidRPr="00A27EAE">
        <w:rPr>
          <w:lang w:val="en-US"/>
        </w:rPr>
        <w:t>The Oregon death with dignity acts Oregon revised statutes 127.800-127.995 (1994). Retrieved 08.22.2025, From:</w:t>
      </w:r>
    </w:p>
    <w:p w14:paraId="5896A9C9" w14:textId="77777777" w:rsidR="00A70645" w:rsidRPr="00A27EAE" w:rsidRDefault="00A70645" w:rsidP="00312DC1">
      <w:pPr>
        <w:pStyle w:val="FootnoteText"/>
        <w:jc w:val="both"/>
        <w:rPr>
          <w:lang w:val="en-US"/>
        </w:rPr>
      </w:pPr>
      <w:r w:rsidRPr="00A27EAE">
        <w:rPr>
          <w:lang w:val="en-US"/>
        </w:rPr>
        <w:t>https://www.oregon.gov/oha/PH/PROVIDERPARTNERRESOURCES/EVALUATIONRESEARCH/DEATHWITHDIGNITYACT/Documents/statute.pdf?utm</w:t>
      </w:r>
    </w:p>
  </w:footnote>
  <w:footnote w:id="294">
    <w:p w14:paraId="26FC6F3E" w14:textId="14645F12"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Government of western Australia. Department of health (2021). Voluntary Assisted Dying. Retrieved 08.22.2025, From: </w:t>
      </w:r>
      <w:hyperlink r:id="rId248" w:history="1">
        <w:r w:rsidRPr="00A27EAE">
          <w:rPr>
            <w:rStyle w:val="Hyperlink"/>
            <w:lang w:val="en-US"/>
          </w:rPr>
          <w:t>https://www.health.wa.gov.au/voluntaryassisteddying?utm</w:t>
        </w:r>
      </w:hyperlink>
    </w:p>
  </w:footnote>
  <w:footnote w:id="295">
    <w:p w14:paraId="3D447497" w14:textId="699FFFB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Voluntary Assisted Dying (2025). End of Life Law in Australia. Retrieved 08.22.2025, From: </w:t>
      </w:r>
      <w:hyperlink r:id="rId249" w:history="1">
        <w:r w:rsidRPr="00A27EAE">
          <w:rPr>
            <w:rStyle w:val="Hyperlink"/>
            <w:lang w:val="en-US"/>
          </w:rPr>
          <w:t>https://end</w:t>
        </w:r>
        <w:bookmarkStart w:id="62" w:name="_Hlt206955145"/>
        <w:bookmarkStart w:id="63" w:name="_Hlt206955146"/>
        <w:r w:rsidRPr="00A27EAE">
          <w:rPr>
            <w:rStyle w:val="Hyperlink"/>
            <w:lang w:val="en-US"/>
          </w:rPr>
          <w:t>-</w:t>
        </w:r>
        <w:bookmarkEnd w:id="62"/>
        <w:bookmarkEnd w:id="63"/>
        <w:r w:rsidRPr="00A27EAE">
          <w:rPr>
            <w:rStyle w:val="Hyperlink"/>
            <w:lang w:val="en-US"/>
          </w:rPr>
          <w:t>of-life.qut.edu.au/assisteddying?utm</w:t>
        </w:r>
      </w:hyperlink>
    </w:p>
  </w:footnote>
  <w:footnote w:id="296">
    <w:p w14:paraId="0639A13F" w14:textId="3A2208F1"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Review of the End of Life Choice Act 2019 (2024). Ministry of health. Retrieved 08.22.2025, From: </w:t>
      </w:r>
      <w:hyperlink r:id="rId250" w:history="1">
        <w:r w:rsidRPr="00A27EAE">
          <w:rPr>
            <w:rStyle w:val="Hyperlink"/>
            <w:lang w:val="en-US"/>
          </w:rPr>
          <w:t>http</w:t>
        </w:r>
        <w:bookmarkStart w:id="64" w:name="_Hlt206955229"/>
        <w:bookmarkStart w:id="65" w:name="_Hlt206955230"/>
        <w:r w:rsidRPr="00A27EAE">
          <w:rPr>
            <w:rStyle w:val="Hyperlink"/>
            <w:lang w:val="en-US"/>
          </w:rPr>
          <w:t>s</w:t>
        </w:r>
        <w:bookmarkEnd w:id="64"/>
        <w:bookmarkEnd w:id="65"/>
        <w:r w:rsidRPr="00A27EAE">
          <w:rPr>
            <w:rStyle w:val="Hyperlink"/>
            <w:lang w:val="en-US"/>
          </w:rPr>
          <w:t>://www.health.govt.nz/publications/review-of-the-end-of-life-choice-act-2019</w:t>
        </w:r>
      </w:hyperlink>
    </w:p>
  </w:footnote>
  <w:footnote w:id="297">
    <w:p w14:paraId="6BEB9FF0" w14:textId="77777777" w:rsidR="00A70645" w:rsidRPr="00A27EAE" w:rsidRDefault="00A70645" w:rsidP="00312DC1">
      <w:pPr>
        <w:pStyle w:val="FootnoteText"/>
        <w:jc w:val="both"/>
        <w:rPr>
          <w:lang w:val="en-US"/>
        </w:rPr>
      </w:pPr>
      <w:r w:rsidRPr="00342F4C">
        <w:rPr>
          <w:rStyle w:val="FootnoteReference"/>
        </w:rPr>
        <w:footnoteRef/>
      </w:r>
      <w:r w:rsidRPr="00A27EAE">
        <w:rPr>
          <w:lang w:val="en-US"/>
        </w:rPr>
        <w:t>Britannica (2025). MAID: Medical Aid in Dying. Should medical aid in dying be legal? Retrieved 08.22.2025, From: https://www.britannica.com/procon/MAID-medical-aid-in-dying-debate</w:t>
      </w:r>
    </w:p>
  </w:footnote>
  <w:footnote w:id="298">
    <w:p w14:paraId="4963A0EA" w14:textId="77777777" w:rsidR="00A70645" w:rsidRPr="00A27EAE" w:rsidRDefault="00A70645" w:rsidP="00312DC1">
      <w:pPr>
        <w:pStyle w:val="FootnoteText"/>
        <w:jc w:val="both"/>
        <w:rPr>
          <w:lang w:val="en-US"/>
        </w:rPr>
      </w:pPr>
      <w:r w:rsidRPr="00342F4C">
        <w:rPr>
          <w:rStyle w:val="FootnoteReference"/>
        </w:rPr>
        <w:footnoteRef/>
      </w:r>
      <w:bookmarkStart w:id="66" w:name="_Hlk217767159"/>
      <w:r w:rsidRPr="00A27EAE">
        <w:rPr>
          <w:lang w:val="en-US"/>
        </w:rPr>
        <w:t>Constitutional Court case (2014) No. T-4.067.849. Retrieved 08.22.2025, From:  https://www.minsalud.gov.co/sites/rid/Lists/BibliotecaDigital/RIDE/INEC/IGUB/Sentencia-T-970-14.pdf</w:t>
      </w:r>
      <w:bookmarkEnd w:id="66"/>
    </w:p>
  </w:footnote>
  <w:footnote w:id="299">
    <w:p w14:paraId="0E210C0D" w14:textId="46BDC9E3"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Colombian Constitutional Court Expands Euthanasia Access Amid Growing Controversy (2024). Zenit. Retrieved 08.22.2025, From: </w:t>
      </w:r>
      <w:hyperlink r:id="rId251" w:history="1">
        <w:r w:rsidR="00CE5861" w:rsidRPr="00C07C1D">
          <w:rPr>
            <w:rStyle w:val="Hyperlink"/>
            <w:lang w:val="en-US"/>
          </w:rPr>
          <w:t>https://zenit.org/2024/11/27/colombian-constitutional-court-expands-euthanasia-access-amid-growing-controversy/?utm</w:t>
        </w:r>
      </w:hyperlink>
    </w:p>
  </w:footnote>
  <w:footnote w:id="300">
    <w:p w14:paraId="24D7F670" w14:textId="79F6D61D"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Rocío Gómez (2024). Ecuadorian Constitutional Court Legalizes Euthanasia. Americans united for life. Retrieved 08.22.2025, From: </w:t>
      </w:r>
      <w:hyperlink r:id="rId252" w:history="1">
        <w:r w:rsidR="00CE5861" w:rsidRPr="00C07C1D">
          <w:rPr>
            <w:rStyle w:val="Hyperlink"/>
            <w:lang w:val="en-US"/>
          </w:rPr>
          <w:t>https://aul.org/2024/06/11/ecuadorian-constitutional-court-legalizes-euthanasia/?utm</w:t>
        </w:r>
      </w:hyperlink>
    </w:p>
  </w:footnote>
  <w:footnote w:id="301">
    <w:p w14:paraId="0C15E482" w14:textId="0D810FC6"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Ecuador: Comprehensive Organic Criminal Code (2014). Refworld. Global law and policy database. Retrieved 08.22.2025, From: </w:t>
      </w:r>
      <w:hyperlink r:id="rId253" w:history="1">
        <w:r w:rsidR="00CE5861" w:rsidRPr="00C07C1D">
          <w:rPr>
            <w:rStyle w:val="Hyperlink"/>
            <w:lang w:val="en-US"/>
          </w:rPr>
          <w:t>https://www.refworld.org/legal/legislation/natlegbod/2014/es/104133?utm</w:t>
        </w:r>
      </w:hyperlink>
    </w:p>
  </w:footnote>
  <w:footnote w:id="302">
    <w:p w14:paraId="3EEBFD15" w14:textId="2B46CE83" w:rsidR="00A70645" w:rsidRPr="00A27EAE" w:rsidRDefault="00A70645" w:rsidP="00312DC1">
      <w:pPr>
        <w:pStyle w:val="FootnoteText"/>
        <w:jc w:val="both"/>
        <w:rPr>
          <w:lang w:val="en-US"/>
        </w:rPr>
      </w:pPr>
      <w:r w:rsidRPr="00342F4C">
        <w:rPr>
          <w:rStyle w:val="FootnoteReference"/>
        </w:rPr>
        <w:footnoteRef/>
      </w:r>
      <w:r w:rsidRPr="00DE73E3">
        <w:rPr>
          <w:lang w:val="es-ES"/>
        </w:rPr>
        <w:t xml:space="preserve"> Penal Code No. 9155 (1933). Normativa y avisos legales del Uruguay. </w:t>
      </w:r>
      <w:bookmarkStart w:id="67" w:name="_Hlk206957401"/>
      <w:r w:rsidRPr="00A27EAE">
        <w:rPr>
          <w:lang w:val="en-US"/>
        </w:rPr>
        <w:t xml:space="preserve">Retrieved 08.22.2025, From: </w:t>
      </w:r>
      <w:bookmarkEnd w:id="67"/>
      <w:r w:rsidRPr="00A27EAE">
        <w:rPr>
          <w:lang w:val="en-US"/>
        </w:rPr>
        <w:t xml:space="preserve"> </w:t>
      </w:r>
      <w:hyperlink r:id="rId254" w:history="1">
        <w:r w:rsidR="00CE5861" w:rsidRPr="00C07C1D">
          <w:rPr>
            <w:rStyle w:val="Hyperlink"/>
            <w:lang w:val="en-US"/>
          </w:rPr>
          <w:t>https://www.impo.com.uy/bases/codigo-penal/9155-1933</w:t>
        </w:r>
      </w:hyperlink>
    </w:p>
  </w:footnote>
  <w:footnote w:id="303">
    <w:p w14:paraId="7E58EEC2" w14:textId="566D382D" w:rsidR="00A70645" w:rsidRPr="00342F4C" w:rsidRDefault="00A70645" w:rsidP="00312DC1">
      <w:pPr>
        <w:pStyle w:val="FootnoteText"/>
        <w:jc w:val="both"/>
        <w:rPr>
          <w:lang w:val="en-US"/>
        </w:rPr>
      </w:pPr>
      <w:r w:rsidRPr="005774E0">
        <w:rPr>
          <w:rStyle w:val="FootnoteReference"/>
        </w:rPr>
        <w:footnoteRef/>
      </w:r>
      <w:r w:rsidRPr="005774E0">
        <w:rPr>
          <w:lang w:val="en-US"/>
        </w:rPr>
        <w:t xml:space="preserve"> Kalita, M. (2024). Euthanasia: A Comprehensive Analysis on Indian Perspective. </w:t>
      </w:r>
      <w:r w:rsidRPr="005774E0">
        <w:rPr>
          <w:i/>
          <w:iCs/>
          <w:lang w:val="en-US"/>
        </w:rPr>
        <w:t>Law &amp; World</w:t>
      </w:r>
      <w:r w:rsidRPr="005774E0">
        <w:rPr>
          <w:lang w:val="en-US"/>
        </w:rPr>
        <w:t>, </w:t>
      </w:r>
      <w:r w:rsidRPr="005774E0">
        <w:rPr>
          <w:i/>
          <w:iCs/>
          <w:lang w:val="en-US"/>
        </w:rPr>
        <w:t>32</w:t>
      </w:r>
      <w:r w:rsidRPr="005774E0">
        <w:rPr>
          <w:lang w:val="en-US"/>
        </w:rPr>
        <w:t>, 20.</w:t>
      </w:r>
    </w:p>
  </w:footnote>
  <w:footnote w:id="304">
    <w:p w14:paraId="34CC8A67" w14:textId="37110637" w:rsidR="00A70645" w:rsidRPr="00A27EAE" w:rsidRDefault="00A70645" w:rsidP="00312DC1">
      <w:pPr>
        <w:pStyle w:val="FootnoteText"/>
        <w:jc w:val="both"/>
        <w:rPr>
          <w:lang w:val="en-US"/>
        </w:rPr>
      </w:pPr>
      <w:r w:rsidRPr="00342F4C">
        <w:rPr>
          <w:rStyle w:val="FootnoteReference"/>
        </w:rPr>
        <w:footnoteRef/>
      </w:r>
      <w:r w:rsidRPr="004646AE">
        <w:rPr>
          <w:lang w:val="pl-PL"/>
        </w:rPr>
        <w:t xml:space="preserve"> Takeshita, K., Nagao, N., Dozono, T., Kamiya, K., &amp; Miura, Y. (2025). </w:t>
      </w:r>
      <w:r w:rsidRPr="00A27EAE">
        <w:rPr>
          <w:lang w:val="en-US"/>
        </w:rPr>
        <w:t xml:space="preserve">Withdrawal of life‐sustaining treatment in Japanese home care: A cross‐sectional survey. Journal of General and Family Medicine, 26(3), 213-221. </w:t>
      </w:r>
      <w:hyperlink r:id="rId255" w:history="1">
        <w:r w:rsidR="00CE5861" w:rsidRPr="00C07C1D">
          <w:rPr>
            <w:rStyle w:val="Hyperlink"/>
            <w:lang w:val="en-US"/>
          </w:rPr>
          <w:t>https://doi.org/10.1002/jgf2.771</w:t>
        </w:r>
      </w:hyperlink>
    </w:p>
  </w:footnote>
  <w:footnote w:id="305">
    <w:p w14:paraId="25E66A0F" w14:textId="23284D1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Petrakis, J. A. (2025). Comparing Euthanasia Regimes: Empirical and Normative Analysis. University of Notre Dame. Retrieved 08.22.2025, From:  </w:t>
      </w:r>
      <w:hyperlink r:id="rId256" w:history="1">
        <w:r w:rsidR="00CE5861" w:rsidRPr="00C07C1D">
          <w:rPr>
            <w:rStyle w:val="Hyperlink"/>
            <w:lang w:val="en-US"/>
          </w:rPr>
          <w:t>https://www.proquest.com/openview/66a2df0030254ce8bad2bda97ffa1077/1?pq-origsite=gscholar&amp;cbl=18750&amp;diss=y</w:t>
        </w:r>
      </w:hyperlink>
    </w:p>
  </w:footnote>
  <w:footnote w:id="306">
    <w:p w14:paraId="137F96B8" w14:textId="5C222E6A"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Del Villar, K., Willmott, L., &amp; White, B. P. (2025). Voluntary assisted dying—Australia in an international context. Medical Law Review, 33(3), fwaf025. </w:t>
      </w:r>
      <w:hyperlink r:id="rId257" w:history="1">
        <w:r w:rsidR="00CE5861" w:rsidRPr="00C07C1D">
          <w:rPr>
            <w:rStyle w:val="Hyperlink"/>
            <w:lang w:val="en-US"/>
          </w:rPr>
          <w:t>https://doi.org/10.1093/medlaw/fwaf025</w:t>
        </w:r>
      </w:hyperlink>
    </w:p>
  </w:footnote>
  <w:footnote w:id="307">
    <w:p w14:paraId="20C5DF72" w14:textId="265B8827"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Oh, J. J. (2025). The Power of Words: Rebranding Euthanasia and Undermining Life's Sanctity. The Linacre Quarterly, 00243639251356676. </w:t>
      </w:r>
      <w:hyperlink r:id="rId258" w:history="1">
        <w:r w:rsidR="00CE5861" w:rsidRPr="00C07C1D">
          <w:rPr>
            <w:rStyle w:val="Hyperlink"/>
            <w:lang w:val="en-US"/>
          </w:rPr>
          <w:t>https://doi.org/10.1177/00243639251356676</w:t>
        </w:r>
      </w:hyperlink>
    </w:p>
  </w:footnote>
  <w:footnote w:id="308">
    <w:p w14:paraId="6219E0A5" w14:textId="20830C5F" w:rsidR="00A70645" w:rsidRPr="00DE73E3" w:rsidRDefault="00A70645" w:rsidP="00312DC1">
      <w:pPr>
        <w:pStyle w:val="FootnoteText"/>
        <w:jc w:val="both"/>
        <w:rPr>
          <w:lang w:val="sv-SE"/>
        </w:rPr>
      </w:pPr>
      <w:r w:rsidRPr="00342F4C">
        <w:rPr>
          <w:rStyle w:val="FootnoteReference"/>
        </w:rPr>
        <w:footnoteRef/>
      </w:r>
      <w:r w:rsidRPr="00A27EAE">
        <w:rPr>
          <w:lang w:val="en-US"/>
        </w:rPr>
        <w:t xml:space="preserve"> Abal, F. G. (2025). Euthanasia, Anti‐Egalitarian Bias, and Breach of the Duty of Medical Care: A Reply to Rivera López. </w:t>
      </w:r>
      <w:r w:rsidRPr="00DE73E3">
        <w:rPr>
          <w:lang w:val="sv-SE"/>
        </w:rPr>
        <w:t xml:space="preserve">Bioethics. </w:t>
      </w:r>
      <w:hyperlink r:id="rId259" w:history="1">
        <w:r w:rsidR="00CE5861" w:rsidRPr="00DE73E3">
          <w:rPr>
            <w:rStyle w:val="Hyperlink"/>
            <w:lang w:val="sv-SE"/>
          </w:rPr>
          <w:t>https://doi.org/10.1111/bioe.13439</w:t>
        </w:r>
      </w:hyperlink>
    </w:p>
  </w:footnote>
  <w:footnote w:id="309">
    <w:p w14:paraId="15CBF7AE" w14:textId="5E7E67EF" w:rsidR="00A70645" w:rsidRPr="00A27EAE" w:rsidRDefault="00A70645" w:rsidP="00312DC1">
      <w:pPr>
        <w:pStyle w:val="FootnoteText"/>
        <w:jc w:val="both"/>
        <w:rPr>
          <w:lang w:val="en-US"/>
        </w:rPr>
      </w:pPr>
      <w:r w:rsidRPr="00342F4C">
        <w:rPr>
          <w:rStyle w:val="FootnoteReference"/>
        </w:rPr>
        <w:footnoteRef/>
      </w:r>
      <w:r w:rsidRPr="00DE73E3">
        <w:rPr>
          <w:lang w:val="sv-SE"/>
        </w:rPr>
        <w:t xml:space="preserve"> Gomez-Virseda, C., &amp; Gastmans, C. (2025). </w:t>
      </w:r>
      <w:r w:rsidRPr="00A27EAE">
        <w:rPr>
          <w:lang w:val="en-US"/>
        </w:rPr>
        <w:t xml:space="preserve">Conscientious objection in euthanasia and assisted suicide: A systematic review. PLoS One, 20(6), e0326142. </w:t>
      </w:r>
      <w:hyperlink r:id="rId260" w:history="1">
        <w:r w:rsidR="00CE5861" w:rsidRPr="00C07C1D">
          <w:rPr>
            <w:rStyle w:val="Hyperlink"/>
            <w:lang w:val="en-US"/>
          </w:rPr>
          <w:t>https://doi.org/10.1371/journal.pone.0326142</w:t>
        </w:r>
      </w:hyperlink>
    </w:p>
  </w:footnote>
  <w:footnote w:id="310">
    <w:p w14:paraId="4CE98A9A" w14:textId="32662A58"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Swiss Criminal Code (1937). The Federal Assembly the Swiss Confederation. Retrieved 08.22.2025, From: </w:t>
      </w:r>
      <w:hyperlink r:id="rId261" w:history="1">
        <w:r w:rsidR="00CE5861" w:rsidRPr="00C07C1D">
          <w:rPr>
            <w:rStyle w:val="Hyperlink"/>
            <w:lang w:val="en-US"/>
          </w:rPr>
          <w:t>https://www.fedlex.admin.ch/eli/cc/54/757_781_799/en?utm</w:t>
        </w:r>
      </w:hyperlink>
    </w:p>
  </w:footnote>
  <w:footnote w:id="311">
    <w:p w14:paraId="36771F38" w14:textId="147348BD"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Criminal Code of Canada (R.S.C., 1985, c. C-46). Retrieved 08.22.2025, From: </w:t>
      </w:r>
      <w:hyperlink r:id="rId262" w:history="1">
        <w:r w:rsidR="00CE5861" w:rsidRPr="00C07C1D">
          <w:rPr>
            <w:rStyle w:val="Hyperlink"/>
            <w:lang w:val="en-US"/>
          </w:rPr>
          <w:t>https://laws-lois.justice.gc.ca/eng/acts/c-46/section-241.html?utm</w:t>
        </w:r>
      </w:hyperlink>
    </w:p>
  </w:footnote>
  <w:footnote w:id="312">
    <w:p w14:paraId="12F5890E" w14:textId="25BA3B2D"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Swiss academies of arts and sciences (n.d.). Assisted suicide. Retrieved 08.22.2025, From: </w:t>
      </w:r>
      <w:hyperlink r:id="rId263" w:history="1">
        <w:r w:rsidR="00CE5861" w:rsidRPr="00C07C1D">
          <w:rPr>
            <w:rStyle w:val="Hyperlink"/>
            <w:lang w:val="en-US"/>
          </w:rPr>
          <w:t>https://www.samw.ch/en/Ethics/Topics-A-to-Z/Dying-and-death/Assisted-suicide.html?utm</w:t>
        </w:r>
      </w:hyperlink>
    </w:p>
  </w:footnote>
  <w:footnote w:id="313">
    <w:p w14:paraId="70978C2A" w14:textId="747CEFE2"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Dutch law on Termination of life on request and assisted suicide (2002). World federation right to die societies. Retrieved 08.22.2025, From: </w:t>
      </w:r>
      <w:hyperlink r:id="rId264" w:history="1">
        <w:r w:rsidR="00CE5861" w:rsidRPr="00C07C1D">
          <w:rPr>
            <w:rStyle w:val="Hyperlink"/>
            <w:lang w:val="en-US"/>
          </w:rPr>
          <w:t>https://wfrtds.org/dutch-law-on-termination-of-life-on-request-and-assisted-suicide-complete-text/?utm</w:t>
        </w:r>
      </w:hyperlink>
    </w:p>
  </w:footnote>
  <w:footnote w:id="314">
    <w:p w14:paraId="00E91C4D" w14:textId="780B9654"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Federal Commission for the Control and Evaluation of Euthanasia (2024). Federal public service. Health, food chain safety and environment. Retrieved 08.22.2025, From: </w:t>
      </w:r>
      <w:hyperlink r:id="rId265" w:history="1">
        <w:r w:rsidR="00CE5861" w:rsidRPr="00C07C1D">
          <w:rPr>
            <w:rStyle w:val="Hyperlink"/>
            <w:lang w:val="en-US"/>
          </w:rPr>
          <w:t>https://consultativebodies.health.belgium.be/en/advisory-and-consultative-bodies/federal-commission-control-and-evaluation-euthanasia?utm</w:t>
        </w:r>
      </w:hyperlink>
    </w:p>
  </w:footnote>
  <w:footnote w:id="315">
    <w:p w14:paraId="09EF5EF6" w14:textId="6F92FDA3"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Pretty v. the United Kingdom, App. No. 2346/02, Eur. Ct. H.R. (Apr. 29, 2002). </w:t>
      </w:r>
      <w:bookmarkStart w:id="70" w:name="_Hlk206959608"/>
      <w:r w:rsidRPr="00A27EAE">
        <w:rPr>
          <w:lang w:val="en-US"/>
        </w:rPr>
        <w:t>Retrieved 08.22.2025, From:</w:t>
      </w:r>
      <w:bookmarkEnd w:id="70"/>
      <w:r w:rsidRPr="00A27EAE">
        <w:rPr>
          <w:lang w:val="en-US"/>
        </w:rPr>
        <w:t xml:space="preserve"> </w:t>
      </w:r>
      <w:hyperlink r:id="rId266" w:anchor="{%22itemid%22:[%22002-5380%22]}" w:history="1">
        <w:r w:rsidRPr="00A27EAE">
          <w:rPr>
            <w:rStyle w:val="Hyperlink"/>
            <w:lang w:val="en-US"/>
          </w:rPr>
          <w:t>https://hudoc.echr.coe.int/eng#{%22itemid%22:[%22002-5380%22]}</w:t>
        </w:r>
      </w:hyperlink>
    </w:p>
  </w:footnote>
  <w:footnote w:id="316">
    <w:p w14:paraId="3F1AC48E" w14:textId="7519506C"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Haas v. Switzerland, App. No. 31322/07, Eur. Ct. H.R. (Jan. 20, 2011). Retrieved 08.22.2025, From: </w:t>
      </w:r>
      <w:hyperlink r:id="rId267" w:anchor="{%22itemid%22:[%22001-102940%22]}" w:history="1">
        <w:r w:rsidRPr="00A27EAE">
          <w:rPr>
            <w:rStyle w:val="Hyperlink"/>
            <w:lang w:val="en-US"/>
          </w:rPr>
          <w:t>https://hudoc.echr.coe.int/fre#{%22itemid%22:[%22001-102940%22]}</w:t>
        </w:r>
      </w:hyperlink>
    </w:p>
  </w:footnote>
  <w:footnote w:id="317">
    <w:p w14:paraId="00F361FB" w14:textId="672F22F6" w:rsidR="00A70645" w:rsidRPr="00A27EAE" w:rsidRDefault="00A70645" w:rsidP="00312DC1">
      <w:pPr>
        <w:pStyle w:val="FootnoteText"/>
        <w:jc w:val="both"/>
        <w:rPr>
          <w:lang w:val="en-US"/>
        </w:rPr>
      </w:pPr>
      <w:r w:rsidRPr="00342F4C">
        <w:rPr>
          <w:rStyle w:val="FootnoteReference"/>
        </w:rPr>
        <w:footnoteRef/>
      </w:r>
      <w:r w:rsidRPr="00A27EAE">
        <w:rPr>
          <w:lang w:val="en-US"/>
        </w:rPr>
        <w:t xml:space="preserve"> Koch v. Germany, App. No. 497/09, Eur. Ct. H.R. (dec.) (May 31, 2011). Retrieved 08.22.2025, From: </w:t>
      </w:r>
      <w:hyperlink r:id="rId268" w:anchor="{%22itemid%22:[%22001-105112%22]}" w:history="1">
        <w:r w:rsidR="00CE5861" w:rsidRPr="00C07C1D">
          <w:rPr>
            <w:rStyle w:val="Hyperlink"/>
            <w:lang w:val="en-US"/>
          </w:rPr>
          <w:t>https://hudoc.echr.coe.int/eng#{%22itemid%22:[%22001-105112%22]}</w:t>
        </w:r>
      </w:hyperlink>
    </w:p>
  </w:footnote>
  <w:footnote w:id="318">
    <w:p w14:paraId="140282A6" w14:textId="165D2E95" w:rsidR="00A70645" w:rsidRPr="00453316" w:rsidRDefault="00A70645" w:rsidP="00312DC1">
      <w:pPr>
        <w:pStyle w:val="FootnoteText"/>
        <w:jc w:val="both"/>
        <w:rPr>
          <w:lang w:val="en-US"/>
        </w:rPr>
      </w:pPr>
      <w:r w:rsidRPr="00342F4C">
        <w:rPr>
          <w:rStyle w:val="FootnoteReference"/>
        </w:rPr>
        <w:footnoteRef/>
      </w:r>
      <w:r w:rsidRPr="00A27EAE">
        <w:rPr>
          <w:lang w:val="en-US"/>
        </w:rPr>
        <w:t xml:space="preserve"> Dániel Karsai v. Hungary, App. No. 32312/23, Eur. Ct. H.R. (Mar. 21, 2024). </w:t>
      </w:r>
      <w:r w:rsidRPr="00453316">
        <w:rPr>
          <w:lang w:val="en-US"/>
        </w:rPr>
        <w:t xml:space="preserve">Retrieved 08.22.2025, From: </w:t>
      </w:r>
      <w:hyperlink r:id="rId269" w:anchor="{%22itemid%22:[%22001-234151%22]}" w:history="1">
        <w:r w:rsidR="00CE5861" w:rsidRPr="00453316">
          <w:rPr>
            <w:rStyle w:val="Hyperlink"/>
            <w:lang w:val="en-US"/>
          </w:rPr>
          <w:t>https://hudoc.echr.coe.int/eng#{%22itemid%22:[%22001-234151%22]}</w:t>
        </w:r>
      </w:hyperlink>
    </w:p>
  </w:footnote>
  <w:footnote w:id="319">
    <w:p w14:paraId="3E929E31" w14:textId="4E1720A7" w:rsidR="00CE5861" w:rsidRPr="001256EA" w:rsidRDefault="00CE5861" w:rsidP="00312DC1">
      <w:pPr>
        <w:pStyle w:val="FootnoteText"/>
        <w:jc w:val="both"/>
        <w:rPr>
          <w:lang w:val="lt-LT"/>
        </w:rPr>
      </w:pPr>
      <w:r w:rsidRPr="00957DD3">
        <w:rPr>
          <w:rStyle w:val="FootnoteReference"/>
        </w:rPr>
        <w:footnoteRef/>
      </w:r>
      <w:r w:rsidRPr="00453316">
        <w:rPr>
          <w:lang w:val="en-US"/>
        </w:rPr>
        <w:t xml:space="preserve"> </w:t>
      </w:r>
      <w:r w:rsidR="00690CEC" w:rsidRPr="001256EA">
        <w:rPr>
          <w:lang w:val="lt-LT"/>
        </w:rPr>
        <w:t>Pietsch, W. (2022). </w:t>
      </w:r>
      <w:r w:rsidR="00690CEC" w:rsidRPr="001256EA">
        <w:rPr>
          <w:i/>
          <w:iCs/>
          <w:lang w:val="lt-LT"/>
        </w:rPr>
        <w:t>On the epistemology of data science</w:t>
      </w:r>
      <w:r w:rsidR="00690CEC" w:rsidRPr="001256EA">
        <w:rPr>
          <w:lang w:val="lt-LT"/>
        </w:rPr>
        <w:t xml:space="preserve">. Springer International Publishing. </w:t>
      </w:r>
      <w:bookmarkStart w:id="73" w:name="_Hlk217212472"/>
      <w:r w:rsidR="00690CEC" w:rsidRPr="001256EA">
        <w:rPr>
          <w:lang w:val="en-GB"/>
        </w:rPr>
        <w:t>Retrieved 20.12.2025, From:</w:t>
      </w:r>
      <w:bookmarkEnd w:id="73"/>
      <w:r w:rsidR="00690CEC" w:rsidRPr="001256EA">
        <w:rPr>
          <w:lang w:val="en-GB"/>
        </w:rPr>
        <w:t xml:space="preserve"> </w:t>
      </w:r>
      <w:hyperlink r:id="rId270" w:history="1">
        <w:r w:rsidR="00690CEC" w:rsidRPr="001256EA">
          <w:rPr>
            <w:rStyle w:val="Hyperlink"/>
            <w:lang w:val="en-GB"/>
          </w:rPr>
          <w:t>https://link.springer.com/book/10.1007/978-3-030-86442-2</w:t>
        </w:r>
      </w:hyperlink>
      <w:r w:rsidR="00690CEC" w:rsidRPr="001256EA">
        <w:rPr>
          <w:lang w:val="en-GB"/>
        </w:rPr>
        <w:t xml:space="preserve"> </w:t>
      </w:r>
    </w:p>
  </w:footnote>
  <w:footnote w:id="320">
    <w:p w14:paraId="19CBA38E" w14:textId="3CDB4C30" w:rsidR="00CE5861" w:rsidRPr="00690CEC" w:rsidRDefault="00CE5861" w:rsidP="00312DC1">
      <w:pPr>
        <w:pStyle w:val="FootnoteText"/>
        <w:jc w:val="both"/>
        <w:rPr>
          <w:lang w:val="de-DE"/>
        </w:rPr>
      </w:pPr>
      <w:r w:rsidRPr="001256EA">
        <w:rPr>
          <w:rStyle w:val="FootnoteReference"/>
        </w:rPr>
        <w:footnoteRef/>
      </w:r>
      <w:r w:rsidRPr="001256EA">
        <w:rPr>
          <w:lang w:val="en-US"/>
        </w:rPr>
        <w:t xml:space="preserve"> </w:t>
      </w:r>
      <w:r w:rsidR="00690CEC" w:rsidRPr="001256EA">
        <w:rPr>
          <w:lang w:val="lt-LT"/>
        </w:rPr>
        <w:t>Salaymeh, L., &amp; Michaels, R. (2022). Decolonial Comparative Law: A Conceptual Beginning. </w:t>
      </w:r>
      <w:r w:rsidR="00690CEC" w:rsidRPr="001256EA">
        <w:rPr>
          <w:i/>
          <w:iCs/>
          <w:lang w:val="lt-LT"/>
        </w:rPr>
        <w:t>Rabels Zeitschrift für ausländisches und internationales Privatrecht/The Rabel Journal of Comparative and International Private Law</w:t>
      </w:r>
      <w:r w:rsidR="00690CEC" w:rsidRPr="001256EA">
        <w:rPr>
          <w:lang w:val="lt-LT"/>
        </w:rPr>
        <w:t>, 166-188.</w:t>
      </w:r>
    </w:p>
  </w:footnote>
  <w:footnote w:id="321">
    <w:p w14:paraId="344E4BB0" w14:textId="51F03DAA" w:rsidR="00CE5861" w:rsidRPr="001256EA" w:rsidRDefault="00CE5861" w:rsidP="00312DC1">
      <w:pPr>
        <w:pStyle w:val="FootnoteText"/>
        <w:jc w:val="both"/>
        <w:rPr>
          <w:lang w:val="en-US"/>
        </w:rPr>
      </w:pPr>
      <w:r w:rsidRPr="00957DD3">
        <w:rPr>
          <w:rStyle w:val="FootnoteReference"/>
        </w:rPr>
        <w:footnoteRef/>
      </w:r>
      <w:r w:rsidRPr="00791D87">
        <w:rPr>
          <w:lang w:val="en-US"/>
        </w:rPr>
        <w:t xml:space="preserve"> </w:t>
      </w:r>
      <w:r w:rsidR="00690CEC" w:rsidRPr="001256EA">
        <w:rPr>
          <w:lang w:val="lt-LT"/>
        </w:rPr>
        <w:t>Wacks, R. (2021). </w:t>
      </w:r>
      <w:r w:rsidR="00690CEC" w:rsidRPr="001256EA">
        <w:rPr>
          <w:i/>
          <w:iCs/>
          <w:lang w:val="lt-LT"/>
        </w:rPr>
        <w:t>Understanding jurisprudence: An introduction to legal theory</w:t>
      </w:r>
      <w:r w:rsidR="00690CEC" w:rsidRPr="001256EA">
        <w:rPr>
          <w:lang w:val="lt-LT"/>
        </w:rPr>
        <w:t xml:space="preserve">. Oxford University Press.  </w:t>
      </w:r>
      <w:r w:rsidR="00690CEC" w:rsidRPr="001256EA">
        <w:rPr>
          <w:lang w:val="en-GB"/>
        </w:rPr>
        <w:t xml:space="preserve">Retrieved 20.12.2025, From: </w:t>
      </w:r>
      <w:r w:rsidR="00690CEC" w:rsidRPr="001256EA">
        <w:rPr>
          <w:lang w:val="lt-LT"/>
        </w:rPr>
        <w:t>https://books.google.de/books?hl=en&amp;lr=&amp;id=yz0HEAAAQBAJ&amp;oi=fnd&amp;pg=PP1&amp;dq=Epistemological+perspectives+in+legal+theory.+&amp;ots=Pwq5PwGCVj&amp;sig=GJKXhJnMXA6n2FrJFBGyxWTUjSg&amp;redir_esc=y#v=onepage&amp;q=Epistemological%20perspectives%20in%20legal%20theory.&amp;f=false</w:t>
      </w:r>
    </w:p>
  </w:footnote>
  <w:footnote w:id="322">
    <w:p w14:paraId="3ABA7541" w14:textId="7140A3EB" w:rsidR="00CE5861" w:rsidRPr="001256EA" w:rsidRDefault="00CE5861" w:rsidP="00312DC1">
      <w:pPr>
        <w:pStyle w:val="FootnoteText"/>
        <w:jc w:val="both"/>
        <w:rPr>
          <w:lang w:val="lt-LT"/>
        </w:rPr>
      </w:pPr>
      <w:r w:rsidRPr="001256EA">
        <w:rPr>
          <w:rStyle w:val="FootnoteReference"/>
        </w:rPr>
        <w:footnoteRef/>
      </w:r>
      <w:r w:rsidRPr="001256EA">
        <w:rPr>
          <w:lang w:val="en-US"/>
        </w:rPr>
        <w:t xml:space="preserve"> </w:t>
      </w:r>
      <w:r w:rsidR="00690CEC" w:rsidRPr="001256EA">
        <w:rPr>
          <w:lang w:val="lt-LT"/>
        </w:rPr>
        <w:t>Husa, J. (2024). Comparative Law and Interdisciplinarity,“. </w:t>
      </w:r>
      <w:r w:rsidR="00690CEC" w:rsidRPr="001256EA">
        <w:rPr>
          <w:i/>
          <w:iCs/>
          <w:lang w:val="lt-LT"/>
        </w:rPr>
        <w:t>Law &amp;”(An Encyclopedia of Interdisciplinary Studies, Hong Kong University 2024)</w:t>
      </w:r>
      <w:r w:rsidR="00690CEC" w:rsidRPr="001256EA">
        <w:rPr>
          <w:lang w:val="lt-LT"/>
        </w:rPr>
        <w:t xml:space="preserve">. </w:t>
      </w:r>
      <w:bookmarkStart w:id="74" w:name="_Hlk217212653"/>
      <w:r w:rsidR="00690CEC" w:rsidRPr="001256EA">
        <w:rPr>
          <w:lang w:val="en-GB"/>
        </w:rPr>
        <w:t>Retrieved 20.12.2025, From:</w:t>
      </w:r>
      <w:bookmarkEnd w:id="74"/>
      <w:r w:rsidR="00690CEC" w:rsidRPr="001256EA">
        <w:rPr>
          <w:lang w:val="en-GB"/>
        </w:rPr>
        <w:t xml:space="preserve"> </w:t>
      </w:r>
      <w:r w:rsidR="00690CEC" w:rsidRPr="001256EA">
        <w:rPr>
          <w:lang w:val="lt-LT"/>
        </w:rPr>
        <w:t>https://cils.law.hku.hk/wp-content/uploads/2024/09/HKU-CILS-Entry-by-Husa-1.pdf</w:t>
      </w:r>
    </w:p>
  </w:footnote>
  <w:footnote w:id="323">
    <w:p w14:paraId="1E31220C" w14:textId="02AAEFCB" w:rsidR="00CE5861" w:rsidRPr="001256EA" w:rsidRDefault="00CE5861" w:rsidP="00312DC1">
      <w:pPr>
        <w:pStyle w:val="FootnoteText"/>
        <w:jc w:val="both"/>
        <w:rPr>
          <w:lang w:val="lt-LT"/>
        </w:rPr>
      </w:pPr>
      <w:r w:rsidRPr="001256EA">
        <w:rPr>
          <w:rStyle w:val="FootnoteReference"/>
        </w:rPr>
        <w:footnoteRef/>
      </w:r>
      <w:r w:rsidRPr="001256EA">
        <w:rPr>
          <w:lang w:val="en-US"/>
        </w:rPr>
        <w:t xml:space="preserve"> </w:t>
      </w:r>
      <w:r w:rsidR="003D0C40" w:rsidRPr="001256EA">
        <w:rPr>
          <w:lang w:val="lt-LT"/>
        </w:rPr>
        <w:t>Atiq, E. H. (2023). Legal positivism and the moral origins of legal systems. </w:t>
      </w:r>
      <w:r w:rsidR="003D0C40" w:rsidRPr="001256EA">
        <w:rPr>
          <w:i/>
          <w:iCs/>
          <w:lang w:val="lt-LT"/>
        </w:rPr>
        <w:t>Canadian Journal of Law &amp; Jurisprudence</w:t>
      </w:r>
      <w:r w:rsidR="003D0C40" w:rsidRPr="001256EA">
        <w:rPr>
          <w:lang w:val="lt-LT"/>
        </w:rPr>
        <w:t>, </w:t>
      </w:r>
      <w:r w:rsidR="003D0C40" w:rsidRPr="001256EA">
        <w:rPr>
          <w:i/>
          <w:iCs/>
          <w:lang w:val="lt-LT"/>
        </w:rPr>
        <w:t>36</w:t>
      </w:r>
      <w:r w:rsidR="003D0C40" w:rsidRPr="001256EA">
        <w:rPr>
          <w:lang w:val="lt-LT"/>
        </w:rPr>
        <w:t xml:space="preserve">(1), 37-64. </w:t>
      </w:r>
      <w:bookmarkStart w:id="75" w:name="_Hlk217213580"/>
      <w:r w:rsidR="003D0C40" w:rsidRPr="001256EA">
        <w:rPr>
          <w:lang w:val="en-GB"/>
        </w:rPr>
        <w:t>Retrieved 20.12.2025, From:</w:t>
      </w:r>
      <w:bookmarkEnd w:id="75"/>
      <w:r w:rsidR="003D0C40" w:rsidRPr="001256EA">
        <w:rPr>
          <w:lang w:val="en-GB"/>
        </w:rPr>
        <w:t xml:space="preserve"> </w:t>
      </w:r>
      <w:hyperlink r:id="rId271" w:history="1">
        <w:r w:rsidR="003D0C40" w:rsidRPr="001256EA">
          <w:rPr>
            <w:rStyle w:val="Hyperlink"/>
            <w:lang w:val="lt-LT"/>
          </w:rPr>
          <w:t>https://www.cambridge.org/core/journals/canadian-journal-of-law-and-jurisprudence/article/legal-positivism-and-the-moral-origins-of-legal-systems/CDBDD99E35D63DD479026211F39D6FC0</w:t>
        </w:r>
      </w:hyperlink>
    </w:p>
  </w:footnote>
  <w:footnote w:id="324">
    <w:p w14:paraId="5DF3DB42" w14:textId="64816C7A" w:rsidR="00CE5861" w:rsidRPr="001256EA" w:rsidRDefault="00CE5861" w:rsidP="00312DC1">
      <w:pPr>
        <w:pStyle w:val="FootnoteText"/>
        <w:jc w:val="both"/>
        <w:rPr>
          <w:lang w:val="lt-LT"/>
        </w:rPr>
      </w:pPr>
      <w:r w:rsidRPr="001256EA">
        <w:rPr>
          <w:rStyle w:val="FootnoteReference"/>
        </w:rPr>
        <w:footnoteRef/>
      </w:r>
      <w:r w:rsidRPr="001256EA">
        <w:rPr>
          <w:lang w:val="pl-PL"/>
        </w:rPr>
        <w:t xml:space="preserve"> </w:t>
      </w:r>
      <w:r w:rsidR="003D0C40" w:rsidRPr="001256EA">
        <w:rPr>
          <w:lang w:val="lt-LT"/>
        </w:rPr>
        <w:t>Teubner, G., Laskowski, L. M., &amp; Fonseca, A. C. M. (2021). COMO O DIREITO PENSA: EM BUSCA DE UMA EPISTEMOLOGIA CONSTRUTIVISTA DO DIREITO1 HOW THE LAW THINKS: TOWARD A CONSTRUCTIVIST EPISTEMOLOGY OF LAW2. </w:t>
      </w:r>
      <w:r w:rsidR="003D0C40" w:rsidRPr="001256EA">
        <w:rPr>
          <w:i/>
          <w:iCs/>
          <w:lang w:val="lt-LT"/>
        </w:rPr>
        <w:t>DIREITO</w:t>
      </w:r>
      <w:r w:rsidR="003D0C40" w:rsidRPr="001256EA">
        <w:rPr>
          <w:lang w:val="lt-LT"/>
        </w:rPr>
        <w:t>, </w:t>
      </w:r>
      <w:r w:rsidR="003D0C40" w:rsidRPr="001256EA">
        <w:rPr>
          <w:i/>
          <w:iCs/>
          <w:lang w:val="lt-LT"/>
        </w:rPr>
        <w:t>66</w:t>
      </w:r>
      <w:r w:rsidR="003D0C40" w:rsidRPr="001256EA">
        <w:rPr>
          <w:lang w:val="lt-LT"/>
        </w:rPr>
        <w:t>(2), 213.</w:t>
      </w:r>
    </w:p>
  </w:footnote>
  <w:footnote w:id="325">
    <w:p w14:paraId="6F2F55F4" w14:textId="2160F9AC" w:rsidR="00CE5861" w:rsidRPr="001256EA" w:rsidRDefault="00CE5861" w:rsidP="00312DC1">
      <w:pPr>
        <w:pStyle w:val="FootnoteText"/>
        <w:jc w:val="both"/>
        <w:rPr>
          <w:lang w:val="es-ES"/>
        </w:rPr>
      </w:pPr>
      <w:r w:rsidRPr="001256EA">
        <w:rPr>
          <w:rStyle w:val="FootnoteReference"/>
        </w:rPr>
        <w:footnoteRef/>
      </w:r>
      <w:r w:rsidRPr="001256EA">
        <w:rPr>
          <w:lang w:val="en-US"/>
        </w:rPr>
        <w:t xml:space="preserve"> </w:t>
      </w:r>
      <w:r w:rsidR="00F13101" w:rsidRPr="001256EA">
        <w:rPr>
          <w:lang w:val="en-US"/>
        </w:rPr>
        <w:t>Pervin, N., &amp; Mokhtar, M. (2022). The interpretivist research paradigm: A subjective notion of a social context. </w:t>
      </w:r>
      <w:r w:rsidR="00F13101" w:rsidRPr="001256EA">
        <w:rPr>
          <w:i/>
          <w:iCs/>
          <w:lang w:val="en-US"/>
        </w:rPr>
        <w:t>International Journal of Academic Research in Progressive Education and Development</w:t>
      </w:r>
      <w:r w:rsidR="00F13101" w:rsidRPr="001256EA">
        <w:rPr>
          <w:lang w:val="en-US"/>
        </w:rPr>
        <w:t>, </w:t>
      </w:r>
      <w:r w:rsidR="00F13101" w:rsidRPr="001256EA">
        <w:rPr>
          <w:i/>
          <w:iCs/>
          <w:lang w:val="en-US"/>
        </w:rPr>
        <w:t>11</w:t>
      </w:r>
      <w:r w:rsidR="00F13101" w:rsidRPr="001256EA">
        <w:rPr>
          <w:lang w:val="en-US"/>
        </w:rPr>
        <w:t>(2), 419-428.</w:t>
      </w:r>
    </w:p>
  </w:footnote>
  <w:footnote w:id="326">
    <w:p w14:paraId="06016FD3" w14:textId="0AF4A2CE" w:rsidR="00CE5861" w:rsidRPr="00453316" w:rsidRDefault="00CE5861" w:rsidP="00312DC1">
      <w:pPr>
        <w:pStyle w:val="FootnoteText"/>
        <w:jc w:val="both"/>
        <w:rPr>
          <w:sz w:val="18"/>
          <w:szCs w:val="18"/>
          <w:lang w:val="en-US"/>
        </w:rPr>
      </w:pPr>
      <w:r w:rsidRPr="001256EA">
        <w:rPr>
          <w:rStyle w:val="FootnoteReference"/>
        </w:rPr>
        <w:footnoteRef/>
      </w:r>
      <w:r w:rsidRPr="001256EA">
        <w:rPr>
          <w:lang w:val="es-ES"/>
        </w:rPr>
        <w:t xml:space="preserve"> Altisent, R., Muñoz, P., Delgado-Marroquín, M. T., Alonso, A., Ferrer, S., &amp; Nabal, M. (2021). </w:t>
      </w:r>
      <w:r w:rsidRPr="001256EA">
        <w:rPr>
          <w:i/>
          <w:iCs/>
          <w:lang w:val="es-ES"/>
        </w:rPr>
        <w:t>Euthanasia: Is</w:t>
      </w:r>
      <w:r w:rsidRPr="00DE73E3">
        <w:rPr>
          <w:i/>
          <w:iCs/>
          <w:lang w:val="es-ES"/>
        </w:rPr>
        <w:t xml:space="preserve"> this the law we need?[Eutanasia:?` es esta la ley que necesitamos?]</w:t>
      </w:r>
      <w:r w:rsidRPr="00DE73E3">
        <w:rPr>
          <w:lang w:val="es-ES"/>
        </w:rPr>
        <w:t xml:space="preserve">. </w:t>
      </w:r>
      <w:hyperlink r:id="rId272" w:history="1">
        <w:r w:rsidRPr="00453316">
          <w:rPr>
            <w:rStyle w:val="Hyperlink"/>
            <w:lang w:val="en-US"/>
          </w:rPr>
          <w:t>https://zaguan.unizar.es/record/151472</w:t>
        </w:r>
      </w:hyperlink>
    </w:p>
  </w:footnote>
  <w:footnote w:id="327">
    <w:p w14:paraId="002BA0A3" w14:textId="5D1FF8C6" w:rsidR="00CE5861" w:rsidRPr="00453316" w:rsidRDefault="00CE5861" w:rsidP="00517F81">
      <w:pPr>
        <w:pStyle w:val="FootnoteText"/>
        <w:jc w:val="both"/>
        <w:rPr>
          <w:lang w:val="en-US"/>
        </w:rPr>
      </w:pPr>
      <w:r w:rsidRPr="00957DD3">
        <w:rPr>
          <w:rStyle w:val="FootnoteReference"/>
        </w:rPr>
        <w:footnoteRef/>
      </w:r>
      <w:r w:rsidRPr="00453316">
        <w:rPr>
          <w:lang w:val="en-US"/>
        </w:rPr>
        <w:t xml:space="preserve"> Banerjee, S., &amp; Sengupta, S. (2022). </w:t>
      </w:r>
      <w:r w:rsidRPr="00453316">
        <w:rPr>
          <w:i/>
          <w:iCs/>
          <w:lang w:val="en-US"/>
        </w:rPr>
        <w:t>Euthanasia-A Doctrine of Death</w:t>
      </w:r>
      <w:r w:rsidRPr="00453316">
        <w:rPr>
          <w:lang w:val="en-US"/>
        </w:rPr>
        <w:t>. Blue Rose Publishers.</w:t>
      </w:r>
    </w:p>
  </w:footnote>
  <w:footnote w:id="328">
    <w:p w14:paraId="24BE3C6C" w14:textId="4F5B09B0" w:rsidR="00CE5861" w:rsidRPr="001256EA" w:rsidRDefault="00CE5861" w:rsidP="00517F81">
      <w:pPr>
        <w:pStyle w:val="FootnoteText"/>
        <w:jc w:val="both"/>
        <w:rPr>
          <w:lang w:val="lt-LT"/>
        </w:rPr>
      </w:pPr>
      <w:r w:rsidRPr="00957DD3">
        <w:rPr>
          <w:rStyle w:val="FootnoteReference"/>
        </w:rPr>
        <w:footnoteRef/>
      </w:r>
      <w:r w:rsidRPr="00453316">
        <w:rPr>
          <w:lang w:val="en-US"/>
        </w:rPr>
        <w:t xml:space="preserve"> </w:t>
      </w:r>
      <w:r w:rsidR="009F48CF" w:rsidRPr="001256EA">
        <w:rPr>
          <w:lang w:val="lt-LT"/>
        </w:rPr>
        <w:t>Okoli, C. (2023). Inductive, abductive and deductive theorising. </w:t>
      </w:r>
      <w:r w:rsidR="009F48CF" w:rsidRPr="001256EA">
        <w:rPr>
          <w:i/>
          <w:iCs/>
          <w:lang w:val="lt-LT"/>
        </w:rPr>
        <w:t>International Journal of Management Concepts and Philosophy</w:t>
      </w:r>
      <w:r w:rsidR="009F48CF" w:rsidRPr="001256EA">
        <w:rPr>
          <w:lang w:val="lt-LT"/>
        </w:rPr>
        <w:t>, </w:t>
      </w:r>
      <w:r w:rsidR="009F48CF" w:rsidRPr="001256EA">
        <w:rPr>
          <w:i/>
          <w:iCs/>
          <w:lang w:val="lt-LT"/>
        </w:rPr>
        <w:t>16</w:t>
      </w:r>
      <w:r w:rsidR="009F48CF" w:rsidRPr="001256EA">
        <w:rPr>
          <w:lang w:val="lt-LT"/>
        </w:rPr>
        <w:t xml:space="preserve">(3), 302-316. </w:t>
      </w:r>
      <w:bookmarkStart w:id="76" w:name="_Hlk217220953"/>
      <w:r w:rsidR="009F48CF" w:rsidRPr="001256EA">
        <w:rPr>
          <w:lang w:val="en-GB"/>
        </w:rPr>
        <w:t xml:space="preserve">Retrieved 20.12.2025, From: </w:t>
      </w:r>
      <w:bookmarkEnd w:id="76"/>
      <w:r w:rsidR="009F48CF" w:rsidRPr="001256EA">
        <w:rPr>
          <w:lang w:val="lt-LT"/>
        </w:rPr>
        <w:t>https://www.inderscienceonline.com/doi/abs/10.1504/IJMCP.2023.131769</w:t>
      </w:r>
    </w:p>
  </w:footnote>
  <w:footnote w:id="329">
    <w:p w14:paraId="3120BF59" w14:textId="5807E08F" w:rsidR="00CE5861" w:rsidRPr="001256EA" w:rsidRDefault="00CE5861" w:rsidP="00517F81">
      <w:pPr>
        <w:pStyle w:val="FootnoteText"/>
        <w:jc w:val="both"/>
        <w:rPr>
          <w:lang w:val="lt-LT"/>
        </w:rPr>
      </w:pPr>
      <w:r w:rsidRPr="001256EA">
        <w:rPr>
          <w:rStyle w:val="FootnoteReference"/>
        </w:rPr>
        <w:footnoteRef/>
      </w:r>
      <w:r w:rsidRPr="001256EA">
        <w:rPr>
          <w:lang w:val="en-US"/>
        </w:rPr>
        <w:t xml:space="preserve"> </w:t>
      </w:r>
      <w:r w:rsidR="00A44D30" w:rsidRPr="001256EA">
        <w:rPr>
          <w:lang w:val="lt-LT"/>
        </w:rPr>
        <w:t>Fife, S. T., &amp; Gossner, J. D. (2024). Deductive qualitative analysis: Evaluating, expanding, and refining theory. </w:t>
      </w:r>
      <w:r w:rsidR="00A44D30" w:rsidRPr="001256EA">
        <w:rPr>
          <w:i/>
          <w:iCs/>
          <w:lang w:val="lt-LT"/>
        </w:rPr>
        <w:t>International Journal of Qualitative Methods</w:t>
      </w:r>
      <w:r w:rsidR="00A44D30" w:rsidRPr="001256EA">
        <w:rPr>
          <w:lang w:val="lt-LT"/>
        </w:rPr>
        <w:t>, </w:t>
      </w:r>
      <w:r w:rsidR="00A44D30" w:rsidRPr="001256EA">
        <w:rPr>
          <w:i/>
          <w:iCs/>
          <w:lang w:val="lt-LT"/>
        </w:rPr>
        <w:t>23</w:t>
      </w:r>
      <w:r w:rsidR="00A44D30" w:rsidRPr="001256EA">
        <w:rPr>
          <w:lang w:val="lt-LT"/>
        </w:rPr>
        <w:t xml:space="preserve">, </w:t>
      </w:r>
      <w:hyperlink r:id="rId273" w:history="1">
        <w:r w:rsidR="00A44D30" w:rsidRPr="001256EA">
          <w:rPr>
            <w:rStyle w:val="Hyperlink"/>
            <w:lang w:val="lt-LT"/>
          </w:rPr>
          <w:t>https://doi.org/10.1177/16094069241244856</w:t>
        </w:r>
      </w:hyperlink>
      <w:r w:rsidR="00A44D30" w:rsidRPr="001256EA">
        <w:rPr>
          <w:lang w:val="lt-LT"/>
        </w:rPr>
        <w:t>.</w:t>
      </w:r>
    </w:p>
  </w:footnote>
  <w:footnote w:id="330">
    <w:p w14:paraId="50597F77" w14:textId="74568857" w:rsidR="00CE5861" w:rsidRPr="001256EA" w:rsidRDefault="00CE5861" w:rsidP="00312DC1">
      <w:pPr>
        <w:pStyle w:val="FootnoteText"/>
        <w:jc w:val="both"/>
        <w:rPr>
          <w:lang w:val="lt-LT"/>
        </w:rPr>
      </w:pPr>
      <w:r w:rsidRPr="001256EA">
        <w:rPr>
          <w:rStyle w:val="FootnoteReference"/>
        </w:rPr>
        <w:footnoteRef/>
      </w:r>
      <w:r w:rsidRPr="001256EA">
        <w:rPr>
          <w:lang w:val="en-US"/>
        </w:rPr>
        <w:t xml:space="preserve"> </w:t>
      </w:r>
      <w:bookmarkStart w:id="77" w:name="_Hlk217218115"/>
      <w:r w:rsidR="00022492" w:rsidRPr="001256EA">
        <w:rPr>
          <w:lang w:val="en-US"/>
        </w:rPr>
        <w:t>Ba</w:t>
      </w:r>
      <w:r w:rsidR="00022492" w:rsidRPr="001256EA">
        <w:rPr>
          <w:lang w:val="lt-LT"/>
        </w:rPr>
        <w:t>rrett, D., &amp; Younas, A. (2024). Induction, deduction and abduction. </w:t>
      </w:r>
      <w:r w:rsidR="00022492" w:rsidRPr="001256EA">
        <w:rPr>
          <w:i/>
          <w:iCs/>
          <w:lang w:val="lt-LT"/>
        </w:rPr>
        <w:t>Evidence-based nursing</w:t>
      </w:r>
      <w:r w:rsidR="00022492" w:rsidRPr="001256EA">
        <w:rPr>
          <w:lang w:val="lt-LT"/>
        </w:rPr>
        <w:t>, </w:t>
      </w:r>
      <w:r w:rsidR="00022492" w:rsidRPr="001256EA">
        <w:rPr>
          <w:i/>
          <w:iCs/>
          <w:lang w:val="lt-LT"/>
        </w:rPr>
        <w:t>27</w:t>
      </w:r>
      <w:r w:rsidR="00022492" w:rsidRPr="001256EA">
        <w:rPr>
          <w:lang w:val="lt-LT"/>
        </w:rPr>
        <w:t xml:space="preserve">(1), 6-7. </w:t>
      </w:r>
      <w:hyperlink r:id="rId274" w:tgtFrame="_new" w:history="1">
        <w:r w:rsidR="00022492" w:rsidRPr="001256EA">
          <w:rPr>
            <w:rStyle w:val="Hyperlink"/>
            <w:lang w:val="en-US"/>
          </w:rPr>
          <w:t>https://doi.org/10.1136/ebnurs-2023-103873</w:t>
        </w:r>
      </w:hyperlink>
    </w:p>
    <w:bookmarkEnd w:id="77"/>
  </w:footnote>
  <w:footnote w:id="331">
    <w:p w14:paraId="6D4DCD2D" w14:textId="7B22E85B" w:rsidR="00CE5861" w:rsidRPr="00022492" w:rsidRDefault="00CE5861" w:rsidP="00022492">
      <w:pPr>
        <w:pStyle w:val="FootnoteText"/>
        <w:jc w:val="both"/>
        <w:rPr>
          <w:lang w:val="en-GB"/>
        </w:rPr>
      </w:pPr>
      <w:r w:rsidRPr="001256EA">
        <w:rPr>
          <w:rStyle w:val="FootnoteReference"/>
        </w:rPr>
        <w:footnoteRef/>
      </w:r>
      <w:r w:rsidRPr="001256EA">
        <w:rPr>
          <w:lang w:val="en-US"/>
        </w:rPr>
        <w:t xml:space="preserve"> </w:t>
      </w:r>
      <w:r w:rsidR="00022492" w:rsidRPr="001256EA">
        <w:rPr>
          <w:lang w:val="lt-LT"/>
        </w:rPr>
        <w:t>Tavory, I., &amp; Timmermans, S. (2022). </w:t>
      </w:r>
      <w:r w:rsidR="00022492" w:rsidRPr="001256EA">
        <w:rPr>
          <w:i/>
          <w:iCs/>
          <w:lang w:val="lt-LT"/>
        </w:rPr>
        <w:t>Abductive analysis: Theorizing qualitative research</w:t>
      </w:r>
      <w:r w:rsidR="00022492" w:rsidRPr="001256EA">
        <w:rPr>
          <w:lang w:val="lt-LT"/>
        </w:rPr>
        <w:t xml:space="preserve">. University of Chicago press. </w:t>
      </w:r>
      <w:r w:rsidR="00022492" w:rsidRPr="001256EA">
        <w:rPr>
          <w:lang w:val="en-GB"/>
        </w:rPr>
        <w:t xml:space="preserve">Retrieved 20.12.2025, From: </w:t>
      </w:r>
      <w:hyperlink r:id="rId275" w:anchor="v=onepage&amp;q=Theory%20Construction%20in%20Qualitative%20Research%3A%20From%20Grounded%20Theory%20to%20Abductive%20Analysis.&amp;f=false" w:history="1">
        <w:r w:rsidR="00022492" w:rsidRPr="001256EA">
          <w:rPr>
            <w:rStyle w:val="Hyperlink"/>
            <w:lang w:val="lt-LT"/>
          </w:rPr>
          <w:t>https://books.google.de/books?hl=en&amp;lr=&amp;id=5OYvBAAAQBAJ&amp;oi=fnd&amp;pg=PP6&amp;dq=Theory+Construction+in+Qualitative+Research:+From+Grounded+Theory+to+Abductive+Analysis.+&amp;ots=7ICMOceuuK&amp;sig=rtqfH38IStblBI5i2qD3Yek7c5Q&amp;redir_esc=y#v=onepage&amp;q=Theory%20Construction%20in%20Qualitative%20Research%3A%20From%20Grounded%20Theory%20to%20Abductive%20Analysis.&amp;f=false</w:t>
        </w:r>
      </w:hyperlink>
      <w:r w:rsidR="00022492">
        <w:rPr>
          <w:lang w:val="en-GB"/>
        </w:rPr>
        <w:t xml:space="preserve"> </w:t>
      </w:r>
    </w:p>
  </w:footnote>
  <w:footnote w:id="332">
    <w:p w14:paraId="5CC51621" w14:textId="05EB3AA8" w:rsidR="00CE5861" w:rsidRPr="00453316" w:rsidRDefault="00CE5861" w:rsidP="00517F81">
      <w:pPr>
        <w:pStyle w:val="FootnoteText"/>
        <w:jc w:val="both"/>
        <w:rPr>
          <w:lang w:val="en-US"/>
        </w:rPr>
      </w:pPr>
      <w:r w:rsidRPr="00957DD3">
        <w:rPr>
          <w:rStyle w:val="FootnoteReference"/>
        </w:rPr>
        <w:footnoteRef/>
      </w:r>
      <w:r w:rsidRPr="00453316">
        <w:rPr>
          <w:lang w:val="en-US"/>
        </w:rPr>
        <w:t xml:space="preserve"> Adeoye‐Olatunde, O. A., &amp; Olenik, N. L. (2021). Research and scholarly methods: Semi‐structured interviews. </w:t>
      </w:r>
      <w:r w:rsidRPr="00453316">
        <w:rPr>
          <w:i/>
          <w:iCs/>
          <w:lang w:val="en-US"/>
        </w:rPr>
        <w:t>JACCP:  JOURNAL OF THE AMERICAN COLLEGE OF CLINICAL PHARMACY</w:t>
      </w:r>
      <w:r w:rsidRPr="00453316">
        <w:rPr>
          <w:lang w:val="en-US"/>
        </w:rPr>
        <w:t xml:space="preserve">, </w:t>
      </w:r>
      <w:r w:rsidRPr="00453316">
        <w:rPr>
          <w:i/>
          <w:iCs/>
          <w:lang w:val="en-US"/>
        </w:rPr>
        <w:t>4</w:t>
      </w:r>
      <w:r w:rsidRPr="00453316">
        <w:rPr>
          <w:lang w:val="en-US"/>
        </w:rPr>
        <w:t xml:space="preserve">(10), 1358–1367. </w:t>
      </w:r>
      <w:hyperlink r:id="rId276" w:history="1">
        <w:r w:rsidRPr="00453316">
          <w:rPr>
            <w:rStyle w:val="Hyperlink"/>
            <w:lang w:val="en-US"/>
          </w:rPr>
          <w:t>https://doi.org/10.1002/jac5.1441</w:t>
        </w:r>
      </w:hyperlink>
    </w:p>
  </w:footnote>
  <w:footnote w:id="333">
    <w:p w14:paraId="35184BE3" w14:textId="64C8C511" w:rsidR="00915C72" w:rsidRPr="00915C72" w:rsidRDefault="00915C72">
      <w:pPr>
        <w:pStyle w:val="FootnoteText"/>
        <w:rPr>
          <w:lang w:val="lt-LT"/>
        </w:rPr>
      </w:pPr>
      <w:r>
        <w:rPr>
          <w:rStyle w:val="FootnoteReference"/>
        </w:rPr>
        <w:footnoteRef/>
      </w:r>
      <w:r w:rsidRPr="00CB036C">
        <w:rPr>
          <w:lang w:val="pl-PL"/>
        </w:rPr>
        <w:t xml:space="preserve"> </w:t>
      </w:r>
      <w:r w:rsidR="00CB036C" w:rsidRPr="00CB036C">
        <w:rPr>
          <w:lang w:val="pl-PL"/>
        </w:rPr>
        <w:t xml:space="preserve">Karakuş, N., Gedik, K., &amp; Kazazoğlu, S. (2025). </w:t>
      </w:r>
      <w:r w:rsidR="00CB036C" w:rsidRPr="00CB036C">
        <w:rPr>
          <w:lang w:val="en-US"/>
        </w:rPr>
        <w:t>Ethical decision-making in education: A comparative study of teachers and artificial intelligence in ethical dilemmas. </w:t>
      </w:r>
      <w:r w:rsidR="00CB036C" w:rsidRPr="00CB036C">
        <w:rPr>
          <w:i/>
          <w:iCs/>
          <w:lang w:val="en-US"/>
        </w:rPr>
        <w:t>Behavioral Sciences</w:t>
      </w:r>
      <w:r w:rsidR="00CB036C" w:rsidRPr="00CB036C">
        <w:rPr>
          <w:lang w:val="en-US"/>
        </w:rPr>
        <w:t>, </w:t>
      </w:r>
      <w:r w:rsidR="00CB036C" w:rsidRPr="00CB036C">
        <w:rPr>
          <w:i/>
          <w:iCs/>
          <w:lang w:val="en-US"/>
        </w:rPr>
        <w:t>15</w:t>
      </w:r>
      <w:r w:rsidR="00CB036C" w:rsidRPr="00CB036C">
        <w:rPr>
          <w:lang w:val="en-US"/>
        </w:rPr>
        <w:t>(4), 469.</w:t>
      </w:r>
      <w:r w:rsidR="00CB036C">
        <w:rPr>
          <w:lang w:val="en-US"/>
        </w:rPr>
        <w:t xml:space="preserve"> </w:t>
      </w:r>
      <w:hyperlink r:id="rId277" w:history="1">
        <w:r w:rsidR="00CB036C" w:rsidRPr="00CB036C">
          <w:rPr>
            <w:rStyle w:val="Hyperlink"/>
            <w:lang w:val="en-US"/>
          </w:rPr>
          <w:t>https://doi.org/10.3390/bs15040469</w:t>
        </w:r>
      </w:hyperlink>
    </w:p>
  </w:footnote>
  <w:footnote w:id="334">
    <w:p w14:paraId="03A830EF" w14:textId="39B873EA" w:rsidR="00915C72" w:rsidRPr="00915C72" w:rsidRDefault="00915C72">
      <w:pPr>
        <w:pStyle w:val="FootnoteText"/>
        <w:rPr>
          <w:lang w:val="lt-LT"/>
        </w:rPr>
      </w:pPr>
      <w:r>
        <w:rPr>
          <w:rStyle w:val="FootnoteReference"/>
        </w:rPr>
        <w:footnoteRef/>
      </w:r>
      <w:r w:rsidRPr="00CB036C">
        <w:rPr>
          <w:lang w:val="en-GB"/>
        </w:rPr>
        <w:t xml:space="preserve"> </w:t>
      </w:r>
      <w:r w:rsidR="00CB036C" w:rsidRPr="00CB036C">
        <w:rPr>
          <w:lang w:val="en-GB"/>
        </w:rPr>
        <w:t>Orsini, F., Cioffi, A., Cipolloni, L., Bosco, M. A., Fabrello, C., Cecannecchia, C., &amp; De Simone, S. (2025, January). Towards a European end-of-life regulation: a necessary analysis. In Healthcare (Vol. 13, No. 2, p. 130). MDPI. https://doi.org/10.3390/healthcare13020130</w:t>
      </w:r>
    </w:p>
  </w:footnote>
  <w:footnote w:id="335">
    <w:p w14:paraId="0FEEE7A7" w14:textId="362BCC9E" w:rsidR="00CE5861" w:rsidRPr="001256EA" w:rsidRDefault="00CE5861" w:rsidP="00312DC1">
      <w:pPr>
        <w:pStyle w:val="FootnoteText"/>
        <w:jc w:val="both"/>
        <w:rPr>
          <w:lang w:val="lt-LT"/>
        </w:rPr>
      </w:pPr>
      <w:r w:rsidRPr="00957DD3">
        <w:rPr>
          <w:rStyle w:val="FootnoteReference"/>
        </w:rPr>
        <w:footnoteRef/>
      </w:r>
      <w:r w:rsidRPr="00CB7F06">
        <w:rPr>
          <w:lang w:val="de-DE"/>
        </w:rPr>
        <w:t xml:space="preserve"> </w:t>
      </w:r>
      <w:r w:rsidR="00CB7F06" w:rsidRPr="001256EA">
        <w:rPr>
          <w:lang w:val="lt-LT"/>
        </w:rPr>
        <w:t>Tajik, O., Golzar, J., &amp; Noor, S. (2025). Purposive sampling. </w:t>
      </w:r>
      <w:r w:rsidR="00CB7F06" w:rsidRPr="001256EA">
        <w:rPr>
          <w:i/>
          <w:iCs/>
          <w:lang w:val="lt-LT"/>
        </w:rPr>
        <w:t>International Journal of Education &amp; Language Studies</w:t>
      </w:r>
      <w:r w:rsidR="00CB7F06" w:rsidRPr="001256EA">
        <w:rPr>
          <w:lang w:val="lt-LT"/>
        </w:rPr>
        <w:t xml:space="preserve">, 1-9.  </w:t>
      </w:r>
      <w:hyperlink r:id="rId278" w:history="1">
        <w:r w:rsidR="00CB7F06" w:rsidRPr="001256EA">
          <w:rPr>
            <w:rStyle w:val="Hyperlink"/>
            <w:lang w:val="lt-LT"/>
          </w:rPr>
          <w:t>https://doi.org/10.22034/ijels.2025.490681.1029</w:t>
        </w:r>
      </w:hyperlink>
      <w:r w:rsidR="00CB7F06" w:rsidRPr="001256EA">
        <w:rPr>
          <w:lang w:val="lt-LT"/>
        </w:rPr>
        <w:t xml:space="preserve"> </w:t>
      </w:r>
    </w:p>
  </w:footnote>
  <w:footnote w:id="336">
    <w:p w14:paraId="5B39A837" w14:textId="6FDBD792" w:rsidR="00CE5861" w:rsidRPr="001256EA" w:rsidRDefault="00CE5861" w:rsidP="00312DC1">
      <w:pPr>
        <w:pStyle w:val="FootnoteText"/>
        <w:jc w:val="both"/>
        <w:rPr>
          <w:lang w:val="en-US"/>
        </w:rPr>
      </w:pPr>
      <w:r w:rsidRPr="001256EA">
        <w:rPr>
          <w:rStyle w:val="FootnoteReference"/>
        </w:rPr>
        <w:footnoteRef/>
      </w:r>
      <w:r w:rsidRPr="001256EA">
        <w:rPr>
          <w:lang w:val="pl-PL"/>
        </w:rPr>
        <w:t xml:space="preserve"> </w:t>
      </w:r>
      <w:bookmarkStart w:id="78" w:name="_Hlk217219316"/>
      <w:r w:rsidR="00121210" w:rsidRPr="001256EA">
        <w:rPr>
          <w:lang w:val="lt-LT"/>
        </w:rPr>
        <w:t>Gierczyk, M., Gromkowska-Melosik, A., Scott, S., &amp; Parker, C. (2024). The snowball sampling strategy in the field of social sciences. Contexts and considerations. </w:t>
      </w:r>
      <w:r w:rsidR="00121210" w:rsidRPr="001256EA">
        <w:rPr>
          <w:i/>
          <w:iCs/>
          <w:lang w:val="lt-LT"/>
        </w:rPr>
        <w:t>Przegląd Badań Edukacyjnych (Educational Studies Review)</w:t>
      </w:r>
      <w:r w:rsidR="00121210" w:rsidRPr="001256EA">
        <w:rPr>
          <w:lang w:val="lt-LT"/>
        </w:rPr>
        <w:t>, </w:t>
      </w:r>
      <w:r w:rsidR="00121210" w:rsidRPr="001256EA">
        <w:rPr>
          <w:i/>
          <w:iCs/>
          <w:lang w:val="lt-LT"/>
        </w:rPr>
        <w:t>43</w:t>
      </w:r>
      <w:r w:rsidR="00121210" w:rsidRPr="001256EA">
        <w:rPr>
          <w:lang w:val="lt-LT"/>
        </w:rPr>
        <w:t>(2), 87-104</w:t>
      </w:r>
      <w:r w:rsidR="003A148E" w:rsidRPr="001256EA">
        <w:rPr>
          <w:lang w:val="en-US"/>
        </w:rPr>
        <w:t xml:space="preserve">. </w:t>
      </w:r>
      <w:bookmarkEnd w:id="78"/>
      <w:r w:rsidR="00121210" w:rsidRPr="001256EA">
        <w:rPr>
          <w:lang w:val="en-US"/>
        </w:rPr>
        <w:t> doi:</w:t>
      </w:r>
      <w:hyperlink r:id="rId279" w:tgtFrame="_blank" w:history="1">
        <w:r w:rsidR="00121210" w:rsidRPr="001256EA">
          <w:rPr>
            <w:rStyle w:val="Hyperlink"/>
            <w:lang w:val="en-US"/>
          </w:rPr>
          <w:t>10.12775/PBE.2023.029</w:t>
        </w:r>
      </w:hyperlink>
    </w:p>
  </w:footnote>
  <w:footnote w:id="337">
    <w:p w14:paraId="4DF728CF" w14:textId="1A91B75D" w:rsidR="00CE5861" w:rsidRPr="001256EA" w:rsidRDefault="00CE5861" w:rsidP="00312DC1">
      <w:pPr>
        <w:pStyle w:val="FootnoteText"/>
        <w:jc w:val="both"/>
        <w:rPr>
          <w:lang w:val="lt-LT"/>
        </w:rPr>
      </w:pPr>
      <w:r w:rsidRPr="001256EA">
        <w:rPr>
          <w:rStyle w:val="FootnoteReference"/>
        </w:rPr>
        <w:footnoteRef/>
      </w:r>
      <w:r w:rsidRPr="001256EA">
        <w:rPr>
          <w:lang w:val="en-US"/>
        </w:rPr>
        <w:t xml:space="preserve"> </w:t>
      </w:r>
      <w:r w:rsidR="003F71D1" w:rsidRPr="001256EA">
        <w:rPr>
          <w:lang w:val="lt-LT"/>
        </w:rPr>
        <w:t>Ahmad, M., &amp; Wilkins, S. (2025). Purposive sampling in qualitative research: A framework for the entire journey. </w:t>
      </w:r>
      <w:r w:rsidR="003F71D1" w:rsidRPr="001256EA">
        <w:rPr>
          <w:i/>
          <w:iCs/>
          <w:lang w:val="lt-LT"/>
        </w:rPr>
        <w:t>Quality &amp; Quantity</w:t>
      </w:r>
      <w:r w:rsidR="003F71D1" w:rsidRPr="001256EA">
        <w:rPr>
          <w:lang w:val="lt-LT"/>
        </w:rPr>
        <w:t>, </w:t>
      </w:r>
      <w:r w:rsidR="003F71D1" w:rsidRPr="001256EA">
        <w:rPr>
          <w:i/>
          <w:iCs/>
          <w:lang w:val="lt-LT"/>
        </w:rPr>
        <w:t>59</w:t>
      </w:r>
      <w:r w:rsidR="003F71D1" w:rsidRPr="001256EA">
        <w:rPr>
          <w:lang w:val="lt-LT"/>
        </w:rPr>
        <w:t xml:space="preserve">(2), 1461-1479. </w:t>
      </w:r>
      <w:hyperlink r:id="rId280" w:history="1">
        <w:r w:rsidR="003F71D1" w:rsidRPr="001256EA">
          <w:rPr>
            <w:rStyle w:val="Hyperlink"/>
            <w:lang w:val="lt-LT"/>
          </w:rPr>
          <w:t>https://doi.org/10.1007/s11135-024-02022-5</w:t>
        </w:r>
      </w:hyperlink>
    </w:p>
  </w:footnote>
  <w:footnote w:id="338">
    <w:p w14:paraId="080A35A4" w14:textId="3E3D2812" w:rsidR="00CE5861" w:rsidRPr="00453316" w:rsidRDefault="00CE5861" w:rsidP="003F71D1">
      <w:pPr>
        <w:pStyle w:val="FootnoteText"/>
        <w:jc w:val="both"/>
        <w:rPr>
          <w:lang w:val="en-US"/>
        </w:rPr>
      </w:pPr>
      <w:r w:rsidRPr="001256EA">
        <w:rPr>
          <w:rStyle w:val="FootnoteReference"/>
        </w:rPr>
        <w:footnoteRef/>
      </w:r>
      <w:r w:rsidRPr="001256EA">
        <w:rPr>
          <w:lang w:val="sv-SE"/>
        </w:rPr>
        <w:t xml:space="preserve"> </w:t>
      </w:r>
      <w:r w:rsidR="003F71D1" w:rsidRPr="001256EA">
        <w:rPr>
          <w:lang w:val="lt-LT"/>
        </w:rPr>
        <w:t>Obilor, E. I. (2023). Convenience and purposive sampling techniques: Are they the same. </w:t>
      </w:r>
      <w:r w:rsidR="003F71D1" w:rsidRPr="001256EA">
        <w:rPr>
          <w:i/>
          <w:iCs/>
          <w:lang w:val="lt-LT"/>
        </w:rPr>
        <w:t>International Journal of Innovative Social &amp; Science Education Research</w:t>
      </w:r>
      <w:r w:rsidR="003F71D1" w:rsidRPr="001256EA">
        <w:rPr>
          <w:lang w:val="lt-LT"/>
        </w:rPr>
        <w:t>, </w:t>
      </w:r>
      <w:r w:rsidR="003F71D1" w:rsidRPr="001256EA">
        <w:rPr>
          <w:i/>
          <w:iCs/>
          <w:lang w:val="lt-LT"/>
        </w:rPr>
        <w:t>11</w:t>
      </w:r>
      <w:r w:rsidR="003F71D1" w:rsidRPr="001256EA">
        <w:rPr>
          <w:lang w:val="lt-LT"/>
        </w:rPr>
        <w:t xml:space="preserve">(1), 1-7. </w:t>
      </w:r>
      <w:r w:rsidR="003F71D1" w:rsidRPr="001256EA">
        <w:rPr>
          <w:lang w:val="en-GB"/>
        </w:rPr>
        <w:t xml:space="preserve">Retrieved 20.12.2025, From:  </w:t>
      </w:r>
      <w:hyperlink r:id="rId281" w:history="1">
        <w:r w:rsidR="003F71D1" w:rsidRPr="001256EA">
          <w:rPr>
            <w:rStyle w:val="Hyperlink"/>
            <w:lang w:val="lt-LT"/>
          </w:rPr>
          <w:t>https://www.researchgate.net/profile/Esezi-Obilor/publication/398681103_Convenience_and_Purposive_Sampling_Techniques_Are_they_the_Same/links/693fe9e8a1fd01798907e406/Convenience-and-Purposive-Sampling-Techniques-Are-they-the-Same.pdf</w:t>
        </w:r>
      </w:hyperlink>
      <w:r w:rsidR="003F71D1">
        <w:rPr>
          <w:lang w:val="lt-LT"/>
        </w:rPr>
        <w:t xml:space="preserve"> </w:t>
      </w:r>
    </w:p>
  </w:footnote>
  <w:footnote w:id="339">
    <w:p w14:paraId="0AB8830A" w14:textId="3089471C" w:rsidR="00CE5861" w:rsidRPr="004646AE" w:rsidRDefault="00CE5861" w:rsidP="00CE17E6">
      <w:pPr>
        <w:pStyle w:val="FootnoteText"/>
        <w:jc w:val="both"/>
        <w:rPr>
          <w:lang w:val="fr-FR"/>
        </w:rPr>
      </w:pPr>
      <w:r w:rsidRPr="00957DD3">
        <w:rPr>
          <w:rStyle w:val="FootnoteReference"/>
        </w:rPr>
        <w:footnoteRef/>
      </w:r>
      <w:r w:rsidRPr="00453316">
        <w:rPr>
          <w:lang w:val="en-US"/>
        </w:rPr>
        <w:t xml:space="preserve"> Regulation, P. (2018). General data protection regulation. </w:t>
      </w:r>
      <w:r w:rsidRPr="004646AE">
        <w:rPr>
          <w:i/>
          <w:iCs/>
          <w:lang w:val="fr-FR"/>
        </w:rPr>
        <w:t>Intouch</w:t>
      </w:r>
      <w:r w:rsidRPr="004646AE">
        <w:rPr>
          <w:lang w:val="fr-FR"/>
        </w:rPr>
        <w:t xml:space="preserve">, </w:t>
      </w:r>
      <w:r w:rsidRPr="004646AE">
        <w:rPr>
          <w:i/>
          <w:iCs/>
          <w:lang w:val="fr-FR"/>
        </w:rPr>
        <w:t>25</w:t>
      </w:r>
      <w:r w:rsidRPr="004646AE">
        <w:rPr>
          <w:lang w:val="fr-FR"/>
        </w:rPr>
        <w:t xml:space="preserve">, 1–5. </w:t>
      </w:r>
      <w:hyperlink r:id="rId282" w:history="1">
        <w:r w:rsidRPr="004646AE">
          <w:rPr>
            <w:rStyle w:val="Hyperlink"/>
            <w:lang w:val="fr-FR"/>
          </w:rPr>
          <w:t>https://www.into.ie/app/uploads/2019/10/GDPR_FAQ.pdf</w:t>
        </w:r>
      </w:hyperlink>
    </w:p>
  </w:footnote>
  <w:footnote w:id="340">
    <w:p w14:paraId="6387BB6C" w14:textId="2FC9ACC8" w:rsidR="00CE5861" w:rsidRPr="00453316" w:rsidRDefault="00CE5861" w:rsidP="00312DC1">
      <w:pPr>
        <w:pStyle w:val="FootnoteText"/>
        <w:jc w:val="both"/>
        <w:rPr>
          <w:sz w:val="18"/>
          <w:szCs w:val="18"/>
          <w:lang w:val="en-US"/>
        </w:rPr>
      </w:pPr>
      <w:r w:rsidRPr="00957DD3">
        <w:rPr>
          <w:rStyle w:val="FootnoteReference"/>
        </w:rPr>
        <w:footnoteRef/>
      </w:r>
      <w:r w:rsidRPr="00453316">
        <w:rPr>
          <w:lang w:val="en-US"/>
        </w:rPr>
        <w:t xml:space="preserve"> - Christou, P. A. (2022). How to use thematic analysis in qualitative research. </w:t>
      </w:r>
      <w:r w:rsidRPr="00453316">
        <w:rPr>
          <w:i/>
          <w:iCs/>
          <w:lang w:val="en-US"/>
        </w:rPr>
        <w:t>Journal of Qualitative Research in Tourism</w:t>
      </w:r>
      <w:r w:rsidRPr="00453316">
        <w:rPr>
          <w:lang w:val="en-US"/>
        </w:rPr>
        <w:t xml:space="preserve">, </w:t>
      </w:r>
      <w:r w:rsidRPr="00453316">
        <w:rPr>
          <w:i/>
          <w:iCs/>
          <w:lang w:val="en-US"/>
        </w:rPr>
        <w:t>3</w:t>
      </w:r>
      <w:r w:rsidRPr="00453316">
        <w:rPr>
          <w:lang w:val="en-US"/>
        </w:rPr>
        <w:t xml:space="preserve">(2), 79–95. </w:t>
      </w:r>
      <w:hyperlink r:id="rId283" w:history="1">
        <w:r w:rsidRPr="00453316">
          <w:rPr>
            <w:rStyle w:val="Hyperlink"/>
            <w:lang w:val="en-US"/>
          </w:rPr>
          <w:t>https://www.elgaronline.com/view/journals/jqrt/3/2/article-p79.xml</w:t>
        </w:r>
      </w:hyperlink>
      <w:r w:rsidRPr="00453316">
        <w:rPr>
          <w:lang w:val="en-US"/>
        </w:rPr>
        <w:t xml:space="preserve">; Vaismoradi, M., Turunen, H., &amp; Bondas, T. (2013). Content analysis and thematic analysis: Implications for conducting a qualitative descriptive study. </w:t>
      </w:r>
      <w:r w:rsidRPr="00453316">
        <w:rPr>
          <w:i/>
          <w:iCs/>
          <w:lang w:val="en-US"/>
        </w:rPr>
        <w:t>Nursing &amp; Health Sciences</w:t>
      </w:r>
      <w:r w:rsidRPr="00453316">
        <w:rPr>
          <w:lang w:val="en-US"/>
        </w:rPr>
        <w:t xml:space="preserve">, </w:t>
      </w:r>
      <w:r w:rsidRPr="00453316">
        <w:rPr>
          <w:i/>
          <w:iCs/>
          <w:lang w:val="en-US"/>
        </w:rPr>
        <w:t>15</w:t>
      </w:r>
      <w:r w:rsidRPr="00453316">
        <w:rPr>
          <w:lang w:val="en-US"/>
        </w:rPr>
        <w:t xml:space="preserve">(3), 398–405. </w:t>
      </w:r>
      <w:hyperlink r:id="rId284" w:history="1">
        <w:r w:rsidRPr="00453316">
          <w:rPr>
            <w:rStyle w:val="Hyperlink"/>
            <w:lang w:val="en-US"/>
          </w:rPr>
          <w:t>https://doi.org/10.1111/nhs.12048</w:t>
        </w:r>
      </w:hyperlink>
    </w:p>
  </w:footnote>
  <w:footnote w:id="341">
    <w:p w14:paraId="692DFF30" w14:textId="77777777" w:rsidR="00CE5861" w:rsidRPr="00453316" w:rsidRDefault="00CE5861" w:rsidP="00312DC1">
      <w:pPr>
        <w:pStyle w:val="FootnoteText"/>
        <w:jc w:val="both"/>
        <w:rPr>
          <w:sz w:val="22"/>
          <w:szCs w:val="22"/>
          <w:lang w:val="en-US"/>
        </w:rPr>
      </w:pPr>
      <w:r w:rsidRPr="00957DD3">
        <w:rPr>
          <w:rStyle w:val="FootnoteReference"/>
        </w:rPr>
        <w:footnoteRef/>
      </w:r>
      <w:r w:rsidRPr="00453316">
        <w:rPr>
          <w:lang w:val="en-US"/>
        </w:rPr>
        <w:t xml:space="preserve"> - Egger, R., &amp; Yu, J. (2022). A topic modeling comparison between lda, nmf, top2vec, and bertopic to demystify twitter posts. </w:t>
      </w:r>
      <w:r w:rsidRPr="00453316">
        <w:rPr>
          <w:i/>
          <w:iCs/>
          <w:lang w:val="en-US"/>
        </w:rPr>
        <w:t>Frontiers in Sociology</w:t>
      </w:r>
      <w:r w:rsidRPr="00453316">
        <w:rPr>
          <w:lang w:val="en-US"/>
        </w:rPr>
        <w:t xml:space="preserve">, </w:t>
      </w:r>
      <w:r w:rsidRPr="00453316">
        <w:rPr>
          <w:i/>
          <w:iCs/>
          <w:lang w:val="en-US"/>
        </w:rPr>
        <w:t>7</w:t>
      </w:r>
      <w:r w:rsidRPr="00453316">
        <w:rPr>
          <w:lang w:val="en-US"/>
        </w:rPr>
        <w:t>, 886498.</w:t>
      </w:r>
    </w:p>
  </w:footnote>
  <w:footnote w:id="342">
    <w:p w14:paraId="24A3D64A" w14:textId="66F64D4B" w:rsidR="00CE5861" w:rsidRPr="00453316" w:rsidRDefault="00CE5861" w:rsidP="00312DC1">
      <w:pPr>
        <w:pStyle w:val="FootnoteText"/>
        <w:jc w:val="both"/>
        <w:rPr>
          <w:lang w:val="en-US"/>
        </w:rPr>
      </w:pPr>
      <w:r w:rsidRPr="00957DD3">
        <w:rPr>
          <w:rStyle w:val="FootnoteReference"/>
        </w:rPr>
        <w:footnoteRef/>
      </w:r>
      <w:r w:rsidRPr="00453316">
        <w:rPr>
          <w:lang w:val="en-US"/>
        </w:rPr>
        <w:t xml:space="preserve"> - Grootendorst, M. (2022). BERTopic: Neural topic modeling with a class-based TF-IDF procedure. </w:t>
      </w:r>
      <w:r w:rsidRPr="00453316">
        <w:rPr>
          <w:i/>
          <w:iCs/>
          <w:lang w:val="en-US"/>
        </w:rPr>
        <w:t>arXiv Preprint arXiv:2203.05794</w:t>
      </w:r>
      <w:r w:rsidRPr="00453316">
        <w:rPr>
          <w:lang w:val="en-US"/>
        </w:rPr>
        <w:t>.</w:t>
      </w:r>
    </w:p>
  </w:footnote>
  <w:footnote w:id="343">
    <w:p w14:paraId="3C60A668" w14:textId="120031E2" w:rsidR="00CE5861" w:rsidRPr="004646AE" w:rsidRDefault="00CE5861" w:rsidP="00312DC1">
      <w:pPr>
        <w:pStyle w:val="FootnoteText"/>
        <w:jc w:val="both"/>
        <w:rPr>
          <w:lang w:val="de-DE"/>
        </w:rPr>
      </w:pPr>
      <w:r w:rsidRPr="00957DD3">
        <w:rPr>
          <w:rStyle w:val="FootnoteReference"/>
        </w:rPr>
        <w:footnoteRef/>
      </w:r>
      <w:r w:rsidRPr="00453316">
        <w:rPr>
          <w:lang w:val="en-US"/>
        </w:rPr>
        <w:t xml:space="preserve"> - Mendonça, M., &amp; Figueira, Á. (2024). </w:t>
      </w:r>
      <w:r w:rsidRPr="00453316">
        <w:rPr>
          <w:i/>
          <w:iCs/>
          <w:lang w:val="en-US"/>
        </w:rPr>
        <w:t>Topic Extraction: BERTopic’s Insight into the 117th Congress’s Twitterverse</w:t>
      </w:r>
      <w:r w:rsidRPr="00453316">
        <w:rPr>
          <w:lang w:val="en-US"/>
        </w:rPr>
        <w:t xml:space="preserve">. </w:t>
      </w:r>
      <w:r w:rsidRPr="004646AE">
        <w:rPr>
          <w:i/>
          <w:iCs/>
          <w:lang w:val="de-DE"/>
        </w:rPr>
        <w:t>11</w:t>
      </w:r>
      <w:r w:rsidRPr="004646AE">
        <w:rPr>
          <w:lang w:val="de-DE"/>
        </w:rPr>
        <w:t>(1), 8.</w:t>
      </w:r>
    </w:p>
  </w:footnote>
  <w:footnote w:id="344">
    <w:p w14:paraId="62DCAF3B" w14:textId="347DE8F2"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4646AE">
        <w:rPr>
          <w:lang w:val="de-DE"/>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285" w:history="1">
        <w:r w:rsidRPr="00453316">
          <w:rPr>
            <w:rStyle w:val="Hyperlink"/>
            <w:lang w:val="en-US"/>
          </w:rPr>
          <w:t>https://www.thelancet.com/journals/lancet/article/PIIS0140-6736(12)61034-4/abstract</w:t>
        </w:r>
      </w:hyperlink>
    </w:p>
  </w:footnote>
  <w:footnote w:id="345">
    <w:p w14:paraId="473B6744" w14:textId="0722496E"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453316">
        <w:rPr>
          <w:lang w:val="en-US"/>
        </w:rPr>
        <w:t xml:space="preserve"> Bernal, V., &amp; Trejo-Gabriel-Galan, J. M. (2021). Euthanasia laws in Spain and in the world: Medical aspects. </w:t>
      </w:r>
      <w:r w:rsidRPr="00453316">
        <w:rPr>
          <w:i/>
          <w:iCs/>
          <w:lang w:val="en-US"/>
        </w:rPr>
        <w:t>Atencion Primaria</w:t>
      </w:r>
      <w:r w:rsidRPr="00453316">
        <w:rPr>
          <w:lang w:val="en-US"/>
        </w:rPr>
        <w:t xml:space="preserve">, </w:t>
      </w:r>
      <w:r w:rsidRPr="00453316">
        <w:rPr>
          <w:i/>
          <w:iCs/>
          <w:lang w:val="en-US"/>
        </w:rPr>
        <w:t>54</w:t>
      </w:r>
      <w:r w:rsidRPr="00453316">
        <w:rPr>
          <w:lang w:val="en-US"/>
        </w:rPr>
        <w:t xml:space="preserve">(1), 102170–102170. </w:t>
      </w:r>
      <w:hyperlink r:id="rId286" w:history="1">
        <w:r w:rsidRPr="00453316">
          <w:rPr>
            <w:rStyle w:val="Hyperlink"/>
            <w:lang w:val="en-US"/>
          </w:rPr>
          <w:t>https://europepmc.org/article/med/34798415</w:t>
        </w:r>
      </w:hyperlink>
    </w:p>
  </w:footnote>
  <w:footnote w:id="346">
    <w:p w14:paraId="4CF566B5" w14:textId="2B2E769A"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w:t>
      </w:r>
      <w:r w:rsidRPr="001256EA">
        <w:rPr>
          <w:lang w:val="en-US"/>
        </w:rPr>
        <w:t xml:space="preserve">Raus, K. (2016). The Extension of Belgium’s Euthanasia Law to Include Competent Minors. </w:t>
      </w:r>
      <w:r w:rsidRPr="001256EA">
        <w:rPr>
          <w:i/>
          <w:iCs/>
          <w:lang w:val="en-US"/>
        </w:rPr>
        <w:t>Journal of Bioethical Inquiry</w:t>
      </w:r>
      <w:r w:rsidRPr="001256EA">
        <w:rPr>
          <w:lang w:val="en-US"/>
        </w:rPr>
        <w:t xml:space="preserve">, </w:t>
      </w:r>
      <w:r w:rsidRPr="001256EA">
        <w:rPr>
          <w:i/>
          <w:iCs/>
          <w:lang w:val="en-US"/>
        </w:rPr>
        <w:t>13</w:t>
      </w:r>
      <w:r w:rsidRPr="001256EA">
        <w:rPr>
          <w:lang w:val="en-US"/>
        </w:rPr>
        <w:t xml:space="preserve">(2), 305–315. </w:t>
      </w:r>
      <w:hyperlink r:id="rId287" w:history="1">
        <w:r w:rsidRPr="001256EA">
          <w:rPr>
            <w:rStyle w:val="Hyperlink"/>
            <w:lang w:val="en-US"/>
          </w:rPr>
          <w:t>https://doi.org/10.1007/s11673-016-9705-5</w:t>
        </w:r>
      </w:hyperlink>
      <w:r w:rsidRPr="001256EA">
        <w:rPr>
          <w:lang w:val="en-US"/>
        </w:rPr>
        <w:t xml:space="preserve">; Pousset, G., Mortier, F., Bilsen, J., Cohen, J., &amp; Deliens, L. (2011). Attitudes and practices of physicians regarding physician-assisted dying in minors. </w:t>
      </w:r>
      <w:r w:rsidRPr="001256EA">
        <w:rPr>
          <w:i/>
          <w:iCs/>
          <w:lang w:val="en-US"/>
        </w:rPr>
        <w:t>Archives of Disease in Childhood</w:t>
      </w:r>
      <w:r w:rsidRPr="001256EA">
        <w:rPr>
          <w:lang w:val="en-US"/>
        </w:rPr>
        <w:t xml:space="preserve">, </w:t>
      </w:r>
      <w:r w:rsidRPr="001256EA">
        <w:rPr>
          <w:i/>
          <w:iCs/>
          <w:lang w:val="en-US"/>
        </w:rPr>
        <w:t>96</w:t>
      </w:r>
      <w:r w:rsidRPr="001256EA">
        <w:rPr>
          <w:lang w:val="en-US"/>
        </w:rPr>
        <w:t>(10), 948–953. https://adc.bmj.com/content/96/10/948.</w:t>
      </w:r>
    </w:p>
  </w:footnote>
  <w:footnote w:id="347">
    <w:p w14:paraId="7D7200C5" w14:textId="085E0DF5"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Smets, T., Cohen, J., Bilsen, J., Van Wesemael, Y., Rurup, M. L., &amp; Deliens, L. (2011). Attitudes and experiences of Belgian physicians regarding euthanasia practice and the euthanasia law. </w:t>
      </w:r>
      <w:r w:rsidRPr="00453316">
        <w:rPr>
          <w:i/>
          <w:iCs/>
          <w:lang w:val="en-US"/>
        </w:rPr>
        <w:t>Journal of Pain and Symptom Management</w:t>
      </w:r>
      <w:r w:rsidRPr="00453316">
        <w:rPr>
          <w:lang w:val="en-US"/>
        </w:rPr>
        <w:t xml:space="preserve">, </w:t>
      </w:r>
      <w:r w:rsidRPr="00453316">
        <w:rPr>
          <w:i/>
          <w:iCs/>
          <w:lang w:val="en-US"/>
        </w:rPr>
        <w:t>41</w:t>
      </w:r>
      <w:r w:rsidRPr="00453316">
        <w:rPr>
          <w:lang w:val="en-US"/>
        </w:rPr>
        <w:t xml:space="preserve">(3), 580–593. </w:t>
      </w:r>
      <w:hyperlink r:id="rId288" w:history="1">
        <w:r w:rsidRPr="00453316">
          <w:rPr>
            <w:rStyle w:val="Hyperlink"/>
            <w:lang w:val="en-US"/>
          </w:rPr>
          <w:t>https://www.sciencedirect.com/science/article/pii/S0885392410006937</w:t>
        </w:r>
      </w:hyperlink>
    </w:p>
  </w:footnote>
  <w:footnote w:id="348">
    <w:p w14:paraId="19948FA9" w14:textId="06F7EF15"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Van Rickstal, R., De Vleminck, A., Chambaere, K., &amp; Van den Block, L. (2023). People with young-onset dementia and their family caregivers discussing euthanasia: A qualitative analysis of their considerations. </w:t>
      </w:r>
      <w:r w:rsidRPr="00453316">
        <w:rPr>
          <w:i/>
          <w:iCs/>
          <w:lang w:val="en-US"/>
        </w:rPr>
        <w:t>Patient Education and Counseling</w:t>
      </w:r>
      <w:r w:rsidRPr="00453316">
        <w:rPr>
          <w:lang w:val="en-US"/>
        </w:rPr>
        <w:t xml:space="preserve">, </w:t>
      </w:r>
      <w:r w:rsidRPr="00453316">
        <w:rPr>
          <w:i/>
          <w:iCs/>
          <w:lang w:val="en-US"/>
        </w:rPr>
        <w:t>115</w:t>
      </w:r>
      <w:r w:rsidRPr="00453316">
        <w:rPr>
          <w:lang w:val="en-US"/>
        </w:rPr>
        <w:t xml:space="preserve">, 107882. </w:t>
      </w:r>
      <w:hyperlink r:id="rId289" w:history="1">
        <w:r w:rsidRPr="00453316">
          <w:rPr>
            <w:rStyle w:val="Hyperlink"/>
            <w:lang w:val="en-US"/>
          </w:rPr>
          <w:t>https://www.sciencedirect.com/science/article/pii/S0738399123002628</w:t>
        </w:r>
      </w:hyperlink>
      <w:r w:rsidRPr="00453316">
        <w:rPr>
          <w:lang w:val="en-US"/>
        </w:rPr>
        <w:t xml:space="preserve"> ; de Boer, M. E., Dröes, R.-M., Jonker, C., Eefsting, J. A., &amp; Hertogh, C. M. (2010). Advance directives for euthanasia in dementia: Do law-based opportunities lead to more euthanasia? </w:t>
      </w:r>
      <w:r w:rsidRPr="00453316">
        <w:rPr>
          <w:i/>
          <w:iCs/>
          <w:lang w:val="en-US"/>
        </w:rPr>
        <w:t>Health Policy</w:t>
      </w:r>
      <w:r w:rsidRPr="00453316">
        <w:rPr>
          <w:lang w:val="en-US"/>
        </w:rPr>
        <w:t xml:space="preserve">, </w:t>
      </w:r>
      <w:r w:rsidRPr="00453316">
        <w:rPr>
          <w:i/>
          <w:iCs/>
          <w:lang w:val="en-US"/>
        </w:rPr>
        <w:t>98</w:t>
      </w:r>
      <w:r w:rsidRPr="00453316">
        <w:rPr>
          <w:lang w:val="en-US"/>
        </w:rPr>
        <w:t xml:space="preserve">(2–3), 256–262. </w:t>
      </w:r>
      <w:hyperlink r:id="rId290" w:history="1">
        <w:r w:rsidRPr="00453316">
          <w:rPr>
            <w:rStyle w:val="Hyperlink"/>
            <w:lang w:val="en-US"/>
          </w:rPr>
          <w:t>https://www.sciencedirect.com/science/article/pii/S0168851010001934</w:t>
        </w:r>
      </w:hyperlink>
    </w:p>
  </w:footnote>
  <w:footnote w:id="349">
    <w:p w14:paraId="7358173D" w14:textId="1FCD11FB" w:rsidR="00CE5861" w:rsidRPr="00831EFD" w:rsidRDefault="00CE5861" w:rsidP="00483866">
      <w:pPr>
        <w:pStyle w:val="Bibliography"/>
        <w:spacing w:after="0" w:line="240" w:lineRule="auto"/>
        <w:jc w:val="both"/>
        <w:rPr>
          <w:rFonts w:ascii="Times New Roman" w:hAnsi="Times New Roman" w:cs="Times New Roman"/>
          <w:sz w:val="20"/>
          <w:szCs w:val="20"/>
        </w:rPr>
      </w:pPr>
      <w:r w:rsidRPr="00831EFD">
        <w:rPr>
          <w:rStyle w:val="FootnoteReference"/>
          <w:sz w:val="24"/>
          <w:szCs w:val="24"/>
        </w:rPr>
        <w:footnoteRef/>
      </w:r>
      <w:r w:rsidRPr="00831EFD">
        <w:rPr>
          <w:rFonts w:ascii="Times New Roman" w:hAnsi="Times New Roman" w:cs="Times New Roman"/>
          <w:sz w:val="20"/>
          <w:szCs w:val="20"/>
        </w:rPr>
        <w:t xml:space="preserve"> Genicot, G. (2025). The conditional decriminalisation of euthanasia, a remarkable feature of Belgian law. </w:t>
      </w:r>
      <w:r w:rsidRPr="00831EFD">
        <w:rPr>
          <w:rFonts w:ascii="Times New Roman" w:hAnsi="Times New Roman" w:cs="Times New Roman"/>
          <w:i/>
          <w:iCs/>
          <w:sz w:val="20"/>
          <w:szCs w:val="20"/>
        </w:rPr>
        <w:t>Ethics, Medicine and Public Health</w:t>
      </w:r>
      <w:r w:rsidRPr="00831EFD">
        <w:rPr>
          <w:rFonts w:ascii="Times New Roman" w:hAnsi="Times New Roman" w:cs="Times New Roman"/>
          <w:sz w:val="20"/>
          <w:szCs w:val="20"/>
        </w:rPr>
        <w:t xml:space="preserve">, </w:t>
      </w:r>
      <w:r w:rsidRPr="00831EFD">
        <w:rPr>
          <w:rFonts w:ascii="Times New Roman" w:hAnsi="Times New Roman" w:cs="Times New Roman"/>
          <w:i/>
          <w:iCs/>
          <w:sz w:val="20"/>
          <w:szCs w:val="20"/>
        </w:rPr>
        <w:t>33</w:t>
      </w:r>
      <w:r w:rsidRPr="00831EFD">
        <w:rPr>
          <w:rFonts w:ascii="Times New Roman" w:hAnsi="Times New Roman" w:cs="Times New Roman"/>
          <w:sz w:val="20"/>
          <w:szCs w:val="20"/>
        </w:rPr>
        <w:t xml:space="preserve">, 101054. </w:t>
      </w:r>
      <w:hyperlink r:id="rId291" w:history="1">
        <w:r w:rsidRPr="00831EFD">
          <w:rPr>
            <w:rStyle w:val="Hyperlink"/>
            <w:rFonts w:ascii="Times New Roman" w:hAnsi="Times New Roman" w:cs="Times New Roman"/>
            <w:sz w:val="20"/>
            <w:szCs w:val="20"/>
          </w:rPr>
          <w:t>https://www.sciencedirect.com/science/article/pii/S2352552525000131</w:t>
        </w:r>
      </w:hyperlink>
      <w:r w:rsidRPr="00831EFD">
        <w:rPr>
          <w:rFonts w:ascii="Times New Roman" w:hAnsi="Times New Roman" w:cs="Times New Roman"/>
          <w:sz w:val="20"/>
          <w:szCs w:val="20"/>
        </w:rPr>
        <w:t xml:space="preserve">; Chambaere, K., Bilsen, J., Cohen, J., Onwuteaka-Philipsen, B. D., Mortier, F., &amp; Deliens, L. (2010). Physician-assisted deaths under the euthanasia law in Belgium: A population-based survey. </w:t>
      </w:r>
      <w:r w:rsidRPr="00831EFD">
        <w:rPr>
          <w:rFonts w:ascii="Times New Roman" w:hAnsi="Times New Roman" w:cs="Times New Roman"/>
          <w:i/>
          <w:iCs/>
          <w:sz w:val="20"/>
          <w:szCs w:val="20"/>
        </w:rPr>
        <w:t>CMAJ</w:t>
      </w:r>
      <w:r w:rsidRPr="00831EFD">
        <w:rPr>
          <w:rFonts w:ascii="Times New Roman" w:hAnsi="Times New Roman" w:cs="Times New Roman"/>
          <w:sz w:val="20"/>
          <w:szCs w:val="20"/>
        </w:rPr>
        <w:t xml:space="preserve">, </w:t>
      </w:r>
      <w:r w:rsidRPr="00831EFD">
        <w:rPr>
          <w:rFonts w:ascii="Times New Roman" w:hAnsi="Times New Roman" w:cs="Times New Roman"/>
          <w:i/>
          <w:iCs/>
          <w:sz w:val="20"/>
          <w:szCs w:val="20"/>
        </w:rPr>
        <w:t>182</w:t>
      </w:r>
      <w:r w:rsidRPr="00831EFD">
        <w:rPr>
          <w:rFonts w:ascii="Times New Roman" w:hAnsi="Times New Roman" w:cs="Times New Roman"/>
          <w:sz w:val="20"/>
          <w:szCs w:val="20"/>
        </w:rPr>
        <w:t xml:space="preserve">(9), 895–901. </w:t>
      </w:r>
      <w:hyperlink r:id="rId292" w:history="1">
        <w:r w:rsidRPr="00831EFD">
          <w:rPr>
            <w:rStyle w:val="Hyperlink"/>
            <w:rFonts w:ascii="Times New Roman" w:hAnsi="Times New Roman" w:cs="Times New Roman"/>
            <w:sz w:val="20"/>
            <w:szCs w:val="20"/>
          </w:rPr>
          <w:t>https://www.cmaj.ca/content/182/9/895.short</w:t>
        </w:r>
      </w:hyperlink>
      <w:r w:rsidRPr="00831EFD">
        <w:rPr>
          <w:rFonts w:ascii="Times New Roman" w:hAnsi="Times New Roman" w:cs="Times New Roman"/>
          <w:sz w:val="20"/>
          <w:szCs w:val="20"/>
        </w:rPr>
        <w:t xml:space="preserve">; Chambaere, K., Bilsen, J., Cohen, J., Onwuteaka-Philipsen, B. D., Mortier, F., &amp; Deliens, L. (2011). Trends in Medical End-of-Life Decision Making in Flanders, Belgium 1998–2001–2007. </w:t>
      </w:r>
      <w:r w:rsidRPr="00831EFD">
        <w:rPr>
          <w:rFonts w:ascii="Times New Roman" w:hAnsi="Times New Roman" w:cs="Times New Roman"/>
          <w:i/>
          <w:iCs/>
          <w:sz w:val="20"/>
          <w:szCs w:val="20"/>
        </w:rPr>
        <w:t>Medical Decision Making</w:t>
      </w:r>
      <w:r w:rsidRPr="00831EFD">
        <w:rPr>
          <w:rFonts w:ascii="Times New Roman" w:hAnsi="Times New Roman" w:cs="Times New Roman"/>
          <w:sz w:val="20"/>
          <w:szCs w:val="20"/>
        </w:rPr>
        <w:t xml:space="preserve">, </w:t>
      </w:r>
      <w:r w:rsidRPr="00831EFD">
        <w:rPr>
          <w:rFonts w:ascii="Times New Roman" w:hAnsi="Times New Roman" w:cs="Times New Roman"/>
          <w:i/>
          <w:iCs/>
          <w:sz w:val="20"/>
          <w:szCs w:val="20"/>
        </w:rPr>
        <w:t>31</w:t>
      </w:r>
      <w:r w:rsidRPr="00831EFD">
        <w:rPr>
          <w:rFonts w:ascii="Times New Roman" w:hAnsi="Times New Roman" w:cs="Times New Roman"/>
          <w:sz w:val="20"/>
          <w:szCs w:val="20"/>
        </w:rPr>
        <w:t xml:space="preserve">(3). </w:t>
      </w:r>
      <w:hyperlink r:id="rId293" w:history="1">
        <w:r w:rsidRPr="00831EFD">
          <w:rPr>
            <w:rStyle w:val="Hyperlink"/>
            <w:rFonts w:ascii="Times New Roman" w:hAnsi="Times New Roman" w:cs="Times New Roman"/>
            <w:sz w:val="20"/>
            <w:szCs w:val="20"/>
          </w:rPr>
          <w:t>https://doi.org/10.1177/0272989X10392379</w:t>
        </w:r>
      </w:hyperlink>
      <w:r w:rsidRPr="00831EFD">
        <w:rPr>
          <w:rFonts w:ascii="Times New Roman" w:hAnsi="Times New Roman" w:cs="Times New Roman"/>
          <w:sz w:val="20"/>
          <w:szCs w:val="20"/>
        </w:rPr>
        <w:t xml:space="preserve">; Chambaere, K., Rietjens, J. A. C., Smets, T., Bilsen, J., Deschepper, R., Pasman, H. R. W., &amp; Deliens, L. (2012). Age-based disparities in end-of-life decisions in Belgium: A population-based death certificate survey. </w:t>
      </w:r>
      <w:r w:rsidRPr="00831EFD">
        <w:rPr>
          <w:rFonts w:ascii="Times New Roman" w:hAnsi="Times New Roman" w:cs="Times New Roman"/>
          <w:i/>
          <w:iCs/>
          <w:sz w:val="20"/>
          <w:szCs w:val="20"/>
        </w:rPr>
        <w:t>BMC Public Health</w:t>
      </w:r>
      <w:r w:rsidRPr="00831EFD">
        <w:rPr>
          <w:rFonts w:ascii="Times New Roman" w:hAnsi="Times New Roman" w:cs="Times New Roman"/>
          <w:sz w:val="20"/>
          <w:szCs w:val="20"/>
        </w:rPr>
        <w:t xml:space="preserve">, </w:t>
      </w:r>
      <w:r w:rsidRPr="00831EFD">
        <w:rPr>
          <w:rFonts w:ascii="Times New Roman" w:hAnsi="Times New Roman" w:cs="Times New Roman"/>
          <w:i/>
          <w:iCs/>
          <w:sz w:val="20"/>
          <w:szCs w:val="20"/>
        </w:rPr>
        <w:t>12</w:t>
      </w:r>
      <w:r w:rsidRPr="00831EFD">
        <w:rPr>
          <w:rFonts w:ascii="Times New Roman" w:hAnsi="Times New Roman" w:cs="Times New Roman"/>
          <w:sz w:val="20"/>
          <w:szCs w:val="20"/>
        </w:rPr>
        <w:t xml:space="preserve">(1), 447. </w:t>
      </w:r>
      <w:hyperlink r:id="rId294" w:history="1">
        <w:r w:rsidRPr="00831EFD">
          <w:rPr>
            <w:rStyle w:val="Hyperlink"/>
            <w:rFonts w:ascii="Times New Roman" w:hAnsi="Times New Roman" w:cs="Times New Roman"/>
            <w:sz w:val="20"/>
            <w:szCs w:val="20"/>
          </w:rPr>
          <w:t>https://doi.org/10.1186/1471-2458-12-447</w:t>
        </w:r>
      </w:hyperlink>
    </w:p>
  </w:footnote>
  <w:footnote w:id="350">
    <w:p w14:paraId="15807EFE" w14:textId="0537DBE4" w:rsidR="00CE5861" w:rsidRPr="00453316" w:rsidRDefault="00CE5861" w:rsidP="00483866">
      <w:pPr>
        <w:pStyle w:val="FootnoteText"/>
        <w:jc w:val="both"/>
        <w:rPr>
          <w:sz w:val="18"/>
          <w:szCs w:val="18"/>
          <w:lang w:val="en-US"/>
        </w:rPr>
      </w:pPr>
      <w:r w:rsidRPr="00831EFD">
        <w:rPr>
          <w:rStyle w:val="FootnoteReference"/>
          <w:sz w:val="22"/>
          <w:szCs w:val="22"/>
        </w:rPr>
        <w:footnoteRef/>
      </w:r>
      <w:r w:rsidRPr="00453316">
        <w:rPr>
          <w:lang w:val="en-US"/>
        </w:rPr>
        <w:t xml:space="preserve"> </w:t>
      </w:r>
      <w:r w:rsidR="000C3FD5" w:rsidRPr="001256EA">
        <w:rPr>
          <w:lang w:val="lt-LT"/>
        </w:rPr>
        <w:t>Wels, J., &amp; Hamarat, N. (2024). Incidence and prevalence of euthanasia in Belgium. A study using administrative data on all cases of euthanasia reported between 2002 and 2023. </w:t>
      </w:r>
      <w:r w:rsidR="000C3FD5" w:rsidRPr="001256EA">
        <w:rPr>
          <w:i/>
          <w:iCs/>
          <w:lang w:val="lt-LT"/>
        </w:rPr>
        <w:t>medRxiv</w:t>
      </w:r>
      <w:r w:rsidR="000C3FD5" w:rsidRPr="001256EA">
        <w:rPr>
          <w:lang w:val="lt-LT"/>
        </w:rPr>
        <w:t xml:space="preserve">, 2024-10. </w:t>
      </w:r>
      <w:hyperlink r:id="rId295" w:history="1">
        <w:r w:rsidR="000C3FD5" w:rsidRPr="001256EA">
          <w:rPr>
            <w:rStyle w:val="Hyperlink"/>
            <w:lang w:val="lt-LT"/>
          </w:rPr>
          <w:t>https://doi.org/10.1101/2024.10.16.24315619</w:t>
        </w:r>
      </w:hyperlink>
    </w:p>
  </w:footnote>
  <w:footnote w:id="351">
    <w:p w14:paraId="7D948540" w14:textId="2C634693"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Kadir, Y., Nurmala, L. D., &amp; Ismail, N. (2021). The Relevance of Legal Protection to Human Rights Related to Euthanasia Law in Indonesia. </w:t>
      </w:r>
      <w:r w:rsidRPr="00453316">
        <w:rPr>
          <w:i/>
          <w:iCs/>
          <w:lang w:val="en-US"/>
        </w:rPr>
        <w:t>Jambura Law Review</w:t>
      </w:r>
      <w:r w:rsidRPr="00453316">
        <w:rPr>
          <w:lang w:val="en-US"/>
        </w:rPr>
        <w:t xml:space="preserve">, </w:t>
      </w:r>
      <w:r w:rsidRPr="00453316">
        <w:rPr>
          <w:i/>
          <w:iCs/>
          <w:lang w:val="en-US"/>
        </w:rPr>
        <w:t>3</w:t>
      </w:r>
      <w:r w:rsidRPr="00453316">
        <w:rPr>
          <w:lang w:val="en-US"/>
        </w:rPr>
        <w:t xml:space="preserve">(2), 319–335. </w:t>
      </w:r>
      <w:hyperlink r:id="rId296" w:history="1">
        <w:r w:rsidRPr="00453316">
          <w:rPr>
            <w:rStyle w:val="Hyperlink"/>
            <w:lang w:val="en-US"/>
          </w:rPr>
          <w:t>https://ejurnal.ung.ac.id/index.php/jalrev/article/download/7111/3478</w:t>
        </w:r>
      </w:hyperlink>
      <w:r w:rsidRPr="00453316">
        <w:rPr>
          <w:lang w:val="en-US"/>
        </w:rPr>
        <w:t xml:space="preserve">; Kamri, A. (2024). Medical Action of Doctors with Euthanasy From the Perspective of Criminal Acts on Islamic Law: A Normative Review. </w:t>
      </w:r>
      <w:r w:rsidRPr="00453316">
        <w:rPr>
          <w:i/>
          <w:iCs/>
          <w:lang w:val="en-US"/>
        </w:rPr>
        <w:t>MEDICAL ACTION OF DOCTORS WITH EUTHANASY FROM THE PERSPECTIVE OF CRIMINAL ACTS ON ISLAMIC LAW: A NORMATIVE REVIEW</w:t>
      </w:r>
      <w:r w:rsidRPr="00453316">
        <w:rPr>
          <w:lang w:val="en-US"/>
        </w:rPr>
        <w:t xml:space="preserve">, </w:t>
      </w:r>
      <w:r w:rsidRPr="00453316">
        <w:rPr>
          <w:i/>
          <w:iCs/>
          <w:lang w:val="en-US"/>
        </w:rPr>
        <w:t>18</w:t>
      </w:r>
      <w:r w:rsidRPr="00453316">
        <w:rPr>
          <w:lang w:val="en-US"/>
        </w:rPr>
        <w:t xml:space="preserve">(6), 1. </w:t>
      </w:r>
      <w:hyperlink r:id="rId297" w:history="1">
        <w:r w:rsidRPr="00453316">
          <w:rPr>
            <w:rStyle w:val="Hyperlink"/>
            <w:lang w:val="en-US"/>
          </w:rPr>
          <w:t>https://repository.umi.ac.id/6269/</w:t>
        </w:r>
      </w:hyperlink>
    </w:p>
  </w:footnote>
  <w:footnote w:id="352">
    <w:p w14:paraId="45C8E42E" w14:textId="02DECE2A" w:rsidR="00CE5861" w:rsidRPr="00001C8C" w:rsidRDefault="00CE5861" w:rsidP="00001C8C">
      <w:pPr>
        <w:pStyle w:val="FootnoteText"/>
        <w:jc w:val="both"/>
        <w:rPr>
          <w:lang w:val="de-DE"/>
        </w:rPr>
      </w:pPr>
      <w:r w:rsidRPr="00831EFD">
        <w:rPr>
          <w:rStyle w:val="FootnoteReference"/>
          <w:sz w:val="22"/>
          <w:szCs w:val="22"/>
        </w:rPr>
        <w:footnoteRef/>
      </w:r>
      <w:r w:rsidRPr="00453316">
        <w:rPr>
          <w:lang w:val="en-US"/>
        </w:rPr>
        <w:t xml:space="preserve"> </w:t>
      </w:r>
      <w:r w:rsidR="00001C8C" w:rsidRPr="00802402">
        <w:rPr>
          <w:lang w:val="en-GB"/>
        </w:rPr>
        <w:t xml:space="preserve">Weyers, H. (2024). Work to be done: an inquiry concerning legal certainty in the fourth evaluation of the Dutch euthanasia act. </w:t>
      </w:r>
      <w:r w:rsidR="00001C8C" w:rsidRPr="00802402">
        <w:rPr>
          <w:i/>
          <w:iCs/>
          <w:lang w:val="de-DE"/>
        </w:rPr>
        <w:t>Filosofie &amp; Praktijk</w:t>
      </w:r>
      <w:r w:rsidR="00001C8C" w:rsidRPr="00802402">
        <w:rPr>
          <w:lang w:val="de-DE"/>
        </w:rPr>
        <w:t xml:space="preserve">, </w:t>
      </w:r>
      <w:r w:rsidR="00001C8C" w:rsidRPr="00802402">
        <w:rPr>
          <w:i/>
          <w:iCs/>
          <w:lang w:val="de-DE"/>
        </w:rPr>
        <w:t>45</w:t>
      </w:r>
      <w:r w:rsidR="00001C8C" w:rsidRPr="00802402">
        <w:rPr>
          <w:lang w:val="de-DE"/>
        </w:rPr>
        <w:t xml:space="preserve">(1), 60-77. </w:t>
      </w:r>
      <w:hyperlink r:id="rId298" w:history="1">
        <w:r w:rsidR="00001C8C" w:rsidRPr="00802402">
          <w:rPr>
            <w:rStyle w:val="Hyperlink"/>
            <w:lang w:val="de-DE"/>
          </w:rPr>
          <w:t>https://doi.org/10.5117/FEP2024.1.008.WEYE</w:t>
        </w:r>
      </w:hyperlink>
    </w:p>
  </w:footnote>
  <w:footnote w:id="353">
    <w:p w14:paraId="46E6A355" w14:textId="348C792E" w:rsidR="00CE5861" w:rsidRPr="00453316" w:rsidRDefault="00CE5861" w:rsidP="000753F3">
      <w:pPr>
        <w:pStyle w:val="FootnoteText"/>
        <w:jc w:val="both"/>
        <w:rPr>
          <w:lang w:val="en-US"/>
        </w:rPr>
      </w:pPr>
      <w:r w:rsidRPr="00831EFD">
        <w:rPr>
          <w:rStyle w:val="FootnoteReference"/>
          <w:sz w:val="22"/>
          <w:szCs w:val="22"/>
        </w:rPr>
        <w:footnoteRef/>
      </w:r>
      <w:r w:rsidRPr="00001C8C">
        <w:rPr>
          <w:lang w:val="de-DE"/>
        </w:rPr>
        <w:t xml:space="preserve"> Dierickx, S., Deliens, L., Cohen, J., &amp; Chambaere, K. (2017). </w:t>
      </w:r>
      <w:r w:rsidRPr="00453316">
        <w:rPr>
          <w:lang w:val="en-US"/>
        </w:rPr>
        <w:t xml:space="preserve">Euthanasia for people with psychiatric disorders or dementia in Belgium: Analysis of officially reported cases. </w:t>
      </w:r>
      <w:r w:rsidRPr="004646AE">
        <w:rPr>
          <w:lang w:val="de-DE"/>
        </w:rPr>
        <w:t xml:space="preserve">BMC Psychiatry, 17, 1–9. </w:t>
      </w:r>
      <w:hyperlink r:id="rId299" w:history="1">
        <w:r w:rsidRPr="004646AE">
          <w:rPr>
            <w:rStyle w:val="Hyperlink"/>
            <w:lang w:val="de-DE"/>
          </w:rPr>
          <w:t>https://link.springer.com/article/10.1186/s12888-017-1369-0</w:t>
        </w:r>
      </w:hyperlink>
      <w:r w:rsidRPr="004646AE">
        <w:rPr>
          <w:lang w:val="de-DE"/>
        </w:rPr>
        <w:t xml:space="preserve">; Miller, D. G., Dresser, R., &amp; Kim, S. Y. (2019). </w:t>
      </w:r>
      <w:r w:rsidRPr="00453316">
        <w:rPr>
          <w:lang w:val="en-US"/>
        </w:rPr>
        <w:t xml:space="preserve">Advance euthanasia directives: A controversial case and its ethical implications. </w:t>
      </w:r>
      <w:r w:rsidRPr="00453316">
        <w:rPr>
          <w:i/>
          <w:iCs/>
          <w:lang w:val="en-US"/>
        </w:rPr>
        <w:t>Journal of Medical Ethics</w:t>
      </w:r>
      <w:r w:rsidRPr="00453316">
        <w:rPr>
          <w:lang w:val="en-US"/>
        </w:rPr>
        <w:t xml:space="preserve">, </w:t>
      </w:r>
      <w:r w:rsidRPr="00453316">
        <w:rPr>
          <w:i/>
          <w:iCs/>
          <w:lang w:val="en-US"/>
        </w:rPr>
        <w:t>45</w:t>
      </w:r>
      <w:r w:rsidRPr="00453316">
        <w:rPr>
          <w:lang w:val="en-US"/>
        </w:rPr>
        <w:t xml:space="preserve">(2), 84–89. </w:t>
      </w:r>
      <w:hyperlink r:id="rId300" w:history="1">
        <w:r w:rsidRPr="00453316">
          <w:rPr>
            <w:rStyle w:val="Hyperlink"/>
            <w:lang w:val="en-US"/>
          </w:rPr>
          <w:t>https://jme.bmj.com/content/45/2/84.abstract</w:t>
        </w:r>
      </w:hyperlink>
    </w:p>
  </w:footnote>
  <w:footnote w:id="354">
    <w:p w14:paraId="1914DFEE" w14:textId="1A03095C" w:rsidR="00CE5861" w:rsidRPr="00453316" w:rsidRDefault="00CE5861" w:rsidP="000753F3">
      <w:pPr>
        <w:pStyle w:val="FootnoteText"/>
        <w:jc w:val="both"/>
        <w:rPr>
          <w:lang w:val="en-US"/>
        </w:rPr>
      </w:pPr>
      <w:r w:rsidRPr="00831EFD">
        <w:rPr>
          <w:rStyle w:val="FootnoteReference"/>
          <w:sz w:val="22"/>
          <w:szCs w:val="22"/>
        </w:rPr>
        <w:footnoteRef/>
      </w:r>
      <w:r w:rsidRPr="00BB574A">
        <w:rPr>
          <w:lang w:val="en-US"/>
        </w:rPr>
        <w:t xml:space="preserve"> Smets, T., Bilsen, J., Van den Block, L., Cohen, J., Van Casteren, V., &amp; Deliens, L. (2010). </w:t>
      </w:r>
      <w:r w:rsidRPr="00453316">
        <w:rPr>
          <w:lang w:val="en-US"/>
        </w:rPr>
        <w:t xml:space="preserve">Euthanasia in patients dying at home in Belgium: Interview study on adherence to legal safeguards. </w:t>
      </w:r>
      <w:r w:rsidRPr="00453316">
        <w:rPr>
          <w:i/>
          <w:iCs/>
          <w:lang w:val="en-US"/>
        </w:rPr>
        <w:t>The British Journal of General Practice</w:t>
      </w:r>
      <w:r w:rsidRPr="00453316">
        <w:rPr>
          <w:lang w:val="en-US"/>
        </w:rPr>
        <w:t xml:space="preserve">, </w:t>
      </w:r>
      <w:r w:rsidRPr="00453316">
        <w:rPr>
          <w:i/>
          <w:iCs/>
          <w:lang w:val="en-US"/>
        </w:rPr>
        <w:t>60</w:t>
      </w:r>
      <w:r w:rsidRPr="00453316">
        <w:rPr>
          <w:lang w:val="en-US"/>
        </w:rPr>
        <w:t xml:space="preserve">(573), e163. </w:t>
      </w:r>
      <w:hyperlink r:id="rId301" w:history="1">
        <w:r w:rsidRPr="00453316">
          <w:rPr>
            <w:rStyle w:val="Hyperlink"/>
            <w:lang w:val="en-US"/>
          </w:rPr>
          <w:t>https://pmc.ncbi.nlm.nih.gov/articles/PMC2845507/</w:t>
        </w:r>
      </w:hyperlink>
      <w:r w:rsidRPr="00453316">
        <w:rPr>
          <w:lang w:val="en-US"/>
        </w:rPr>
        <w:t xml:space="preserve">; Archer, M., Willmott, L., Chambaere, K., Deliens, L., &amp; White, B. P. (2025). Key challenges in providing assisted dying in Belgium: A qualitative analysis of health professionals’ experiences. </w:t>
      </w:r>
      <w:r w:rsidRPr="00453316">
        <w:rPr>
          <w:i/>
          <w:iCs/>
          <w:lang w:val="en-US"/>
        </w:rPr>
        <w:t>Palliative Care and Social Practice</w:t>
      </w:r>
      <w:r w:rsidRPr="00453316">
        <w:rPr>
          <w:lang w:val="en-US"/>
        </w:rPr>
        <w:t xml:space="preserve">, </w:t>
      </w:r>
      <w:r w:rsidRPr="00453316">
        <w:rPr>
          <w:i/>
          <w:iCs/>
          <w:lang w:val="en-US"/>
        </w:rPr>
        <w:t>19</w:t>
      </w:r>
      <w:r w:rsidRPr="00453316">
        <w:rPr>
          <w:lang w:val="en-US"/>
        </w:rPr>
        <w:t xml:space="preserve">, 26323524251318044. </w:t>
      </w:r>
      <w:hyperlink r:id="rId302" w:history="1">
        <w:r w:rsidRPr="00453316">
          <w:rPr>
            <w:rStyle w:val="Hyperlink"/>
            <w:lang w:val="en-US"/>
          </w:rPr>
          <w:t>https://doi.org/10.1177/26323524251318044</w:t>
        </w:r>
      </w:hyperlink>
    </w:p>
  </w:footnote>
  <w:footnote w:id="355">
    <w:p w14:paraId="50DF5E17" w14:textId="459BEAF0"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Verdaguer, M., Beroiz-Groh, P., Busquet-Duran, X., Moreno-Gabriel, E., Arreciado Marañón, A., Feijoo-Cid, M., Domènech, M., Íñiguez-Rueda, L., Vallès-Peris, N., Cantarell-Barella, G., &amp; Toran-Monserrat, P. (2024). [The euthanasia law and professional experiences: Tensions in clinical practice]. </w:t>
      </w:r>
      <w:r w:rsidRPr="00453316">
        <w:rPr>
          <w:i/>
          <w:iCs/>
          <w:lang w:val="en-US"/>
        </w:rPr>
        <w:t>Gaceta Sanitaria</w:t>
      </w:r>
      <w:r w:rsidRPr="00453316">
        <w:rPr>
          <w:lang w:val="en-US"/>
        </w:rPr>
        <w:t xml:space="preserve">, </w:t>
      </w:r>
      <w:r w:rsidRPr="00453316">
        <w:rPr>
          <w:i/>
          <w:iCs/>
          <w:lang w:val="en-US"/>
        </w:rPr>
        <w:t>38</w:t>
      </w:r>
      <w:r w:rsidRPr="00453316">
        <w:rPr>
          <w:lang w:val="en-US"/>
        </w:rPr>
        <w:t xml:space="preserve">, 102373. </w:t>
      </w:r>
      <w:hyperlink r:id="rId303" w:history="1">
        <w:r w:rsidRPr="00453316">
          <w:rPr>
            <w:rStyle w:val="Hyperlink"/>
            <w:lang w:val="en-US"/>
          </w:rPr>
          <w:t>https://doi.org/10.1016/j.gaceta.2024.102373</w:t>
        </w:r>
      </w:hyperlink>
    </w:p>
  </w:footnote>
  <w:footnote w:id="356">
    <w:p w14:paraId="24296DC7" w14:textId="15D6DB58"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Snijdewind, M. C., van Tol, D. G., Onwuteaka-Philipsen, B. D., &amp; Willems, D. L. (2018). Developments in the practice of physician-assisted dying: Perceptions of physicians who had experience with complex cases. </w:t>
      </w:r>
      <w:r w:rsidRPr="00453316">
        <w:rPr>
          <w:i/>
          <w:iCs/>
          <w:lang w:val="en-US"/>
        </w:rPr>
        <w:t>Journal of Medical Ethics</w:t>
      </w:r>
      <w:r w:rsidRPr="00453316">
        <w:rPr>
          <w:lang w:val="en-US"/>
        </w:rPr>
        <w:t xml:space="preserve">, </w:t>
      </w:r>
      <w:r w:rsidRPr="00453316">
        <w:rPr>
          <w:i/>
          <w:iCs/>
          <w:lang w:val="en-US"/>
        </w:rPr>
        <w:t>44</w:t>
      </w:r>
      <w:r w:rsidRPr="00453316">
        <w:rPr>
          <w:lang w:val="en-US"/>
        </w:rPr>
        <w:t xml:space="preserve">(5), 292–296. </w:t>
      </w:r>
      <w:hyperlink r:id="rId304" w:history="1">
        <w:r w:rsidRPr="00453316">
          <w:rPr>
            <w:rStyle w:val="Hyperlink"/>
            <w:lang w:val="en-US"/>
          </w:rPr>
          <w:t>https://doi.org/10.1136/medethics-2016-103405</w:t>
        </w:r>
      </w:hyperlink>
    </w:p>
  </w:footnote>
  <w:footnote w:id="357">
    <w:p w14:paraId="64652177" w14:textId="75E8CD76" w:rsidR="00CE5861" w:rsidRPr="00453316" w:rsidRDefault="00CE5861" w:rsidP="000753F3">
      <w:pPr>
        <w:pStyle w:val="FootnoteText"/>
        <w:jc w:val="both"/>
        <w:rPr>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05" w:history="1">
        <w:r w:rsidRPr="00453316">
          <w:rPr>
            <w:rStyle w:val="Hyperlink"/>
            <w:lang w:val="en-US"/>
          </w:rPr>
          <w:t>https://www.thelancet.com/journals/lancet/article/PIIS0140-6736(12)61034-4/abstract</w:t>
        </w:r>
      </w:hyperlink>
      <w:r w:rsidRPr="00453316">
        <w:rPr>
          <w:lang w:val="en-US"/>
        </w:rPr>
        <w:t>.</w:t>
      </w:r>
    </w:p>
  </w:footnote>
  <w:footnote w:id="358">
    <w:p w14:paraId="16C1B896" w14:textId="693A0D51"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Raus, K. (2016). The Extension of Belgium’s Euthanasia Law to Include Competent Minors. </w:t>
      </w:r>
      <w:r w:rsidRPr="00453316">
        <w:rPr>
          <w:i/>
          <w:iCs/>
          <w:lang w:val="en-US"/>
        </w:rPr>
        <w:t>Journal of Bioethical Inquiry</w:t>
      </w:r>
      <w:r w:rsidRPr="00453316">
        <w:rPr>
          <w:lang w:val="en-US"/>
        </w:rPr>
        <w:t xml:space="preserve">, </w:t>
      </w:r>
      <w:r w:rsidRPr="00453316">
        <w:rPr>
          <w:i/>
          <w:iCs/>
          <w:lang w:val="en-US"/>
        </w:rPr>
        <w:t>13</w:t>
      </w:r>
      <w:r w:rsidRPr="00453316">
        <w:rPr>
          <w:lang w:val="en-US"/>
        </w:rPr>
        <w:t xml:space="preserve">(2), 305–315. </w:t>
      </w:r>
      <w:hyperlink r:id="rId306" w:history="1">
        <w:r w:rsidRPr="00453316">
          <w:rPr>
            <w:rStyle w:val="Hyperlink"/>
            <w:lang w:val="en-US"/>
          </w:rPr>
          <w:t>https://doi.org/10.1007/s11673-016-9705-5</w:t>
        </w:r>
      </w:hyperlink>
      <w:r w:rsidRPr="00453316">
        <w:rPr>
          <w:lang w:val="en-US"/>
        </w:rPr>
        <w:t xml:space="preserve">; Pousset, G., Mortier, F., Bilsen, J., Cohen, J., &amp; Deliens, L. (2011). Attitudes and practices of physicians regarding physician-assisted dying in minors. </w:t>
      </w:r>
      <w:r w:rsidRPr="00453316">
        <w:rPr>
          <w:i/>
          <w:iCs/>
          <w:lang w:val="en-US"/>
        </w:rPr>
        <w:t>Archives of Disease in Childhood</w:t>
      </w:r>
      <w:r w:rsidRPr="00453316">
        <w:rPr>
          <w:lang w:val="en-US"/>
        </w:rPr>
        <w:t xml:space="preserve">, </w:t>
      </w:r>
      <w:r w:rsidRPr="00453316">
        <w:rPr>
          <w:i/>
          <w:iCs/>
          <w:lang w:val="en-US"/>
        </w:rPr>
        <w:t>96</w:t>
      </w:r>
      <w:r w:rsidRPr="00453316">
        <w:rPr>
          <w:lang w:val="en-US"/>
        </w:rPr>
        <w:t xml:space="preserve">(10), 948–953. </w:t>
      </w:r>
      <w:hyperlink r:id="rId307" w:history="1">
        <w:r w:rsidRPr="00453316">
          <w:rPr>
            <w:rStyle w:val="Hyperlink"/>
            <w:lang w:val="en-US"/>
          </w:rPr>
          <w:t>https://adc.bmj.com/content/96/10/948</w:t>
        </w:r>
      </w:hyperlink>
      <w:r w:rsidRPr="00453316">
        <w:rPr>
          <w:lang w:val="en-US"/>
        </w:rPr>
        <w:t>.</w:t>
      </w:r>
    </w:p>
  </w:footnote>
  <w:footnote w:id="359">
    <w:p w14:paraId="20D30A9E" w14:textId="5BD3DC17"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453316">
        <w:rPr>
          <w:lang w:val="en-US"/>
        </w:rPr>
        <w:t xml:space="preserve"> Van Rickstal, R., De Vleminck, A., Chambaere, K., &amp; Van den Block, L. (2023). People with young-onset dementia and their family caregivers discussing euthanasia: A qualitative analysis of their considerations. </w:t>
      </w:r>
      <w:r w:rsidRPr="00453316">
        <w:rPr>
          <w:i/>
          <w:iCs/>
          <w:lang w:val="en-US"/>
        </w:rPr>
        <w:t>Patient Education and Counseling</w:t>
      </w:r>
      <w:r w:rsidRPr="00453316">
        <w:rPr>
          <w:lang w:val="en-US"/>
        </w:rPr>
        <w:t xml:space="preserve">, </w:t>
      </w:r>
      <w:r w:rsidRPr="00453316">
        <w:rPr>
          <w:i/>
          <w:iCs/>
          <w:lang w:val="en-US"/>
        </w:rPr>
        <w:t>115</w:t>
      </w:r>
      <w:r w:rsidRPr="00453316">
        <w:rPr>
          <w:lang w:val="en-US"/>
        </w:rPr>
        <w:t xml:space="preserve">, 107882. </w:t>
      </w:r>
      <w:hyperlink r:id="rId308" w:history="1">
        <w:r w:rsidRPr="00453316">
          <w:rPr>
            <w:rStyle w:val="Hyperlink"/>
            <w:lang w:val="en-US"/>
          </w:rPr>
          <w:t>https://www.sciencedirect.com/science/article/pii/S0738399123002628</w:t>
        </w:r>
      </w:hyperlink>
    </w:p>
  </w:footnote>
  <w:footnote w:id="360">
    <w:p w14:paraId="5B4B04BF" w14:textId="039E15BC" w:rsidR="00CE5861" w:rsidRPr="00DE73E3" w:rsidRDefault="00CE5861" w:rsidP="000753F3">
      <w:pPr>
        <w:pStyle w:val="FootnoteText"/>
        <w:jc w:val="both"/>
        <w:rPr>
          <w:lang w:val="es-ES"/>
        </w:rPr>
      </w:pPr>
      <w:r w:rsidRPr="00831EFD">
        <w:rPr>
          <w:rStyle w:val="FootnoteReference"/>
          <w:sz w:val="22"/>
          <w:szCs w:val="22"/>
        </w:rPr>
        <w:footnoteRef/>
      </w:r>
      <w:r w:rsidRPr="00DE73E3">
        <w:rPr>
          <w:lang w:val="es-ES"/>
        </w:rPr>
        <w:t xml:space="preserve"> Altisent, R., Muñoz, P., Delgado-Marroquín, M. T., Alonso, A., Ferrer, S., &amp; Nabal, M. (2021). </w:t>
      </w:r>
      <w:r w:rsidRPr="00DE73E3">
        <w:rPr>
          <w:i/>
          <w:iCs/>
          <w:lang w:val="es-ES"/>
        </w:rPr>
        <w:t>Euthanasia: Is this the law we need?[Eutanasia:?` es esta la ley que necesitamos?]</w:t>
      </w:r>
      <w:r w:rsidRPr="00DE73E3">
        <w:rPr>
          <w:lang w:val="es-ES"/>
        </w:rPr>
        <w:t xml:space="preserve">. </w:t>
      </w:r>
      <w:hyperlink r:id="rId309" w:history="1">
        <w:r w:rsidRPr="00DE73E3">
          <w:rPr>
            <w:rStyle w:val="Hyperlink"/>
            <w:lang w:val="es-ES"/>
          </w:rPr>
          <w:t>https://zaguan.unizar.es/record/151472</w:t>
        </w:r>
      </w:hyperlink>
      <w:r w:rsidRPr="00DE73E3">
        <w:rPr>
          <w:lang w:val="es-ES"/>
        </w:rPr>
        <w:t xml:space="preserve">; Novoa-Jurado, A., &amp; Melguizo-Jiménez, M. (2021). </w:t>
      </w:r>
      <w:r w:rsidRPr="00453316">
        <w:rPr>
          <w:lang w:val="en-US"/>
        </w:rPr>
        <w:t xml:space="preserve">Family Medicine in the face of the law on medical aid in dying responsibility and guarantees. </w:t>
      </w:r>
      <w:r w:rsidRPr="00DE73E3">
        <w:rPr>
          <w:i/>
          <w:iCs/>
          <w:lang w:val="es-ES"/>
        </w:rPr>
        <w:t>Atencion Primaria</w:t>
      </w:r>
      <w:r w:rsidRPr="00DE73E3">
        <w:rPr>
          <w:lang w:val="es-ES"/>
        </w:rPr>
        <w:t xml:space="preserve">, </w:t>
      </w:r>
      <w:r w:rsidRPr="00DE73E3">
        <w:rPr>
          <w:i/>
          <w:iCs/>
          <w:lang w:val="es-ES"/>
        </w:rPr>
        <w:t>53</w:t>
      </w:r>
      <w:r w:rsidRPr="00DE73E3">
        <w:rPr>
          <w:lang w:val="es-ES"/>
        </w:rPr>
        <w:t xml:space="preserve">(5), 102058–102058. </w:t>
      </w:r>
      <w:hyperlink r:id="rId310" w:history="1">
        <w:r w:rsidRPr="00DE73E3">
          <w:rPr>
            <w:rStyle w:val="Hyperlink"/>
            <w:lang w:val="es-ES"/>
          </w:rPr>
          <w:t>https://europepmc.org/article/med/33873137</w:t>
        </w:r>
      </w:hyperlink>
    </w:p>
  </w:footnote>
  <w:footnote w:id="361">
    <w:p w14:paraId="6801F9D0" w14:textId="417240F7"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Kadir, Y., Nurmala, L. D., &amp; Ismail, N. (2021). </w:t>
      </w:r>
      <w:r w:rsidRPr="00453316">
        <w:rPr>
          <w:lang w:val="en-US"/>
        </w:rPr>
        <w:t xml:space="preserve">The Relevance of Legal Protection to Human Rights Related to Euthanasia Law in Indonesia. </w:t>
      </w:r>
      <w:r w:rsidRPr="00453316">
        <w:rPr>
          <w:i/>
          <w:iCs/>
          <w:lang w:val="en-US"/>
        </w:rPr>
        <w:t>Jambura Law Review</w:t>
      </w:r>
      <w:r w:rsidRPr="00453316">
        <w:rPr>
          <w:lang w:val="en-US"/>
        </w:rPr>
        <w:t xml:space="preserve">, </w:t>
      </w:r>
      <w:r w:rsidRPr="00453316">
        <w:rPr>
          <w:i/>
          <w:iCs/>
          <w:lang w:val="en-US"/>
        </w:rPr>
        <w:t>3</w:t>
      </w:r>
      <w:r w:rsidRPr="00453316">
        <w:rPr>
          <w:lang w:val="en-US"/>
        </w:rPr>
        <w:t xml:space="preserve">(2), 319–335. </w:t>
      </w:r>
      <w:hyperlink r:id="rId311" w:history="1">
        <w:r w:rsidRPr="00453316">
          <w:rPr>
            <w:rStyle w:val="Hyperlink"/>
            <w:lang w:val="en-US"/>
          </w:rPr>
          <w:t>https://ejurnal.ung.ac.id/index.php/jalrev/article/download/7111/3478</w:t>
        </w:r>
      </w:hyperlink>
    </w:p>
  </w:footnote>
  <w:footnote w:id="362">
    <w:p w14:paraId="2ED98604" w14:textId="5DC04A32" w:rsidR="00CE5861" w:rsidRPr="00831EFD" w:rsidRDefault="00CE5861" w:rsidP="000753F3">
      <w:pPr>
        <w:pStyle w:val="FootnoteText"/>
        <w:jc w:val="both"/>
        <w:rPr>
          <w:sz w:val="22"/>
          <w:szCs w:val="22"/>
        </w:rPr>
      </w:pPr>
      <w:r w:rsidRPr="00831EFD">
        <w:rPr>
          <w:rStyle w:val="FootnoteReference"/>
          <w:sz w:val="22"/>
          <w:szCs w:val="22"/>
        </w:rPr>
        <w:footnoteRef/>
      </w:r>
      <w:r w:rsidRPr="00453316">
        <w:rPr>
          <w:lang w:val="en-US"/>
        </w:rPr>
        <w:t xml:space="preserve"> Kamri, A. (2024). Medical Action of Doctors with Euthanasy From the Perspective of Criminal Acts on Islamic Law: A Normative Review. </w:t>
      </w:r>
      <w:r w:rsidRPr="00453316">
        <w:rPr>
          <w:i/>
          <w:iCs/>
          <w:lang w:val="en-US"/>
        </w:rPr>
        <w:t>MEDICAL ACTION OF DOCTORS WITH EUTHANASY FROM THE PERSPECTIVE OF CRIMINAL ACTS ON ISLAMIC LAW: A NORMATIVE REVIEW</w:t>
      </w:r>
      <w:r w:rsidRPr="00453316">
        <w:rPr>
          <w:lang w:val="en-US"/>
        </w:rPr>
        <w:t xml:space="preserve">, </w:t>
      </w:r>
      <w:r w:rsidRPr="00453316">
        <w:rPr>
          <w:i/>
          <w:iCs/>
          <w:lang w:val="en-US"/>
        </w:rPr>
        <w:t>18</w:t>
      </w:r>
      <w:r w:rsidRPr="00453316">
        <w:rPr>
          <w:lang w:val="en-US"/>
        </w:rPr>
        <w:t xml:space="preserve">(6), 1. </w:t>
      </w:r>
      <w:hyperlink r:id="rId312" w:history="1">
        <w:r w:rsidRPr="00831EFD">
          <w:rPr>
            <w:rStyle w:val="Hyperlink"/>
          </w:rPr>
          <w:t>https://repository.umi.ac.id/6269/</w:t>
        </w:r>
      </w:hyperlink>
    </w:p>
  </w:footnote>
  <w:footnote w:id="363">
    <w:p w14:paraId="69F71F0B" w14:textId="7385BD8E" w:rsidR="00CE5861" w:rsidRPr="00453316" w:rsidRDefault="00CE5861" w:rsidP="000753F3">
      <w:pPr>
        <w:pStyle w:val="FootnoteText"/>
        <w:jc w:val="both"/>
        <w:rPr>
          <w:lang w:val="en-US"/>
        </w:rPr>
      </w:pPr>
      <w:r w:rsidRPr="00831EFD">
        <w:rPr>
          <w:rStyle w:val="FootnoteReference"/>
          <w:sz w:val="22"/>
          <w:szCs w:val="22"/>
        </w:rPr>
        <w:footnoteRef/>
      </w:r>
      <w:r w:rsidRPr="00831EFD">
        <w:t xml:space="preserve"> - Verdaguer, M., Beroiz-Groh, P., Busquet-Duran, X., Moreno-Gabriel, E., Arreciado Marañón, A., Feijoo-Cid, M., Domènech, M., Íñiguez-Rueda, L., Vallès-Peris, N., Cantarell-Barella, G., &amp; Toran-Monserrat, P. (2024). </w:t>
      </w:r>
      <w:r w:rsidRPr="00453316">
        <w:rPr>
          <w:lang w:val="en-US"/>
        </w:rPr>
        <w:t xml:space="preserve">[The euthanasia law and professional experiences: Tensions in clinical practice]. </w:t>
      </w:r>
      <w:r w:rsidRPr="00453316">
        <w:rPr>
          <w:i/>
          <w:iCs/>
          <w:lang w:val="en-US"/>
        </w:rPr>
        <w:t>Gaceta Sanitaria</w:t>
      </w:r>
      <w:r w:rsidRPr="00453316">
        <w:rPr>
          <w:lang w:val="en-US"/>
        </w:rPr>
        <w:t xml:space="preserve">, </w:t>
      </w:r>
      <w:r w:rsidRPr="00453316">
        <w:rPr>
          <w:i/>
          <w:iCs/>
          <w:lang w:val="en-US"/>
        </w:rPr>
        <w:t>38</w:t>
      </w:r>
      <w:r w:rsidRPr="00453316">
        <w:rPr>
          <w:lang w:val="en-US"/>
        </w:rPr>
        <w:t xml:space="preserve">, 102373. </w:t>
      </w:r>
      <w:hyperlink r:id="rId313" w:history="1">
        <w:r w:rsidRPr="00453316">
          <w:rPr>
            <w:rStyle w:val="Hyperlink"/>
            <w:lang w:val="en-US"/>
          </w:rPr>
          <w:t>https://doi.org/10.1016/j.gaceta.2024.102373</w:t>
        </w:r>
      </w:hyperlink>
      <w:r w:rsidRPr="00453316">
        <w:rPr>
          <w:lang w:val="en-US"/>
        </w:rPr>
        <w:t xml:space="preserve">; Archer, M., Willmott, L., Chambaere, K., Deliens, L., &amp; White, B. P. (2025). Key challenges in providing assisted dying in Belgium: A qualitative analysis of health professionals’ experiences. </w:t>
      </w:r>
      <w:r w:rsidRPr="00453316">
        <w:rPr>
          <w:i/>
          <w:iCs/>
          <w:lang w:val="en-US"/>
        </w:rPr>
        <w:t>Palliative Care and Social Practice</w:t>
      </w:r>
      <w:r w:rsidRPr="00453316">
        <w:rPr>
          <w:lang w:val="en-US"/>
        </w:rPr>
        <w:t xml:space="preserve">, </w:t>
      </w:r>
      <w:r w:rsidRPr="00453316">
        <w:rPr>
          <w:i/>
          <w:iCs/>
          <w:lang w:val="en-US"/>
        </w:rPr>
        <w:t>19</w:t>
      </w:r>
      <w:r w:rsidRPr="00453316">
        <w:rPr>
          <w:lang w:val="en-US"/>
        </w:rPr>
        <w:t xml:space="preserve">, 26323524251318044. </w:t>
      </w:r>
      <w:hyperlink r:id="rId314" w:history="1">
        <w:r w:rsidRPr="00453316">
          <w:rPr>
            <w:rStyle w:val="Hyperlink"/>
            <w:lang w:val="en-US"/>
          </w:rPr>
          <w:t>https://doi.org/10.1177/26323524251318044</w:t>
        </w:r>
      </w:hyperlink>
    </w:p>
  </w:footnote>
  <w:footnote w:id="364">
    <w:p w14:paraId="486ECFCC" w14:textId="3F39C8BE" w:rsidR="00CE5861" w:rsidRPr="00DE73E3" w:rsidRDefault="00CE5861" w:rsidP="000753F3">
      <w:pPr>
        <w:pStyle w:val="FootnoteText"/>
        <w:jc w:val="both"/>
        <w:rPr>
          <w:sz w:val="18"/>
          <w:szCs w:val="18"/>
          <w:lang w:val="es-ES"/>
        </w:rPr>
      </w:pPr>
      <w:r w:rsidRPr="00831EFD">
        <w:rPr>
          <w:rStyle w:val="FootnoteReference"/>
          <w:sz w:val="22"/>
          <w:szCs w:val="22"/>
        </w:rPr>
        <w:footnoteRef/>
      </w:r>
      <w:r w:rsidRPr="00453316">
        <w:rPr>
          <w:lang w:val="en-US"/>
        </w:rPr>
        <w:t xml:space="preserve"> Bernal, V., &amp; Trejo-Gabriel-Galan, J. M. (2021). Euthanasia laws in Spain and in the world: Medical aspects. </w:t>
      </w:r>
      <w:r w:rsidRPr="00DE73E3">
        <w:rPr>
          <w:i/>
          <w:iCs/>
          <w:lang w:val="es-ES"/>
        </w:rPr>
        <w:t>Atencion Primaria</w:t>
      </w:r>
      <w:r w:rsidRPr="00DE73E3">
        <w:rPr>
          <w:lang w:val="es-ES"/>
        </w:rPr>
        <w:t xml:space="preserve">, </w:t>
      </w:r>
      <w:r w:rsidRPr="00DE73E3">
        <w:rPr>
          <w:i/>
          <w:iCs/>
          <w:lang w:val="es-ES"/>
        </w:rPr>
        <w:t>54</w:t>
      </w:r>
      <w:r w:rsidRPr="00DE73E3">
        <w:rPr>
          <w:lang w:val="es-ES"/>
        </w:rPr>
        <w:t xml:space="preserve">(1), 102170–102170. </w:t>
      </w:r>
      <w:hyperlink r:id="rId315" w:history="1">
        <w:r w:rsidRPr="00DE73E3">
          <w:rPr>
            <w:rStyle w:val="Hyperlink"/>
            <w:lang w:val="es-ES"/>
          </w:rPr>
          <w:t>https://europepmc.org/article/med/34798415</w:t>
        </w:r>
      </w:hyperlink>
    </w:p>
  </w:footnote>
  <w:footnote w:id="365">
    <w:p w14:paraId="5E26A70A" w14:textId="1FE447A6"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Smets, T., Cohen, J., Bilsen, J., Van Wesemael, Y., Rurup, M. L., &amp; Deliens, L. (2011). </w:t>
      </w:r>
      <w:r w:rsidRPr="00453316">
        <w:rPr>
          <w:lang w:val="en-US"/>
        </w:rPr>
        <w:t xml:space="preserve">Attitudes and experiences of Belgian physicians regarding euthanasia practice and the euthanasia law. </w:t>
      </w:r>
      <w:r w:rsidRPr="00453316">
        <w:rPr>
          <w:i/>
          <w:iCs/>
          <w:lang w:val="en-US"/>
        </w:rPr>
        <w:t>Journal of Pain and Symptom Management</w:t>
      </w:r>
      <w:r w:rsidRPr="00453316">
        <w:rPr>
          <w:lang w:val="en-US"/>
        </w:rPr>
        <w:t xml:space="preserve">, </w:t>
      </w:r>
      <w:r w:rsidRPr="00453316">
        <w:rPr>
          <w:i/>
          <w:iCs/>
          <w:lang w:val="en-US"/>
        </w:rPr>
        <w:t>41</w:t>
      </w:r>
      <w:r w:rsidRPr="00453316">
        <w:rPr>
          <w:lang w:val="en-US"/>
        </w:rPr>
        <w:t xml:space="preserve">(3), 580–593. </w:t>
      </w:r>
      <w:hyperlink r:id="rId316" w:history="1">
        <w:r w:rsidRPr="00453316">
          <w:rPr>
            <w:rStyle w:val="Hyperlink"/>
            <w:lang w:val="en-US"/>
          </w:rPr>
          <w:t>https://www.sciencedirect.com/science/article/pii/S0885392410006937</w:t>
        </w:r>
      </w:hyperlink>
      <w:r w:rsidRPr="00453316">
        <w:rPr>
          <w:lang w:val="en-US"/>
        </w:rPr>
        <w:t xml:space="preserve">; Smets, T., Cohen, J., Bilsen, J., Van Wesemael, Y., Rurup, M. L., &amp; Deliens, L. (2012). The labelling and reporting of euthanasia by Belgian physicians: A study of hypothetical cases. </w:t>
      </w:r>
      <w:r w:rsidRPr="00453316">
        <w:rPr>
          <w:i/>
          <w:iCs/>
          <w:lang w:val="en-US"/>
        </w:rPr>
        <w:t>The European Journal of Public Health</w:t>
      </w:r>
      <w:r w:rsidRPr="00453316">
        <w:rPr>
          <w:lang w:val="en-US"/>
        </w:rPr>
        <w:t xml:space="preserve">, </w:t>
      </w:r>
      <w:r w:rsidRPr="00453316">
        <w:rPr>
          <w:i/>
          <w:iCs/>
          <w:lang w:val="en-US"/>
        </w:rPr>
        <w:t>22</w:t>
      </w:r>
      <w:r w:rsidRPr="00453316">
        <w:rPr>
          <w:lang w:val="en-US"/>
        </w:rPr>
        <w:t xml:space="preserve">(1), 19–26. </w:t>
      </w:r>
      <w:hyperlink r:id="rId317" w:history="1">
        <w:r w:rsidRPr="00453316">
          <w:rPr>
            <w:rStyle w:val="Hyperlink"/>
            <w:lang w:val="en-US"/>
          </w:rPr>
          <w:t>https://academic.oup.com/eurpub/article-abstract/22/1/19/485407</w:t>
        </w:r>
      </w:hyperlink>
      <w:r w:rsidRPr="00453316">
        <w:rPr>
          <w:lang w:val="en-US"/>
        </w:rPr>
        <w:t xml:space="preserve">; Verhofstadt, M., Van Assche, K., Pardon, K., Gleydura, M., Titeca, K., &amp; Chambaere, K. (2024). Perspectives on the eligibility criteria for euthanasia for mental suffering caused by psychiatric disorder under the Belgian Euthanasia Law: A qualitative interview study among mental healthcare workers. </w:t>
      </w:r>
      <w:r w:rsidRPr="00453316">
        <w:rPr>
          <w:i/>
          <w:iCs/>
          <w:lang w:val="en-US"/>
        </w:rPr>
        <w:t>International Journal of Law and Psychiatry</w:t>
      </w:r>
      <w:r w:rsidRPr="00453316">
        <w:rPr>
          <w:lang w:val="en-US"/>
        </w:rPr>
        <w:t xml:space="preserve">, </w:t>
      </w:r>
      <w:r w:rsidRPr="00453316">
        <w:rPr>
          <w:i/>
          <w:iCs/>
          <w:lang w:val="en-US"/>
        </w:rPr>
        <w:t>93</w:t>
      </w:r>
      <w:r w:rsidRPr="00453316">
        <w:rPr>
          <w:lang w:val="en-US"/>
        </w:rPr>
        <w:t xml:space="preserve">, 101961. </w:t>
      </w:r>
      <w:hyperlink r:id="rId318" w:history="1">
        <w:r w:rsidRPr="00453316">
          <w:rPr>
            <w:rStyle w:val="Hyperlink"/>
            <w:lang w:val="en-US"/>
          </w:rPr>
          <w:t>https://www.sciencedirect.com/science/article/pii/S0160252724000104</w:t>
        </w:r>
      </w:hyperlink>
    </w:p>
  </w:footnote>
  <w:footnote w:id="366">
    <w:p w14:paraId="0BE313FC" w14:textId="1B6600FF" w:rsidR="00CE5861" w:rsidRPr="00001C8C" w:rsidRDefault="00CE5861" w:rsidP="00001C8C">
      <w:pPr>
        <w:pStyle w:val="Bibliography"/>
        <w:spacing w:after="0" w:line="240" w:lineRule="auto"/>
        <w:jc w:val="both"/>
        <w:rPr>
          <w:rFonts w:asciiTheme="majorBidi" w:hAnsiTheme="majorBidi" w:cstheme="majorBidi"/>
          <w:sz w:val="20"/>
          <w:szCs w:val="20"/>
        </w:rPr>
      </w:pPr>
      <w:r w:rsidRPr="00831EFD">
        <w:rPr>
          <w:rStyle w:val="FootnoteReference"/>
          <w:sz w:val="24"/>
          <w:szCs w:val="24"/>
        </w:rPr>
        <w:footnoteRef/>
      </w:r>
      <w:r w:rsidRPr="00831EFD">
        <w:rPr>
          <w:rFonts w:ascii="Times New Roman" w:hAnsi="Times New Roman" w:cs="Times New Roman"/>
          <w:sz w:val="20"/>
          <w:szCs w:val="20"/>
        </w:rPr>
        <w:t xml:space="preserve"> Snijdewind, M. C., van Tol, D. G., Onwuteaka-Philipsen, B. D., &amp; Willems, D. L. (2018). Developments in the practice of physician-assisted dying: Perceptions of physicians who had experience with complex cases. </w:t>
      </w:r>
      <w:r w:rsidRPr="00831EFD">
        <w:rPr>
          <w:rFonts w:ascii="Times New Roman" w:hAnsi="Times New Roman" w:cs="Times New Roman"/>
          <w:i/>
          <w:iCs/>
          <w:sz w:val="20"/>
          <w:szCs w:val="20"/>
        </w:rPr>
        <w:t>Journal of Medical Ethics</w:t>
      </w:r>
      <w:r w:rsidRPr="00831EFD">
        <w:rPr>
          <w:rFonts w:ascii="Times New Roman" w:hAnsi="Times New Roman" w:cs="Times New Roman"/>
          <w:sz w:val="20"/>
          <w:szCs w:val="20"/>
        </w:rPr>
        <w:t xml:space="preserve">, </w:t>
      </w:r>
      <w:r w:rsidRPr="00831EFD">
        <w:rPr>
          <w:rFonts w:ascii="Times New Roman" w:hAnsi="Times New Roman" w:cs="Times New Roman"/>
          <w:i/>
          <w:iCs/>
          <w:sz w:val="20"/>
          <w:szCs w:val="20"/>
        </w:rPr>
        <w:t>44</w:t>
      </w:r>
      <w:r w:rsidRPr="00831EFD">
        <w:rPr>
          <w:rFonts w:ascii="Times New Roman" w:hAnsi="Times New Roman" w:cs="Times New Roman"/>
          <w:sz w:val="20"/>
          <w:szCs w:val="20"/>
        </w:rPr>
        <w:t xml:space="preserve">(5), 292–296. </w:t>
      </w:r>
      <w:hyperlink r:id="rId319" w:history="1">
        <w:r w:rsidRPr="00831EFD">
          <w:rPr>
            <w:rStyle w:val="Hyperlink"/>
            <w:rFonts w:ascii="Times New Roman" w:hAnsi="Times New Roman" w:cs="Times New Roman"/>
            <w:sz w:val="20"/>
            <w:szCs w:val="20"/>
          </w:rPr>
          <w:t>https://doi.org/10.1136/medethics-2016-103405</w:t>
        </w:r>
      </w:hyperlink>
      <w:r w:rsidRPr="00831EFD">
        <w:rPr>
          <w:rFonts w:ascii="Times New Roman" w:hAnsi="Times New Roman" w:cs="Times New Roman"/>
          <w:sz w:val="20"/>
          <w:szCs w:val="20"/>
        </w:rPr>
        <w:t xml:space="preserve">; Coers, D. O., Scholten, S. H., De Boer, M. E., Sizoo, E. M., Buijsen, M. A. J. M., Frederiks, B. J. M., Leget, C. J. W., &amp; Hertogh, C. M. P. M. (2024). A qualitative focus group study on legal experts’ views regarding euthanasia requests based </w:t>
      </w:r>
      <w:r w:rsidRPr="00001C8C">
        <w:rPr>
          <w:rFonts w:asciiTheme="majorBidi" w:hAnsiTheme="majorBidi" w:cstheme="majorBidi"/>
          <w:sz w:val="20"/>
          <w:szCs w:val="20"/>
        </w:rPr>
        <w:t xml:space="preserve">on an advance euthanasia directive. </w:t>
      </w:r>
      <w:r w:rsidRPr="00001C8C">
        <w:rPr>
          <w:rFonts w:asciiTheme="majorBidi" w:hAnsiTheme="majorBidi" w:cstheme="majorBidi"/>
          <w:i/>
          <w:iCs/>
          <w:sz w:val="20"/>
          <w:szCs w:val="20"/>
        </w:rPr>
        <w:t>BMC Medical Ethics</w:t>
      </w:r>
      <w:r w:rsidRPr="00001C8C">
        <w:rPr>
          <w:rFonts w:asciiTheme="majorBidi" w:hAnsiTheme="majorBidi" w:cstheme="majorBidi"/>
          <w:sz w:val="20"/>
          <w:szCs w:val="20"/>
        </w:rPr>
        <w:t xml:space="preserve">, </w:t>
      </w:r>
      <w:r w:rsidRPr="00001C8C">
        <w:rPr>
          <w:rFonts w:asciiTheme="majorBidi" w:hAnsiTheme="majorBidi" w:cstheme="majorBidi"/>
          <w:i/>
          <w:iCs/>
          <w:sz w:val="20"/>
          <w:szCs w:val="20"/>
        </w:rPr>
        <w:t>25</w:t>
      </w:r>
      <w:r w:rsidRPr="00001C8C">
        <w:rPr>
          <w:rFonts w:asciiTheme="majorBidi" w:hAnsiTheme="majorBidi" w:cstheme="majorBidi"/>
          <w:sz w:val="20"/>
          <w:szCs w:val="20"/>
        </w:rPr>
        <w:t xml:space="preserve">(1), 119. </w:t>
      </w:r>
      <w:hyperlink r:id="rId320" w:history="1">
        <w:r w:rsidRPr="00001C8C">
          <w:rPr>
            <w:rStyle w:val="Hyperlink"/>
            <w:rFonts w:asciiTheme="majorBidi" w:hAnsiTheme="majorBidi" w:cstheme="majorBidi"/>
            <w:sz w:val="20"/>
            <w:szCs w:val="20"/>
          </w:rPr>
          <w:t>https://doi.org/10.1186/s12910-024-01111-2</w:t>
        </w:r>
      </w:hyperlink>
    </w:p>
  </w:footnote>
  <w:footnote w:id="367">
    <w:p w14:paraId="21826CDC" w14:textId="603EFFB8" w:rsidR="00CE5861" w:rsidRPr="00453316" w:rsidRDefault="00CE5861" w:rsidP="000753F3">
      <w:pPr>
        <w:pStyle w:val="FootnoteText"/>
        <w:jc w:val="both"/>
        <w:rPr>
          <w:sz w:val="18"/>
          <w:szCs w:val="18"/>
          <w:lang w:val="en-US"/>
        </w:rPr>
      </w:pPr>
      <w:r w:rsidRPr="00831EFD">
        <w:rPr>
          <w:rStyle w:val="FootnoteReference"/>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21" w:history="1">
        <w:r w:rsidRPr="00453316">
          <w:rPr>
            <w:rStyle w:val="Hyperlink"/>
            <w:lang w:val="en-US"/>
          </w:rPr>
          <w:t>https://www.thelancet.com/journals/lancet/article/PIIS0140-6736(12)61034-4/abstract</w:t>
        </w:r>
      </w:hyperlink>
    </w:p>
  </w:footnote>
  <w:footnote w:id="368">
    <w:p w14:paraId="2397043F" w14:textId="4DCB3BEB" w:rsidR="00CE5861" w:rsidRPr="00453316" w:rsidRDefault="00CE5861" w:rsidP="000753F3">
      <w:pPr>
        <w:pStyle w:val="FootnoteText"/>
        <w:jc w:val="both"/>
        <w:rPr>
          <w:lang w:val="en-US"/>
        </w:rPr>
      </w:pPr>
      <w:r w:rsidRPr="00831EFD">
        <w:rPr>
          <w:rStyle w:val="FootnoteReference"/>
        </w:rPr>
        <w:footnoteRef/>
      </w:r>
      <w:r w:rsidRPr="00DE73E3">
        <w:rPr>
          <w:lang w:val="da-DK"/>
        </w:rPr>
        <w:t xml:space="preserve"> Smets, T., Bilsen, J., Van den Block, L., Cohen, J., Van Casteren, V., &amp; Deliens, L. (2010). </w:t>
      </w:r>
      <w:r w:rsidRPr="00453316">
        <w:rPr>
          <w:lang w:val="en-US"/>
        </w:rPr>
        <w:t xml:space="preserve">Euthanasia in patients dying at home in Belgium: Interview study on adherence to legal safeguards. </w:t>
      </w:r>
      <w:r w:rsidRPr="00453316">
        <w:rPr>
          <w:i/>
          <w:iCs/>
          <w:lang w:val="en-US"/>
        </w:rPr>
        <w:t>The British Journal of General Practice</w:t>
      </w:r>
      <w:r w:rsidRPr="00453316">
        <w:rPr>
          <w:lang w:val="en-US"/>
        </w:rPr>
        <w:t xml:space="preserve">, </w:t>
      </w:r>
      <w:r w:rsidRPr="00453316">
        <w:rPr>
          <w:i/>
          <w:iCs/>
          <w:lang w:val="en-US"/>
        </w:rPr>
        <w:t>60</w:t>
      </w:r>
      <w:r w:rsidRPr="00453316">
        <w:rPr>
          <w:lang w:val="en-US"/>
        </w:rPr>
        <w:t xml:space="preserve">(573), e163. </w:t>
      </w:r>
      <w:hyperlink r:id="rId322" w:history="1">
        <w:r w:rsidRPr="00453316">
          <w:rPr>
            <w:rStyle w:val="Hyperlink"/>
            <w:lang w:val="en-US"/>
          </w:rPr>
          <w:t>https://pmc.ncbi.nlm.nih.gov/articles/PMC2845507/</w:t>
        </w:r>
      </w:hyperlink>
    </w:p>
  </w:footnote>
  <w:footnote w:id="369">
    <w:p w14:paraId="738AB3EF" w14:textId="4281E5AB" w:rsidR="00CE5861" w:rsidRPr="00453316" w:rsidRDefault="00CE5861" w:rsidP="000753F3">
      <w:pPr>
        <w:pStyle w:val="FootnoteText"/>
        <w:jc w:val="both"/>
        <w:rPr>
          <w:lang w:val="en-US"/>
        </w:rPr>
      </w:pPr>
      <w:r w:rsidRPr="00831EFD">
        <w:rPr>
          <w:rStyle w:val="FootnoteReference"/>
        </w:rPr>
        <w:footnoteRef/>
      </w:r>
      <w:r w:rsidRPr="00453316">
        <w:rPr>
          <w:lang w:val="en-US"/>
        </w:rPr>
        <w:t xml:space="preserve"> Buijsen, M. (2016). Communicating Concerns: Reviewing the Review Procedure in Dutch Euthanasia Law. </w:t>
      </w:r>
      <w:r w:rsidRPr="00453316">
        <w:rPr>
          <w:i/>
          <w:iCs/>
          <w:lang w:val="en-US"/>
        </w:rPr>
        <w:t>Cambridge Quarterly of Healthcare Ethics</w:t>
      </w:r>
      <w:r w:rsidRPr="00453316">
        <w:rPr>
          <w:lang w:val="en-US"/>
        </w:rPr>
        <w:t xml:space="preserve">, </w:t>
      </w:r>
      <w:r w:rsidRPr="00453316">
        <w:rPr>
          <w:i/>
          <w:iCs/>
          <w:lang w:val="en-US"/>
        </w:rPr>
        <w:t>25</w:t>
      </w:r>
      <w:r w:rsidRPr="00453316">
        <w:rPr>
          <w:lang w:val="en-US"/>
        </w:rPr>
        <w:t xml:space="preserve">(3), 395–403. </w:t>
      </w:r>
      <w:hyperlink r:id="rId323" w:history="1">
        <w:r w:rsidRPr="00453316">
          <w:rPr>
            <w:rStyle w:val="Hyperlink"/>
            <w:lang w:val="en-US"/>
          </w:rPr>
          <w:t>https://www.cambridge.org/core/journals/cambridge-quarterly-of-healthcare-ethics/article/communicating-concerns/5B8D23A699D5519D431EFED7FE342B53</w:t>
        </w:r>
      </w:hyperlink>
    </w:p>
  </w:footnote>
  <w:footnote w:id="370">
    <w:p w14:paraId="2B25C9DE" w14:textId="2712B256" w:rsidR="00CE5861" w:rsidRPr="00DE73E3" w:rsidRDefault="00CE5861" w:rsidP="000753F3">
      <w:pPr>
        <w:pStyle w:val="FootnoteText"/>
        <w:jc w:val="both"/>
        <w:rPr>
          <w:lang w:val="es-ES"/>
        </w:rPr>
      </w:pPr>
      <w:r w:rsidRPr="00831EFD">
        <w:rPr>
          <w:rStyle w:val="FootnoteReference"/>
        </w:rPr>
        <w:footnoteRef/>
      </w:r>
      <w:r w:rsidRPr="00DE73E3">
        <w:rPr>
          <w:lang w:val="es-ES"/>
        </w:rPr>
        <w:t xml:space="preserve"> Novoa-Jurado, A., &amp; Melguizo-Jiménez, M. (2021). </w:t>
      </w:r>
      <w:r w:rsidRPr="00453316">
        <w:rPr>
          <w:lang w:val="en-US"/>
        </w:rPr>
        <w:t xml:space="preserve">Family Medicine in the face of the law on medical aid in dying responsibility and guarantees. </w:t>
      </w:r>
      <w:r w:rsidRPr="00DE73E3">
        <w:rPr>
          <w:i/>
          <w:iCs/>
          <w:lang w:val="es-ES"/>
        </w:rPr>
        <w:t>Atencion Primaria</w:t>
      </w:r>
      <w:r w:rsidRPr="00DE73E3">
        <w:rPr>
          <w:lang w:val="es-ES"/>
        </w:rPr>
        <w:t xml:space="preserve">, </w:t>
      </w:r>
      <w:r w:rsidRPr="00DE73E3">
        <w:rPr>
          <w:i/>
          <w:iCs/>
          <w:lang w:val="es-ES"/>
        </w:rPr>
        <w:t>53</w:t>
      </w:r>
      <w:r w:rsidRPr="00DE73E3">
        <w:rPr>
          <w:lang w:val="es-ES"/>
        </w:rPr>
        <w:t xml:space="preserve">(5), 102058–102058. </w:t>
      </w:r>
      <w:hyperlink r:id="rId324" w:history="1">
        <w:r w:rsidRPr="00DE73E3">
          <w:rPr>
            <w:rStyle w:val="Hyperlink"/>
            <w:lang w:val="es-ES"/>
          </w:rPr>
          <w:t>https://europepmc.org/article/med/33873137</w:t>
        </w:r>
      </w:hyperlink>
      <w:r w:rsidRPr="00DE73E3">
        <w:rPr>
          <w:lang w:val="es-ES"/>
        </w:rPr>
        <w:t xml:space="preserve">; Paradela-López, M., &amp; Jima-González, A. (2023). </w:t>
      </w:r>
      <w:r w:rsidRPr="00453316">
        <w:rPr>
          <w:lang w:val="en-US"/>
        </w:rPr>
        <w:t xml:space="preserve">Analyzing the Spanish Euthanasia Law: Achievements and inconsistencies of the legal assistance to die. </w:t>
      </w:r>
      <w:r w:rsidRPr="00DE73E3">
        <w:rPr>
          <w:i/>
          <w:iCs/>
          <w:lang w:val="es-ES"/>
        </w:rPr>
        <w:t>Rev. Bioetica &amp; Derecho</w:t>
      </w:r>
      <w:r w:rsidRPr="00DE73E3">
        <w:rPr>
          <w:lang w:val="es-ES"/>
        </w:rPr>
        <w:t xml:space="preserve">, </w:t>
      </w:r>
      <w:r w:rsidRPr="00DE73E3">
        <w:rPr>
          <w:i/>
          <w:iCs/>
          <w:lang w:val="es-ES"/>
        </w:rPr>
        <w:t>58</w:t>
      </w:r>
      <w:r w:rsidRPr="00DE73E3">
        <w:rPr>
          <w:lang w:val="es-ES"/>
        </w:rPr>
        <w:t xml:space="preserve">, 147. </w:t>
      </w:r>
      <w:hyperlink r:id="rId325" w:history="1">
        <w:r w:rsidRPr="00DE73E3">
          <w:rPr>
            <w:rStyle w:val="Hyperlink"/>
            <w:lang w:val="es-ES"/>
          </w:rPr>
          <w:t>https://heinonline.org/hol-cgi-bin/get_pdf.cgi?handle=hein.journals/rebiod58&amp;section=11</w:t>
        </w:r>
      </w:hyperlink>
    </w:p>
  </w:footnote>
  <w:footnote w:id="371">
    <w:p w14:paraId="63BE0ECE" w14:textId="092BA061"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Van Wesemael, Y., Cohen, J., Bilsen, J., Smets, T., Onwuteaka-Philipsen, B., &amp; Deliens, L. (2011). </w:t>
      </w:r>
      <w:r w:rsidRPr="00453316">
        <w:rPr>
          <w:lang w:val="en-US"/>
        </w:rPr>
        <w:t xml:space="preserve">Process and outcomes of euthanasia requests under the Belgian act on euthanasia: A nationwide survey. </w:t>
      </w:r>
      <w:r w:rsidRPr="00453316">
        <w:rPr>
          <w:i/>
          <w:iCs/>
          <w:lang w:val="en-US"/>
        </w:rPr>
        <w:t>Journal of Pain and Symptom Management</w:t>
      </w:r>
      <w:r w:rsidRPr="00453316">
        <w:rPr>
          <w:lang w:val="en-US"/>
        </w:rPr>
        <w:t xml:space="preserve">, </w:t>
      </w:r>
      <w:r w:rsidRPr="00453316">
        <w:rPr>
          <w:i/>
          <w:iCs/>
          <w:lang w:val="en-US"/>
        </w:rPr>
        <w:t>42</w:t>
      </w:r>
      <w:r w:rsidRPr="00453316">
        <w:rPr>
          <w:lang w:val="en-US"/>
        </w:rPr>
        <w:t xml:space="preserve">(5), 721–733. </w:t>
      </w:r>
      <w:hyperlink r:id="rId326" w:history="1">
        <w:r w:rsidRPr="00453316">
          <w:rPr>
            <w:rStyle w:val="Hyperlink"/>
            <w:lang w:val="en-US"/>
          </w:rPr>
          <w:t>https://www.sciencedirect.com/science/article/pii/S0885392411001540</w:t>
        </w:r>
      </w:hyperlink>
    </w:p>
  </w:footnote>
  <w:footnote w:id="372">
    <w:p w14:paraId="0D4AE7C8" w14:textId="4A8045AF" w:rsidR="00CE5861" w:rsidRPr="004646AE" w:rsidRDefault="00CE5861" w:rsidP="00001C8C">
      <w:pPr>
        <w:pStyle w:val="Bibliography"/>
        <w:spacing w:after="0" w:line="240" w:lineRule="auto"/>
        <w:jc w:val="both"/>
        <w:rPr>
          <w:rFonts w:ascii="Times New Roman" w:hAnsi="Times New Roman" w:cs="Times New Roman"/>
          <w:sz w:val="20"/>
          <w:szCs w:val="20"/>
          <w:lang w:val="fr-FR"/>
        </w:rPr>
      </w:pPr>
      <w:r w:rsidRPr="00831EFD">
        <w:rPr>
          <w:rStyle w:val="FootnoteReference"/>
          <w:sz w:val="24"/>
          <w:szCs w:val="24"/>
        </w:rPr>
        <w:footnoteRef/>
      </w:r>
      <w:r w:rsidRPr="00DE73E3">
        <w:rPr>
          <w:rFonts w:ascii="Times New Roman" w:hAnsi="Times New Roman" w:cs="Times New Roman"/>
          <w:sz w:val="20"/>
          <w:szCs w:val="20"/>
          <w:lang w:val="es-ES"/>
        </w:rPr>
        <w:t xml:space="preserve"> Munuera Gómez, P., Martínez López, J. Á., Bódalo Lozano, E., &amp; Guillamón Ayala, J. A. (2023). </w:t>
      </w:r>
      <w:r w:rsidRPr="00831EFD">
        <w:rPr>
          <w:rFonts w:ascii="Times New Roman" w:hAnsi="Times New Roman" w:cs="Times New Roman"/>
          <w:sz w:val="20"/>
          <w:szCs w:val="20"/>
          <w:lang w:val="fr-FR"/>
        </w:rPr>
        <w:t xml:space="preserve">La intervención de los trabajadores sociales en el marco de la Ley de Eutanasia. </w:t>
      </w:r>
      <w:r w:rsidRPr="00DE73E3">
        <w:rPr>
          <w:rFonts w:ascii="Times New Roman" w:hAnsi="Times New Roman" w:cs="Times New Roman"/>
          <w:i/>
          <w:iCs/>
          <w:sz w:val="20"/>
          <w:szCs w:val="20"/>
          <w:lang w:val="es-ES"/>
        </w:rPr>
        <w:t>Trabajo social global - Global Social Work: Revista de investigaciones en intervención social</w:t>
      </w:r>
      <w:r w:rsidRPr="00DE73E3">
        <w:rPr>
          <w:rFonts w:ascii="Times New Roman" w:hAnsi="Times New Roman" w:cs="Times New Roman"/>
          <w:sz w:val="20"/>
          <w:szCs w:val="20"/>
          <w:lang w:val="es-ES"/>
        </w:rPr>
        <w:t xml:space="preserve">, </w:t>
      </w:r>
      <w:r w:rsidRPr="00DE73E3">
        <w:rPr>
          <w:rFonts w:ascii="Times New Roman" w:hAnsi="Times New Roman" w:cs="Times New Roman"/>
          <w:i/>
          <w:iCs/>
          <w:sz w:val="20"/>
          <w:szCs w:val="20"/>
          <w:lang w:val="es-ES"/>
        </w:rPr>
        <w:t>13</w:t>
      </w:r>
      <w:r w:rsidRPr="00DE73E3">
        <w:rPr>
          <w:rFonts w:ascii="Times New Roman" w:hAnsi="Times New Roman" w:cs="Times New Roman"/>
          <w:sz w:val="20"/>
          <w:szCs w:val="20"/>
          <w:lang w:val="es-ES"/>
        </w:rPr>
        <w:t xml:space="preserve">, 22–44. </w:t>
      </w:r>
      <w:hyperlink r:id="rId327" w:history="1">
        <w:r w:rsidRPr="004646AE">
          <w:rPr>
            <w:rStyle w:val="Hyperlink"/>
            <w:rFonts w:ascii="Times New Roman" w:hAnsi="Times New Roman" w:cs="Times New Roman"/>
            <w:sz w:val="20"/>
            <w:szCs w:val="20"/>
            <w:lang w:val="fr-FR"/>
          </w:rPr>
          <w:t>https://dialnet.unirioja.es/servlet/articulo?codigo=9239552</w:t>
        </w:r>
      </w:hyperlink>
    </w:p>
  </w:footnote>
  <w:footnote w:id="373">
    <w:p w14:paraId="0DAA8933" w14:textId="70075C5A"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BB574A">
        <w:rPr>
          <w:lang w:val="fr-FR"/>
        </w:rPr>
        <w:t xml:space="preserve"> Rietjens, J. A., Raijmakers, N. J., Kouwenhoven, P. S., Seale, C., Van Thiel, G. J., Trappenburg, M., Van Delden, J. J., &amp; Van Der Heide, A. (2013). </w:t>
      </w:r>
      <w:r w:rsidRPr="00453316">
        <w:rPr>
          <w:lang w:val="en-US"/>
        </w:rPr>
        <w:t xml:space="preserve">News media coverage of euthanasia: A content analysis of Dutch national newspapers. </w:t>
      </w:r>
      <w:r w:rsidRPr="00453316">
        <w:rPr>
          <w:i/>
          <w:iCs/>
          <w:lang w:val="en-US"/>
        </w:rPr>
        <w:t>BMC Medical Ethics</w:t>
      </w:r>
      <w:r w:rsidRPr="00453316">
        <w:rPr>
          <w:lang w:val="en-US"/>
        </w:rPr>
        <w:t xml:space="preserve">, </w:t>
      </w:r>
      <w:r w:rsidRPr="00453316">
        <w:rPr>
          <w:i/>
          <w:iCs/>
          <w:lang w:val="en-US"/>
        </w:rPr>
        <w:t>14</w:t>
      </w:r>
      <w:r w:rsidRPr="00453316">
        <w:rPr>
          <w:lang w:val="en-US"/>
        </w:rPr>
        <w:t xml:space="preserve">(1), 11. </w:t>
      </w:r>
      <w:hyperlink r:id="rId328" w:history="1">
        <w:r w:rsidRPr="00453316">
          <w:rPr>
            <w:rStyle w:val="Hyperlink"/>
            <w:lang w:val="en-US"/>
          </w:rPr>
          <w:t>https://doi.org/10.1186/1472-6939-14-11</w:t>
        </w:r>
      </w:hyperlink>
      <w:r w:rsidRPr="00453316">
        <w:rPr>
          <w:lang w:val="en-US"/>
        </w:rPr>
        <w:t xml:space="preserve">; Archer, M., Willmott, L., Chambaere, K., Deliens, L., &amp; White, B. P. (2025). Key challenges in providing assisted dying in Belgium: A qualitative analysis of health professionals’ experiences. </w:t>
      </w:r>
      <w:r w:rsidRPr="00453316">
        <w:rPr>
          <w:i/>
          <w:iCs/>
          <w:lang w:val="en-US"/>
        </w:rPr>
        <w:t>Palliative Care and Social Practice</w:t>
      </w:r>
      <w:r w:rsidRPr="00453316">
        <w:rPr>
          <w:lang w:val="en-US"/>
        </w:rPr>
        <w:t xml:space="preserve">, </w:t>
      </w:r>
      <w:r w:rsidRPr="00453316">
        <w:rPr>
          <w:i/>
          <w:iCs/>
          <w:lang w:val="en-US"/>
        </w:rPr>
        <w:t>19</w:t>
      </w:r>
      <w:r w:rsidRPr="00453316">
        <w:rPr>
          <w:lang w:val="en-US"/>
        </w:rPr>
        <w:t xml:space="preserve">, 26323524251318044. </w:t>
      </w:r>
      <w:hyperlink r:id="rId329" w:history="1">
        <w:r w:rsidRPr="00453316">
          <w:rPr>
            <w:rStyle w:val="Hyperlink"/>
            <w:lang w:val="en-US"/>
          </w:rPr>
          <w:t>https://doi.org/10.1177/26323524251318044</w:t>
        </w:r>
      </w:hyperlink>
    </w:p>
  </w:footnote>
  <w:footnote w:id="374">
    <w:p w14:paraId="625E1D14" w14:textId="6973E21D"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453316">
        <w:rPr>
          <w:lang w:val="en-US"/>
        </w:rPr>
        <w:t xml:space="preserve"> Bernal, V., &amp; Trejo-Gabriel-Galan, J. M. (2021). Euthanasia laws in Spain and in the world: Medical aspects. </w:t>
      </w:r>
      <w:r w:rsidRPr="00453316">
        <w:rPr>
          <w:i/>
          <w:iCs/>
          <w:lang w:val="en-US"/>
        </w:rPr>
        <w:t>Atencion Primaria</w:t>
      </w:r>
      <w:r w:rsidRPr="00453316">
        <w:rPr>
          <w:lang w:val="en-US"/>
        </w:rPr>
        <w:t xml:space="preserve">, </w:t>
      </w:r>
      <w:r w:rsidRPr="00453316">
        <w:rPr>
          <w:i/>
          <w:iCs/>
          <w:lang w:val="en-US"/>
        </w:rPr>
        <w:t>54</w:t>
      </w:r>
      <w:r w:rsidRPr="00453316">
        <w:rPr>
          <w:lang w:val="en-US"/>
        </w:rPr>
        <w:t xml:space="preserve">(1), 102170–102170. </w:t>
      </w:r>
      <w:hyperlink r:id="rId330" w:history="1">
        <w:r w:rsidRPr="00453316">
          <w:rPr>
            <w:rStyle w:val="Hyperlink"/>
            <w:lang w:val="en-US"/>
          </w:rPr>
          <w:t>https://europepmc.org/article/med/34798415</w:t>
        </w:r>
      </w:hyperlink>
    </w:p>
  </w:footnote>
  <w:footnote w:id="375">
    <w:p w14:paraId="4F8E60E8" w14:textId="7663279F"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31" w:history="1">
        <w:r w:rsidRPr="00453316">
          <w:rPr>
            <w:rStyle w:val="Hyperlink"/>
            <w:lang w:val="en-US"/>
          </w:rPr>
          <w:t>https://www.thelancet.com/journals/lancet/article/PIIS0140-6736(12)61034-4/abstract</w:t>
        </w:r>
      </w:hyperlink>
    </w:p>
  </w:footnote>
  <w:footnote w:id="376">
    <w:p w14:paraId="2428798D" w14:textId="2D19579E" w:rsidR="00CE5861" w:rsidRPr="00453316" w:rsidRDefault="00CE5861" w:rsidP="000753F3">
      <w:pPr>
        <w:pStyle w:val="FootnoteText"/>
        <w:jc w:val="both"/>
        <w:rPr>
          <w:lang w:val="en-US"/>
        </w:rPr>
      </w:pPr>
      <w:r w:rsidRPr="00831EFD">
        <w:rPr>
          <w:rStyle w:val="FootnoteReference"/>
          <w:sz w:val="22"/>
          <w:szCs w:val="22"/>
        </w:rPr>
        <w:footnoteRef/>
      </w:r>
      <w:r w:rsidRPr="00DE73E3">
        <w:rPr>
          <w:lang w:val="da-DK"/>
        </w:rPr>
        <w:t xml:space="preserve"> Smets, T., Bilsen, J., Cohen, J., Rurup, M. L., &amp; Deliens, L. (2010). </w:t>
      </w:r>
      <w:r w:rsidRPr="00453316">
        <w:rPr>
          <w:lang w:val="en-US"/>
        </w:rPr>
        <w:t xml:space="preserve">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32" w:history="1">
        <w:r w:rsidRPr="00453316">
          <w:rPr>
            <w:rStyle w:val="Hyperlink"/>
            <w:lang w:val="en-US"/>
          </w:rPr>
          <w:t>https://journals.lww.com/lww-medicalcare/fulltext/2010/02000/The_Work_Limitations_Questionnaire.15.aspx</w:t>
        </w:r>
      </w:hyperlink>
    </w:p>
  </w:footnote>
  <w:footnote w:id="377">
    <w:p w14:paraId="3FCBE4D3" w14:textId="68940634" w:rsidR="00CE5861" w:rsidRPr="00DE73E3" w:rsidRDefault="00CE5861" w:rsidP="000753F3">
      <w:pPr>
        <w:pStyle w:val="FootnoteText"/>
        <w:jc w:val="both"/>
        <w:rPr>
          <w:lang w:val="es-ES"/>
        </w:rPr>
      </w:pPr>
      <w:r w:rsidRPr="00831EFD">
        <w:rPr>
          <w:rStyle w:val="FootnoteReference"/>
          <w:sz w:val="22"/>
          <w:szCs w:val="22"/>
        </w:rPr>
        <w:footnoteRef/>
      </w:r>
      <w:r w:rsidRPr="00DE73E3">
        <w:rPr>
          <w:lang w:val="es-ES"/>
        </w:rPr>
        <w:t xml:space="preserve"> Paradela-López, M., &amp; Jima-González, A. (2023). </w:t>
      </w:r>
      <w:r w:rsidRPr="00453316">
        <w:rPr>
          <w:lang w:val="en-US"/>
        </w:rPr>
        <w:t xml:space="preserve">Analyzing the Spanish Euthanasia Law: Achievements and inconsistencies of the legal assistance to die. </w:t>
      </w:r>
      <w:r w:rsidRPr="00DE73E3">
        <w:rPr>
          <w:i/>
          <w:iCs/>
          <w:lang w:val="es-ES"/>
        </w:rPr>
        <w:t>Rev. Bioetica &amp; Derecho</w:t>
      </w:r>
      <w:r w:rsidRPr="00DE73E3">
        <w:rPr>
          <w:lang w:val="es-ES"/>
        </w:rPr>
        <w:t xml:space="preserve">, </w:t>
      </w:r>
      <w:r w:rsidRPr="00DE73E3">
        <w:rPr>
          <w:i/>
          <w:iCs/>
          <w:lang w:val="es-ES"/>
        </w:rPr>
        <w:t>58</w:t>
      </w:r>
      <w:r w:rsidRPr="00DE73E3">
        <w:rPr>
          <w:lang w:val="es-ES"/>
        </w:rPr>
        <w:t xml:space="preserve">, 147. </w:t>
      </w:r>
      <w:hyperlink r:id="rId333" w:history="1">
        <w:r w:rsidRPr="00DE73E3">
          <w:rPr>
            <w:rStyle w:val="Hyperlink"/>
            <w:lang w:val="es-ES"/>
          </w:rPr>
          <w:t>https://heinonline.org/hol-cgi-bin/get_pdf.cgi?handle=hein.journals/rebiod58&amp;section=11</w:t>
        </w:r>
      </w:hyperlink>
      <w:r w:rsidRPr="00DE73E3">
        <w:rPr>
          <w:lang w:val="es-ES"/>
        </w:rPr>
        <w:t xml:space="preserve">; Novoa-Jurado, A., &amp; Melguizo-Jiménez, M. (2021). </w:t>
      </w:r>
      <w:r w:rsidRPr="00453316">
        <w:rPr>
          <w:lang w:val="en-US"/>
        </w:rPr>
        <w:t xml:space="preserve">Family Medicine in the face of the law on medical aid in dying responsibility and guarantees. </w:t>
      </w:r>
      <w:r w:rsidRPr="00DE73E3">
        <w:rPr>
          <w:i/>
          <w:iCs/>
          <w:lang w:val="es-ES"/>
        </w:rPr>
        <w:t>Atencion Primaria</w:t>
      </w:r>
      <w:r w:rsidRPr="00DE73E3">
        <w:rPr>
          <w:lang w:val="es-ES"/>
        </w:rPr>
        <w:t xml:space="preserve">, </w:t>
      </w:r>
      <w:r w:rsidRPr="00DE73E3">
        <w:rPr>
          <w:i/>
          <w:iCs/>
          <w:lang w:val="es-ES"/>
        </w:rPr>
        <w:t>53</w:t>
      </w:r>
      <w:r w:rsidRPr="00DE73E3">
        <w:rPr>
          <w:lang w:val="es-ES"/>
        </w:rPr>
        <w:t xml:space="preserve">(5), 102058–102058. </w:t>
      </w:r>
      <w:hyperlink r:id="rId334" w:history="1">
        <w:r w:rsidRPr="00DE73E3">
          <w:rPr>
            <w:rStyle w:val="Hyperlink"/>
            <w:lang w:val="es-ES"/>
          </w:rPr>
          <w:t>https://europepmc.org/article/med/33873137</w:t>
        </w:r>
      </w:hyperlink>
    </w:p>
  </w:footnote>
  <w:footnote w:id="378">
    <w:p w14:paraId="0C163AE3" w14:textId="63F15BB6"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Pope, T. M., &amp; Okninski, M. E. (2016). </w:t>
      </w:r>
      <w:r w:rsidRPr="00453316">
        <w:rPr>
          <w:lang w:val="en-US"/>
        </w:rPr>
        <w:t xml:space="preserve">Legal Standards for Brain Death and Undue Influence in Euthanasia Laws. </w:t>
      </w:r>
      <w:r w:rsidRPr="00453316">
        <w:rPr>
          <w:i/>
          <w:iCs/>
          <w:lang w:val="en-US"/>
        </w:rPr>
        <w:t>Journal of Bioethical Inquiry</w:t>
      </w:r>
      <w:r w:rsidRPr="00453316">
        <w:rPr>
          <w:lang w:val="en-US"/>
        </w:rPr>
        <w:t xml:space="preserve">, </w:t>
      </w:r>
      <w:r w:rsidRPr="00453316">
        <w:rPr>
          <w:i/>
          <w:iCs/>
          <w:lang w:val="en-US"/>
        </w:rPr>
        <w:t>13</w:t>
      </w:r>
      <w:r w:rsidRPr="00453316">
        <w:rPr>
          <w:lang w:val="en-US"/>
        </w:rPr>
        <w:t xml:space="preserve">(2), 173–178. </w:t>
      </w:r>
      <w:hyperlink r:id="rId335" w:history="1">
        <w:r w:rsidRPr="00453316">
          <w:rPr>
            <w:rStyle w:val="Hyperlink"/>
            <w:lang w:val="en-US"/>
          </w:rPr>
          <w:t>https://doi.org/10.1007/s11673-016-9718-0</w:t>
        </w:r>
      </w:hyperlink>
    </w:p>
  </w:footnote>
  <w:footnote w:id="379">
    <w:p w14:paraId="4BDDCDD6" w14:textId="00EAF3B8" w:rsidR="00CE5861" w:rsidRPr="00453316" w:rsidRDefault="00CE5861" w:rsidP="000753F3">
      <w:pPr>
        <w:pStyle w:val="FootnoteText"/>
        <w:jc w:val="both"/>
        <w:rPr>
          <w:sz w:val="22"/>
          <w:szCs w:val="22"/>
          <w:lang w:val="en-US"/>
        </w:rPr>
      </w:pPr>
      <w:r w:rsidRPr="00831EFD">
        <w:rPr>
          <w:rStyle w:val="FootnoteReference"/>
          <w:sz w:val="22"/>
          <w:szCs w:val="22"/>
        </w:rPr>
        <w:footnoteRef/>
      </w:r>
      <w:r w:rsidR="00B27F0A">
        <w:rPr>
          <w:lang w:val="en-US"/>
        </w:rPr>
        <w:t xml:space="preserve"> </w:t>
      </w:r>
      <w:r w:rsidRPr="00453316">
        <w:rPr>
          <w:lang w:val="en-US"/>
        </w:rPr>
        <w:t xml:space="preserve">Smets, T., Bilsen, J., Cohen, J., Rurup, M. L., &amp; Deliens, L. (2010). 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36" w:history="1">
        <w:r w:rsidRPr="00453316">
          <w:rPr>
            <w:rStyle w:val="Hyperlink"/>
            <w:lang w:val="en-US"/>
          </w:rPr>
          <w:t>https://journals.lww.com/lww-medicalcare/fulltext/2010/02000/The_Work_Limitations_Questionnaire.15.aspx</w:t>
        </w:r>
      </w:hyperlink>
    </w:p>
  </w:footnote>
  <w:footnote w:id="380">
    <w:p w14:paraId="172E6D80" w14:textId="6B101637" w:rsidR="00CE5861" w:rsidRPr="00453316" w:rsidRDefault="00CE5861" w:rsidP="000753F3">
      <w:pPr>
        <w:pStyle w:val="FootnoteText"/>
        <w:jc w:val="both"/>
        <w:rPr>
          <w:lang w:val="en-US"/>
        </w:rPr>
      </w:pPr>
      <w:r w:rsidRPr="00831EFD">
        <w:rPr>
          <w:rStyle w:val="FootnoteReference"/>
          <w:sz w:val="22"/>
          <w:szCs w:val="22"/>
        </w:rPr>
        <w:footnoteRef/>
      </w:r>
      <w:r w:rsidRPr="00DE73E3">
        <w:rPr>
          <w:lang w:val="sv-SE"/>
        </w:rPr>
        <w:t xml:space="preserve"> Terkamo-Moisio, A., Gastmans, C., Ryynänen, O.-P., &amp; Pietilä, A.-M. (2019). </w:t>
      </w:r>
      <w:r w:rsidRPr="00453316">
        <w:rPr>
          <w:lang w:val="en-US"/>
        </w:rPr>
        <w:t xml:space="preserve">Finnish nurses’ attitudes towards their role in the euthanasia process. </w:t>
      </w:r>
      <w:r w:rsidRPr="00453316">
        <w:rPr>
          <w:i/>
          <w:iCs/>
          <w:lang w:val="en-US"/>
        </w:rPr>
        <w:t>Nursing Ethics</w:t>
      </w:r>
      <w:r w:rsidRPr="00453316">
        <w:rPr>
          <w:lang w:val="en-US"/>
        </w:rPr>
        <w:t xml:space="preserve">, </w:t>
      </w:r>
      <w:r w:rsidRPr="00453316">
        <w:rPr>
          <w:i/>
          <w:iCs/>
          <w:lang w:val="en-US"/>
        </w:rPr>
        <w:t>26</w:t>
      </w:r>
      <w:r w:rsidRPr="00453316">
        <w:rPr>
          <w:lang w:val="en-US"/>
        </w:rPr>
        <w:t xml:space="preserve">(3), 700–714.  </w:t>
      </w:r>
      <w:hyperlink r:id="rId337" w:history="1">
        <w:r w:rsidRPr="00453316">
          <w:rPr>
            <w:rStyle w:val="Hyperlink"/>
            <w:lang w:val="en-US"/>
          </w:rPr>
          <w:t>https://doi.org/10.1177/0969733017720850</w:t>
        </w:r>
      </w:hyperlink>
      <w:r w:rsidRPr="00453316">
        <w:rPr>
          <w:lang w:val="en-US"/>
        </w:rPr>
        <w:t xml:space="preserve">;  Woods, M., &amp; Rook, H. (2022). Exploring hospice Nurses’ viewpoints on end-of-life practices and assisted dying: A thematic analysis. </w:t>
      </w:r>
      <w:r w:rsidRPr="00453316">
        <w:rPr>
          <w:i/>
          <w:iCs/>
          <w:lang w:val="en-US"/>
        </w:rPr>
        <w:t>Journal of Hospice &amp; Palliative Nursing</w:t>
      </w:r>
      <w:r w:rsidRPr="00453316">
        <w:rPr>
          <w:lang w:val="en-US"/>
        </w:rPr>
        <w:t xml:space="preserve">, </w:t>
      </w:r>
      <w:r w:rsidRPr="00453316">
        <w:rPr>
          <w:i/>
          <w:iCs/>
          <w:lang w:val="en-US"/>
        </w:rPr>
        <w:t>24</w:t>
      </w:r>
      <w:r w:rsidRPr="00453316">
        <w:rPr>
          <w:lang w:val="en-US"/>
        </w:rPr>
        <w:t xml:space="preserve">(4), E117–E125.  </w:t>
      </w:r>
      <w:hyperlink r:id="rId338" w:history="1">
        <w:r w:rsidRPr="00453316">
          <w:rPr>
            <w:rStyle w:val="Hyperlink"/>
            <w:lang w:val="en-US"/>
          </w:rPr>
          <w:t>https://journals.lww.com/jhpn/fulltext/2022/08000/Exploring_Hospice_Nurses__Viewpoints_on.8.aspx</w:t>
        </w:r>
      </w:hyperlink>
    </w:p>
  </w:footnote>
  <w:footnote w:id="381">
    <w:p w14:paraId="6B2B8A69" w14:textId="6EFC1591"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4646AE">
        <w:rPr>
          <w:lang w:val="de-DE"/>
        </w:rPr>
        <w:t xml:space="preserve"> Rietjens, J. A., Raijmakers, N. J., Kouwenhoven, P. S., Seale, C., Van Thiel, G. J., Trappenburg, M., Van Delden, J. J., &amp; Van Der Heide, A. (2013). </w:t>
      </w:r>
      <w:r w:rsidRPr="00453316">
        <w:rPr>
          <w:lang w:val="en-US"/>
        </w:rPr>
        <w:t xml:space="preserve">News media coverage of euthanasia: A content analysis of Dutch national newspapers. </w:t>
      </w:r>
      <w:r w:rsidRPr="00453316">
        <w:rPr>
          <w:i/>
          <w:iCs/>
          <w:lang w:val="en-US"/>
        </w:rPr>
        <w:t>BMC Medical Ethics</w:t>
      </w:r>
      <w:r w:rsidRPr="00453316">
        <w:rPr>
          <w:lang w:val="en-US"/>
        </w:rPr>
        <w:t xml:space="preserve">, </w:t>
      </w:r>
      <w:r w:rsidRPr="00453316">
        <w:rPr>
          <w:i/>
          <w:iCs/>
          <w:lang w:val="en-US"/>
        </w:rPr>
        <w:t>14</w:t>
      </w:r>
      <w:r w:rsidRPr="00453316">
        <w:rPr>
          <w:lang w:val="en-US"/>
        </w:rPr>
        <w:t xml:space="preserve">(1), 11. </w:t>
      </w:r>
      <w:hyperlink r:id="rId339" w:history="1">
        <w:r w:rsidRPr="00453316">
          <w:rPr>
            <w:rStyle w:val="Hyperlink"/>
            <w:lang w:val="en-US"/>
          </w:rPr>
          <w:t>https://doi.org/10.1186/1472-6939-14-11</w:t>
        </w:r>
      </w:hyperlink>
    </w:p>
  </w:footnote>
  <w:footnote w:id="382">
    <w:p w14:paraId="0069BFDB" w14:textId="05072441"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Smets, T., Bilsen, J., Cohen, J., Rurup, M. L., &amp; Deliens, L. (2010). 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40" w:history="1">
        <w:r w:rsidRPr="00453316">
          <w:rPr>
            <w:rStyle w:val="Hyperlink"/>
            <w:lang w:val="en-US"/>
          </w:rPr>
          <w:t>https://journals.lww.com/lww-medicalcare/fulltext/2010/02000/The_Work_Limitations_Questionnaire.15.aspx</w:t>
        </w:r>
      </w:hyperlink>
    </w:p>
  </w:footnote>
  <w:footnote w:id="383">
    <w:p w14:paraId="73F1E2A3" w14:textId="5D7F9A41"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Sercu, M., Pype, P., Christiaens, T., Grypdonck, M., Derese, A., &amp; Deveugele, M. (2012). Are general practitioners prepared to end life on request in a country where euthanasia is legalised? </w:t>
      </w:r>
      <w:r w:rsidRPr="00453316">
        <w:rPr>
          <w:i/>
          <w:iCs/>
          <w:lang w:val="en-US"/>
        </w:rPr>
        <w:t>Journal of Medical Ethics</w:t>
      </w:r>
      <w:r w:rsidRPr="00453316">
        <w:rPr>
          <w:lang w:val="en-US"/>
        </w:rPr>
        <w:t xml:space="preserve">, </w:t>
      </w:r>
      <w:r w:rsidRPr="00453316">
        <w:rPr>
          <w:i/>
          <w:iCs/>
          <w:lang w:val="en-US"/>
        </w:rPr>
        <w:t>38</w:t>
      </w:r>
      <w:r w:rsidRPr="00453316">
        <w:rPr>
          <w:lang w:val="en-US"/>
        </w:rPr>
        <w:t xml:space="preserve">(5), 274–280. </w:t>
      </w:r>
      <w:hyperlink r:id="rId341" w:history="1">
        <w:r w:rsidRPr="00453316">
          <w:rPr>
            <w:rStyle w:val="Hyperlink"/>
            <w:lang w:val="en-US"/>
          </w:rPr>
          <w:t>https://jme.bmj.com/content/38/5/274.short</w:t>
        </w:r>
      </w:hyperlink>
    </w:p>
  </w:footnote>
  <w:footnote w:id="384">
    <w:p w14:paraId="21907C42" w14:textId="54F486E4"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453316">
        <w:rPr>
          <w:lang w:val="en-US"/>
        </w:rPr>
        <w:t xml:space="preserve"> Pousset, G., Mortier, F., Bilsen, J., Cohen, J., &amp; Deliens, L. (2011). Attitudes and practices of physicians regarding physician-assisted dying in minors. </w:t>
      </w:r>
      <w:r w:rsidRPr="00453316">
        <w:rPr>
          <w:i/>
          <w:iCs/>
          <w:lang w:val="en-US"/>
        </w:rPr>
        <w:t>Archives of Disease in Childhood</w:t>
      </w:r>
      <w:r w:rsidRPr="00453316">
        <w:rPr>
          <w:lang w:val="en-US"/>
        </w:rPr>
        <w:t xml:space="preserve">, </w:t>
      </w:r>
      <w:r w:rsidRPr="00453316">
        <w:rPr>
          <w:i/>
          <w:iCs/>
          <w:lang w:val="en-US"/>
        </w:rPr>
        <w:t>96</w:t>
      </w:r>
      <w:r w:rsidRPr="00453316">
        <w:rPr>
          <w:lang w:val="en-US"/>
        </w:rPr>
        <w:t xml:space="preserve">(10), 948–953. </w:t>
      </w:r>
      <w:hyperlink r:id="rId342" w:history="1">
        <w:r w:rsidRPr="00453316">
          <w:rPr>
            <w:rStyle w:val="Hyperlink"/>
            <w:lang w:val="en-US"/>
          </w:rPr>
          <w:t>https://adc.bmj.com/content/96/10/948</w:t>
        </w:r>
      </w:hyperlink>
      <w:r w:rsidRPr="00453316">
        <w:rPr>
          <w:lang w:val="en-US"/>
        </w:rPr>
        <w:t xml:space="preserve">; de Boer, M. E., Dröes, R.-M., Jonker, C., Eefsting, J. A., &amp; Hertogh, C. M. (2010). Advance directives for euthanasia in dementia: Do law-based opportunities lead to more euthanasia? </w:t>
      </w:r>
      <w:r w:rsidRPr="00453316">
        <w:rPr>
          <w:i/>
          <w:iCs/>
          <w:lang w:val="en-US"/>
        </w:rPr>
        <w:t>Health Policy</w:t>
      </w:r>
      <w:r w:rsidRPr="00453316">
        <w:rPr>
          <w:lang w:val="en-US"/>
        </w:rPr>
        <w:t xml:space="preserve">, </w:t>
      </w:r>
      <w:r w:rsidRPr="00453316">
        <w:rPr>
          <w:i/>
          <w:iCs/>
          <w:lang w:val="en-US"/>
        </w:rPr>
        <w:t>98</w:t>
      </w:r>
      <w:r w:rsidRPr="00453316">
        <w:rPr>
          <w:lang w:val="en-US"/>
        </w:rPr>
        <w:t xml:space="preserve">(2–3), 256–262. </w:t>
      </w:r>
      <w:hyperlink r:id="rId343" w:history="1">
        <w:r w:rsidRPr="00453316">
          <w:rPr>
            <w:rStyle w:val="Hyperlink"/>
            <w:lang w:val="en-US"/>
          </w:rPr>
          <w:t>https://www.sciencedirect.com/science/article/pii/S0168851010001934</w:t>
        </w:r>
      </w:hyperlink>
    </w:p>
  </w:footnote>
  <w:footnote w:id="385">
    <w:p w14:paraId="3EFBA733" w14:textId="2DC09023" w:rsidR="00CE5861" w:rsidRPr="00453316" w:rsidRDefault="00CE5861" w:rsidP="000753F3">
      <w:pPr>
        <w:pStyle w:val="FootnoteText"/>
        <w:jc w:val="both"/>
        <w:rPr>
          <w:sz w:val="18"/>
          <w:szCs w:val="18"/>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44" w:history="1">
        <w:r w:rsidRPr="00453316">
          <w:rPr>
            <w:rStyle w:val="Hyperlink"/>
            <w:lang w:val="en-US"/>
          </w:rPr>
          <w:t>https://www.thelancet.com/journals/lancet/article/PIIS0140-6736(12)61034-4/abstract</w:t>
        </w:r>
      </w:hyperlink>
    </w:p>
  </w:footnote>
  <w:footnote w:id="386">
    <w:p w14:paraId="574A2458" w14:textId="268F43B8" w:rsidR="00CE5861" w:rsidRPr="00453316" w:rsidRDefault="00CE5861" w:rsidP="000753F3">
      <w:pPr>
        <w:pStyle w:val="FootnoteText"/>
        <w:jc w:val="both"/>
        <w:rPr>
          <w:lang w:val="en-US"/>
        </w:rPr>
      </w:pPr>
      <w:r w:rsidRPr="00831EFD">
        <w:rPr>
          <w:rStyle w:val="FootnoteReference"/>
          <w:sz w:val="22"/>
          <w:szCs w:val="22"/>
        </w:rPr>
        <w:footnoteRef/>
      </w:r>
      <w:r w:rsidRPr="00DE73E3">
        <w:rPr>
          <w:lang w:val="da-DK"/>
        </w:rPr>
        <w:t xml:space="preserve"> Smets, T., Bilsen, J., Van den Block, L., Cohen, J., Van Casteren, V., &amp; Deliens, L. (2010). </w:t>
      </w:r>
      <w:r w:rsidRPr="00453316">
        <w:rPr>
          <w:lang w:val="en-US"/>
        </w:rPr>
        <w:t xml:space="preserve">Euthanasia in patients dying at home in Belgium: Interview study on adherence to legal safeguards. </w:t>
      </w:r>
      <w:r w:rsidRPr="00453316">
        <w:rPr>
          <w:i/>
          <w:iCs/>
          <w:lang w:val="en-US"/>
        </w:rPr>
        <w:t>The British Journal of General Practice</w:t>
      </w:r>
      <w:r w:rsidRPr="00453316">
        <w:rPr>
          <w:lang w:val="en-US"/>
        </w:rPr>
        <w:t xml:space="preserve">, </w:t>
      </w:r>
      <w:r w:rsidRPr="00453316">
        <w:rPr>
          <w:i/>
          <w:iCs/>
          <w:lang w:val="en-US"/>
        </w:rPr>
        <w:t>60</w:t>
      </w:r>
      <w:r w:rsidRPr="00453316">
        <w:rPr>
          <w:lang w:val="en-US"/>
        </w:rPr>
        <w:t xml:space="preserve">(573), e163. </w:t>
      </w:r>
      <w:hyperlink r:id="rId345" w:history="1">
        <w:r w:rsidRPr="00453316">
          <w:rPr>
            <w:rStyle w:val="Hyperlink"/>
            <w:lang w:val="en-US"/>
          </w:rPr>
          <w:t>https://pmc.ncbi.nlm.nih.gov/articles/PMC2845507/</w:t>
        </w:r>
      </w:hyperlink>
      <w:r w:rsidRPr="00453316">
        <w:rPr>
          <w:lang w:val="en-US"/>
        </w:rPr>
        <w:t xml:space="preserve">; Smets, T., Bilsen, J., Cohen, J., Rurup, M. L., &amp; Deliens, L. (2010). 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46" w:history="1">
        <w:r w:rsidRPr="00453316">
          <w:rPr>
            <w:rStyle w:val="Hyperlink"/>
            <w:lang w:val="en-US"/>
          </w:rPr>
          <w:t>https://journals.lww.com/lww-medicalcare/fulltext/2010/02000/The_Work_Limitations_Questionnaire.15.aspx</w:t>
        </w:r>
      </w:hyperlink>
      <w:r w:rsidRPr="00453316">
        <w:rPr>
          <w:lang w:val="en-US"/>
        </w:rPr>
        <w:t xml:space="preserve">; Smets, T., Cohen, J., Bilsen, J., Van Wesemael, Y., Rurup, M. L., &amp; Deliens, L. (2012). The labelling and reporting of euthanasia by Belgian physicians: A study of hypothetical cases. </w:t>
      </w:r>
      <w:r w:rsidRPr="00453316">
        <w:rPr>
          <w:i/>
          <w:iCs/>
          <w:lang w:val="en-US"/>
        </w:rPr>
        <w:t>The European Journal of Public Health</w:t>
      </w:r>
      <w:r w:rsidRPr="00453316">
        <w:rPr>
          <w:lang w:val="en-US"/>
        </w:rPr>
        <w:t xml:space="preserve">, </w:t>
      </w:r>
      <w:r w:rsidRPr="00453316">
        <w:rPr>
          <w:i/>
          <w:iCs/>
          <w:lang w:val="en-US"/>
        </w:rPr>
        <w:t>22</w:t>
      </w:r>
      <w:r w:rsidRPr="00453316">
        <w:rPr>
          <w:lang w:val="en-US"/>
        </w:rPr>
        <w:t xml:space="preserve">(1), 19–26. </w:t>
      </w:r>
      <w:hyperlink r:id="rId347" w:history="1">
        <w:r w:rsidRPr="00453316">
          <w:rPr>
            <w:rStyle w:val="Hyperlink"/>
            <w:lang w:val="en-US"/>
          </w:rPr>
          <w:t>https://academic.oup.com/eurpub/article-abstract/22/1/19/485407</w:t>
        </w:r>
      </w:hyperlink>
    </w:p>
  </w:footnote>
  <w:footnote w:id="387">
    <w:p w14:paraId="5261357C" w14:textId="7B3C4285"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Paradela-López, M., &amp; Jima-González, A. (2023). </w:t>
      </w:r>
      <w:r w:rsidRPr="00453316">
        <w:rPr>
          <w:lang w:val="en-US"/>
        </w:rPr>
        <w:t xml:space="preserve">Analyzing the Spanish Euthanasia Law: Achievements and inconsistencies of the legal assistance to die. </w:t>
      </w:r>
      <w:r w:rsidRPr="00DE73E3">
        <w:rPr>
          <w:i/>
          <w:iCs/>
          <w:lang w:val="es-ES"/>
        </w:rPr>
        <w:t>Rev. Bioetica &amp; Derecho</w:t>
      </w:r>
      <w:r w:rsidRPr="00DE73E3">
        <w:rPr>
          <w:lang w:val="es-ES"/>
        </w:rPr>
        <w:t xml:space="preserve">, </w:t>
      </w:r>
      <w:r w:rsidRPr="00DE73E3">
        <w:rPr>
          <w:i/>
          <w:iCs/>
          <w:lang w:val="es-ES"/>
        </w:rPr>
        <w:t>58</w:t>
      </w:r>
      <w:r w:rsidRPr="00DE73E3">
        <w:rPr>
          <w:lang w:val="es-ES"/>
        </w:rPr>
        <w:t xml:space="preserve">, 147. </w:t>
      </w:r>
      <w:hyperlink r:id="rId348" w:history="1">
        <w:r w:rsidRPr="00DE73E3">
          <w:rPr>
            <w:rStyle w:val="Hyperlink"/>
            <w:lang w:val="es-ES"/>
          </w:rPr>
          <w:t>https://heinonline.org/hol-cgi-bin/get_pdf.cgi?handle=hein.journals/rebiod58&amp;section=11</w:t>
        </w:r>
      </w:hyperlink>
      <w:r w:rsidRPr="00DE73E3">
        <w:rPr>
          <w:lang w:val="es-ES"/>
        </w:rPr>
        <w:t xml:space="preserve">; Raus, K. (2016). </w:t>
      </w:r>
      <w:r w:rsidRPr="00453316">
        <w:rPr>
          <w:lang w:val="en-US"/>
        </w:rPr>
        <w:t xml:space="preserve">The Extension of Belgium’s Euthanasia Law to Include Competent Minors. </w:t>
      </w:r>
      <w:r w:rsidRPr="00453316">
        <w:rPr>
          <w:i/>
          <w:iCs/>
          <w:lang w:val="en-US"/>
        </w:rPr>
        <w:t>Journal of Bioethical Inquiry</w:t>
      </w:r>
      <w:r w:rsidRPr="00453316">
        <w:rPr>
          <w:lang w:val="en-US"/>
        </w:rPr>
        <w:t xml:space="preserve">, </w:t>
      </w:r>
      <w:r w:rsidRPr="00453316">
        <w:rPr>
          <w:i/>
          <w:iCs/>
          <w:lang w:val="en-US"/>
        </w:rPr>
        <w:t>13</w:t>
      </w:r>
      <w:r w:rsidRPr="00453316">
        <w:rPr>
          <w:lang w:val="en-US"/>
        </w:rPr>
        <w:t xml:space="preserve">(2), 305–315. </w:t>
      </w:r>
      <w:hyperlink r:id="rId349" w:history="1">
        <w:r w:rsidRPr="00453316">
          <w:rPr>
            <w:rStyle w:val="Hyperlink"/>
            <w:lang w:val="en-US"/>
          </w:rPr>
          <w:t>https://doi.org/10.1007/s11673-016-9705-5</w:t>
        </w:r>
      </w:hyperlink>
    </w:p>
  </w:footnote>
  <w:footnote w:id="388">
    <w:p w14:paraId="764DB700" w14:textId="6A70BD83" w:rsidR="00CE5861" w:rsidRPr="00453316" w:rsidRDefault="00CE5861" w:rsidP="000753F3">
      <w:pPr>
        <w:pStyle w:val="FootnoteText"/>
        <w:jc w:val="both"/>
        <w:rPr>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50" w:history="1">
        <w:r w:rsidRPr="00453316">
          <w:rPr>
            <w:rStyle w:val="Hyperlink"/>
            <w:lang w:val="en-US"/>
          </w:rPr>
          <w:t>https://www.thelancet.com/journals/lancet/article/PIIS0140-6736(12)61034-4/abstract</w:t>
        </w:r>
      </w:hyperlink>
    </w:p>
  </w:footnote>
  <w:footnote w:id="389">
    <w:p w14:paraId="1E727CDA" w14:textId="1E8064DA" w:rsidR="00CE5861" w:rsidRPr="00453316" w:rsidRDefault="00CE5861" w:rsidP="000753F3">
      <w:pPr>
        <w:pStyle w:val="FootnoteText"/>
        <w:jc w:val="both"/>
        <w:rPr>
          <w:lang w:val="en-US"/>
        </w:rPr>
      </w:pPr>
      <w:r w:rsidRPr="00831EFD">
        <w:rPr>
          <w:rStyle w:val="FootnoteReference"/>
          <w:sz w:val="22"/>
          <w:szCs w:val="22"/>
        </w:rPr>
        <w:footnoteRef/>
      </w:r>
      <w:r w:rsidRPr="00ED3976">
        <w:rPr>
          <w:lang w:val="en-GB"/>
        </w:rPr>
        <w:t xml:space="preserve"> Pousset, G., Mortier, F., Bilsen, J., Cohen, J., &amp; Deliens, L. (2011). </w:t>
      </w:r>
      <w:r w:rsidRPr="00453316">
        <w:rPr>
          <w:lang w:val="en-US"/>
        </w:rPr>
        <w:t xml:space="preserve">Attitudes and practices of physicians regarding physician-assisted dying in minors. </w:t>
      </w:r>
      <w:r w:rsidRPr="00453316">
        <w:rPr>
          <w:i/>
          <w:iCs/>
          <w:lang w:val="en-US"/>
        </w:rPr>
        <w:t>Archives of Disease in Childhood</w:t>
      </w:r>
      <w:r w:rsidRPr="00453316">
        <w:rPr>
          <w:lang w:val="en-US"/>
        </w:rPr>
        <w:t xml:space="preserve">, </w:t>
      </w:r>
      <w:r w:rsidRPr="00453316">
        <w:rPr>
          <w:i/>
          <w:iCs/>
          <w:lang w:val="en-US"/>
        </w:rPr>
        <w:t>96</w:t>
      </w:r>
      <w:r w:rsidRPr="00453316">
        <w:rPr>
          <w:lang w:val="en-US"/>
        </w:rPr>
        <w:t xml:space="preserve">(10), 948–953. </w:t>
      </w:r>
      <w:hyperlink r:id="rId351" w:history="1">
        <w:r w:rsidRPr="00453316">
          <w:rPr>
            <w:rStyle w:val="Hyperlink"/>
            <w:lang w:val="en-US"/>
          </w:rPr>
          <w:t>https://adc.bmj.com/content/96/10/948</w:t>
        </w:r>
      </w:hyperlink>
      <w:r w:rsidRPr="00453316">
        <w:rPr>
          <w:lang w:val="en-US"/>
        </w:rPr>
        <w:t xml:space="preserve">; Van Rickstal, R., De Vleminck, A., Chambaere, K., &amp; Van den Block, L. (2023). People with young-onset dementia and their family caregivers discussing euthanasia: A qualitative analysis of their considerations. </w:t>
      </w:r>
      <w:r w:rsidRPr="00453316">
        <w:rPr>
          <w:i/>
          <w:iCs/>
          <w:lang w:val="en-US"/>
        </w:rPr>
        <w:t>Patient Education and Counseling</w:t>
      </w:r>
      <w:r w:rsidRPr="00453316">
        <w:rPr>
          <w:lang w:val="en-US"/>
        </w:rPr>
        <w:t xml:space="preserve">, </w:t>
      </w:r>
      <w:r w:rsidRPr="00453316">
        <w:rPr>
          <w:i/>
          <w:iCs/>
          <w:lang w:val="en-US"/>
        </w:rPr>
        <w:t>115</w:t>
      </w:r>
      <w:r w:rsidRPr="00453316">
        <w:rPr>
          <w:lang w:val="en-US"/>
        </w:rPr>
        <w:t xml:space="preserve">, 107882. </w:t>
      </w:r>
      <w:hyperlink r:id="rId352" w:history="1">
        <w:r w:rsidRPr="00453316">
          <w:rPr>
            <w:rStyle w:val="Hyperlink"/>
            <w:lang w:val="en-US"/>
          </w:rPr>
          <w:t>https://www.sciencedirect.com/science/article/pii/S0738399123002628</w:t>
        </w:r>
      </w:hyperlink>
    </w:p>
  </w:footnote>
  <w:footnote w:id="390">
    <w:p w14:paraId="292C88CB" w14:textId="21BBE038"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453316">
        <w:rPr>
          <w:lang w:val="en-US"/>
        </w:rPr>
        <w:t xml:space="preserve"> - Raus, K. (2016). The Extension of Belgium’s Euthanasia Law to Include Competent Minors. </w:t>
      </w:r>
      <w:r w:rsidRPr="00453316">
        <w:rPr>
          <w:i/>
          <w:iCs/>
          <w:lang w:val="en-US"/>
        </w:rPr>
        <w:t>Journal of Bioethical Inquiry</w:t>
      </w:r>
      <w:r w:rsidRPr="00453316">
        <w:rPr>
          <w:lang w:val="en-US"/>
        </w:rPr>
        <w:t xml:space="preserve">, </w:t>
      </w:r>
      <w:r w:rsidRPr="00453316">
        <w:rPr>
          <w:i/>
          <w:iCs/>
          <w:lang w:val="en-US"/>
        </w:rPr>
        <w:t>13</w:t>
      </w:r>
      <w:r w:rsidRPr="00453316">
        <w:rPr>
          <w:lang w:val="en-US"/>
        </w:rPr>
        <w:t xml:space="preserve">(2), 305–315. </w:t>
      </w:r>
      <w:hyperlink r:id="rId353" w:history="1">
        <w:r w:rsidRPr="00453316">
          <w:rPr>
            <w:rStyle w:val="Hyperlink"/>
            <w:lang w:val="en-US"/>
          </w:rPr>
          <w:t>https://doi.org/10.1007/s11673-016-9705-5</w:t>
        </w:r>
      </w:hyperlink>
      <w:r w:rsidRPr="00453316">
        <w:rPr>
          <w:lang w:val="en-US"/>
        </w:rPr>
        <w:t xml:space="preserve">; Pope, T. M., &amp; Okninski, M. E. (2016). Legal Standards for Brain Death and Undue Influence in Euthanasia Laws. </w:t>
      </w:r>
      <w:r w:rsidRPr="00453316">
        <w:rPr>
          <w:i/>
          <w:iCs/>
          <w:lang w:val="en-US"/>
        </w:rPr>
        <w:t>Journal of Bioethical Inquiry</w:t>
      </w:r>
      <w:r w:rsidRPr="00453316">
        <w:rPr>
          <w:lang w:val="en-US"/>
        </w:rPr>
        <w:t xml:space="preserve">, </w:t>
      </w:r>
      <w:r w:rsidRPr="00453316">
        <w:rPr>
          <w:i/>
          <w:iCs/>
          <w:lang w:val="en-US"/>
        </w:rPr>
        <w:t>13</w:t>
      </w:r>
      <w:r w:rsidRPr="00453316">
        <w:rPr>
          <w:lang w:val="en-US"/>
        </w:rPr>
        <w:t xml:space="preserve">(2), 173–178. </w:t>
      </w:r>
      <w:hyperlink r:id="rId354" w:history="1">
        <w:r w:rsidRPr="00453316">
          <w:rPr>
            <w:rStyle w:val="Hyperlink"/>
            <w:lang w:val="en-US"/>
          </w:rPr>
          <w:t>https://doi.org/10.1007/s11673-016-9718-0</w:t>
        </w:r>
      </w:hyperlink>
    </w:p>
  </w:footnote>
  <w:footnote w:id="391">
    <w:p w14:paraId="2C88A62B" w14:textId="1218380E"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de Boer, M. E., Dröes, R.-M., Jonker, C., Eefsting, J. A., &amp; Hertogh, C. M. (2010). Advance directives for euthanasia in dementia: Do law-based opportunities lead to more euthanasia? </w:t>
      </w:r>
      <w:r w:rsidRPr="00453316">
        <w:rPr>
          <w:i/>
          <w:iCs/>
          <w:lang w:val="en-US"/>
        </w:rPr>
        <w:t>Health Policy</w:t>
      </w:r>
      <w:r w:rsidRPr="00453316">
        <w:rPr>
          <w:lang w:val="en-US"/>
        </w:rPr>
        <w:t xml:space="preserve">, </w:t>
      </w:r>
      <w:r w:rsidRPr="00453316">
        <w:rPr>
          <w:i/>
          <w:iCs/>
          <w:lang w:val="en-US"/>
        </w:rPr>
        <w:t>98</w:t>
      </w:r>
      <w:r w:rsidRPr="00453316">
        <w:rPr>
          <w:lang w:val="en-US"/>
        </w:rPr>
        <w:t xml:space="preserve">(2–3), 256–262. </w:t>
      </w:r>
      <w:hyperlink r:id="rId355" w:history="1">
        <w:r w:rsidRPr="00453316">
          <w:rPr>
            <w:rStyle w:val="Hyperlink"/>
            <w:lang w:val="en-US"/>
          </w:rPr>
          <w:t>https://www.sciencedirect.com/science/article/pii/S0168851010001934</w:t>
        </w:r>
      </w:hyperlink>
    </w:p>
  </w:footnote>
  <w:footnote w:id="392">
    <w:p w14:paraId="115B91F8" w14:textId="0199494E"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Bernal, V., &amp; Trejo-Gabriel-Galan, J. M. (2021). Euthanasia laws in Spain and in the world: Medical aspects. </w:t>
      </w:r>
      <w:r w:rsidRPr="00453316">
        <w:rPr>
          <w:i/>
          <w:iCs/>
          <w:lang w:val="en-US"/>
        </w:rPr>
        <w:t>Atencion Primaria</w:t>
      </w:r>
      <w:r w:rsidRPr="00453316">
        <w:rPr>
          <w:lang w:val="en-US"/>
        </w:rPr>
        <w:t xml:space="preserve">, </w:t>
      </w:r>
      <w:r w:rsidRPr="00453316">
        <w:rPr>
          <w:i/>
          <w:iCs/>
          <w:lang w:val="en-US"/>
        </w:rPr>
        <w:t>54</w:t>
      </w:r>
      <w:r w:rsidRPr="00453316">
        <w:rPr>
          <w:lang w:val="en-US"/>
        </w:rPr>
        <w:t xml:space="preserve">(1), 102170–102170. </w:t>
      </w:r>
      <w:hyperlink r:id="rId356" w:history="1">
        <w:r w:rsidRPr="00453316">
          <w:rPr>
            <w:rStyle w:val="Hyperlink"/>
            <w:lang w:val="en-US"/>
          </w:rPr>
          <w:t>https://europepmc.org/article/med/34798415</w:t>
        </w:r>
      </w:hyperlink>
    </w:p>
  </w:footnote>
  <w:footnote w:id="393">
    <w:p w14:paraId="00FBA27A" w14:textId="75B9DC91"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Klampfer, F. (2019). Euthanasia Laws, Slippery Slopes, and (Un) Reasonable Precaution. Prolegomena: Časopis Za Filozofiju, 18(2), 121–147. </w:t>
      </w:r>
      <w:hyperlink r:id="rId357" w:history="1">
        <w:r w:rsidRPr="00453316">
          <w:rPr>
            <w:rStyle w:val="Hyperlink"/>
            <w:lang w:val="en-US"/>
          </w:rPr>
          <w:t>https://hrcak.srce.hr/237864</w:t>
        </w:r>
      </w:hyperlink>
    </w:p>
  </w:footnote>
  <w:footnote w:id="394">
    <w:p w14:paraId="5094CB75" w14:textId="694BD146" w:rsidR="00CE5861" w:rsidRPr="00453316" w:rsidRDefault="00CE5861" w:rsidP="000753F3">
      <w:pPr>
        <w:pStyle w:val="FootnoteText"/>
        <w:jc w:val="both"/>
        <w:rPr>
          <w:lang w:val="en-US"/>
        </w:rPr>
      </w:pPr>
      <w:r w:rsidRPr="00831EFD">
        <w:rPr>
          <w:rStyle w:val="FootnoteReference"/>
          <w:sz w:val="22"/>
          <w:szCs w:val="22"/>
        </w:rPr>
        <w:footnoteRef/>
      </w:r>
      <w:r w:rsidRPr="00453316">
        <w:rPr>
          <w:lang w:val="en-US"/>
        </w:rPr>
        <w:t xml:space="preserve"> Terkamo-Moisio, A., Gastmans, C., Ryynänen, O.-P., &amp; Pietilä, A.-M. (2019). Finnish nurses’ attitudes towards their role in the euthanasia process. </w:t>
      </w:r>
      <w:r w:rsidRPr="00453316">
        <w:rPr>
          <w:i/>
          <w:iCs/>
          <w:lang w:val="en-US"/>
        </w:rPr>
        <w:t>Nursing Ethics</w:t>
      </w:r>
      <w:r w:rsidRPr="00453316">
        <w:rPr>
          <w:lang w:val="en-US"/>
        </w:rPr>
        <w:t xml:space="preserve">, </w:t>
      </w:r>
      <w:r w:rsidRPr="00453316">
        <w:rPr>
          <w:i/>
          <w:iCs/>
          <w:lang w:val="en-US"/>
        </w:rPr>
        <w:t>26</w:t>
      </w:r>
      <w:r w:rsidRPr="00453316">
        <w:rPr>
          <w:lang w:val="en-US"/>
        </w:rPr>
        <w:t xml:space="preserve">(3), 700–714. </w:t>
      </w:r>
      <w:hyperlink r:id="rId358" w:history="1">
        <w:r w:rsidRPr="00453316">
          <w:rPr>
            <w:rStyle w:val="Hyperlink"/>
            <w:lang w:val="en-US"/>
          </w:rPr>
          <w:t>https://doi.org/10.1177/0969733017720850</w:t>
        </w:r>
      </w:hyperlink>
      <w:r w:rsidRPr="00453316">
        <w:rPr>
          <w:lang w:val="en-US"/>
        </w:rPr>
        <w:t xml:space="preserve">; Woods, M., &amp; Rook, H. (2022). Exploring hospice Nurses’ viewpoints on end-of-life practices and assisted dying: A thematic analysis. </w:t>
      </w:r>
      <w:r w:rsidRPr="00453316">
        <w:rPr>
          <w:i/>
          <w:iCs/>
          <w:lang w:val="en-US"/>
        </w:rPr>
        <w:t>Journal of Hospice &amp; Palliative Nursing</w:t>
      </w:r>
      <w:r w:rsidRPr="00453316">
        <w:rPr>
          <w:lang w:val="en-US"/>
        </w:rPr>
        <w:t xml:space="preserve">, </w:t>
      </w:r>
      <w:r w:rsidRPr="00453316">
        <w:rPr>
          <w:i/>
          <w:iCs/>
          <w:lang w:val="en-US"/>
        </w:rPr>
        <w:t>24</w:t>
      </w:r>
      <w:r w:rsidRPr="00453316">
        <w:rPr>
          <w:lang w:val="en-US"/>
        </w:rPr>
        <w:t xml:space="preserve">(4), E117–E125. </w:t>
      </w:r>
      <w:hyperlink r:id="rId359" w:history="1">
        <w:r w:rsidRPr="00453316">
          <w:rPr>
            <w:rStyle w:val="Hyperlink"/>
            <w:lang w:val="en-US"/>
          </w:rPr>
          <w:t>https://journals.lww.com/jhpn/fulltext/2022/08000/Exploring_Hospice_Nurses__Viewpoints_on.8.aspx</w:t>
        </w:r>
      </w:hyperlink>
    </w:p>
  </w:footnote>
  <w:footnote w:id="395">
    <w:p w14:paraId="774E16A0" w14:textId="0426997E"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DE73E3">
        <w:rPr>
          <w:lang w:val="da-DK"/>
        </w:rPr>
        <w:t xml:space="preserve"> Smets, T., Bilsen, J., Cohen, J., Rurup, M. L., &amp; Deliens, L. (2010). </w:t>
      </w:r>
      <w:r w:rsidRPr="00453316">
        <w:rPr>
          <w:lang w:val="en-US"/>
        </w:rPr>
        <w:t xml:space="preserve">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60" w:history="1">
        <w:r w:rsidRPr="00453316">
          <w:rPr>
            <w:rStyle w:val="Hyperlink"/>
            <w:lang w:val="en-US"/>
          </w:rPr>
          <w:t>https://journals.lww.com/lww-medicalcare/fulltext/2010/02000/The_Work_Limitations_Questionnaire.15.aspx</w:t>
        </w:r>
      </w:hyperlink>
      <w:r w:rsidRPr="00453316">
        <w:rPr>
          <w:lang w:val="en-US"/>
        </w:rPr>
        <w:t xml:space="preserve">; Sercu, M., Pype, P., Christiaens, T., Grypdonck, M., Derese, A., &amp; Deveugele, M. (2012). Are general practitioners prepared to end life on request in a country where euthanasia is legalised? </w:t>
      </w:r>
      <w:r w:rsidRPr="00453316">
        <w:rPr>
          <w:i/>
          <w:iCs/>
          <w:lang w:val="en-US"/>
        </w:rPr>
        <w:t>Journal of Medical Ethics</w:t>
      </w:r>
      <w:r w:rsidRPr="00453316">
        <w:rPr>
          <w:lang w:val="en-US"/>
        </w:rPr>
        <w:t xml:space="preserve">, </w:t>
      </w:r>
      <w:r w:rsidRPr="00453316">
        <w:rPr>
          <w:i/>
          <w:iCs/>
          <w:lang w:val="en-US"/>
        </w:rPr>
        <w:t>38</w:t>
      </w:r>
      <w:r w:rsidRPr="00453316">
        <w:rPr>
          <w:lang w:val="en-US"/>
        </w:rPr>
        <w:t xml:space="preserve">(5), 274–280. </w:t>
      </w:r>
      <w:hyperlink r:id="rId361" w:history="1">
        <w:r w:rsidRPr="00453316">
          <w:rPr>
            <w:rStyle w:val="Hyperlink"/>
            <w:lang w:val="en-US"/>
          </w:rPr>
          <w:t>https://jme.bmj.com/content/38/5/274.short</w:t>
        </w:r>
      </w:hyperlink>
    </w:p>
  </w:footnote>
  <w:footnote w:id="396">
    <w:p w14:paraId="09C6FC9A" w14:textId="0EAE6264" w:rsidR="00CE5861" w:rsidRPr="00453316" w:rsidRDefault="00CE5861" w:rsidP="000753F3">
      <w:pPr>
        <w:pStyle w:val="FootnoteText"/>
        <w:jc w:val="both"/>
        <w:rPr>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62" w:history="1">
        <w:r w:rsidRPr="00453316">
          <w:rPr>
            <w:rStyle w:val="Hyperlink"/>
            <w:lang w:val="en-US"/>
          </w:rPr>
          <w:t>https://www.thelancet.com/journals/lancet/article/PIIS0140-6736(12)61034-4/abstract</w:t>
        </w:r>
      </w:hyperlink>
    </w:p>
  </w:footnote>
  <w:footnote w:id="397">
    <w:p w14:paraId="31D558D1" w14:textId="72E3BC3B"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Paradela-López, M., &amp; Jima-González, A. (2023). </w:t>
      </w:r>
      <w:r w:rsidRPr="00453316">
        <w:rPr>
          <w:lang w:val="en-US"/>
        </w:rPr>
        <w:t xml:space="preserve">Analyzing the Spanish Euthanasia Law: Achievements and inconsistencies of the legal assistance to die. </w:t>
      </w:r>
      <w:r w:rsidRPr="00DE73E3">
        <w:rPr>
          <w:i/>
          <w:iCs/>
          <w:lang w:val="es-ES"/>
        </w:rPr>
        <w:t>Rev. Bioetica &amp; Derecho</w:t>
      </w:r>
      <w:r w:rsidRPr="00DE73E3">
        <w:rPr>
          <w:lang w:val="es-ES"/>
        </w:rPr>
        <w:t xml:space="preserve">, </w:t>
      </w:r>
      <w:r w:rsidRPr="00DE73E3">
        <w:rPr>
          <w:i/>
          <w:iCs/>
          <w:lang w:val="es-ES"/>
        </w:rPr>
        <w:t>58</w:t>
      </w:r>
      <w:r w:rsidRPr="00DE73E3">
        <w:rPr>
          <w:lang w:val="es-ES"/>
        </w:rPr>
        <w:t xml:space="preserve">, 147. </w:t>
      </w:r>
      <w:hyperlink r:id="rId363" w:history="1">
        <w:r w:rsidRPr="00DE73E3">
          <w:rPr>
            <w:rStyle w:val="Hyperlink"/>
            <w:lang w:val="es-ES"/>
          </w:rPr>
          <w:t>https://heinonline.org/hol-cgi-bin/get_pdf.cgi?handle=hein.journals/rebiod58&amp;section=11</w:t>
        </w:r>
      </w:hyperlink>
      <w:r w:rsidRPr="00DE73E3">
        <w:rPr>
          <w:lang w:val="es-ES"/>
        </w:rPr>
        <w:t xml:space="preserve">; Novoa-Jurado, A., &amp; Melguizo-Jiménez, M. (2021). </w:t>
      </w:r>
      <w:r w:rsidRPr="00453316">
        <w:rPr>
          <w:lang w:val="en-US"/>
        </w:rPr>
        <w:t xml:space="preserve">Family Medicine in the face of the law on medical aid in dying responsibility and guarantees. </w:t>
      </w:r>
      <w:r w:rsidRPr="00453316">
        <w:rPr>
          <w:i/>
          <w:iCs/>
          <w:lang w:val="en-US"/>
        </w:rPr>
        <w:t>Atencion Primaria</w:t>
      </w:r>
      <w:r w:rsidRPr="00453316">
        <w:rPr>
          <w:lang w:val="en-US"/>
        </w:rPr>
        <w:t xml:space="preserve">, </w:t>
      </w:r>
      <w:r w:rsidRPr="00453316">
        <w:rPr>
          <w:i/>
          <w:iCs/>
          <w:lang w:val="en-US"/>
        </w:rPr>
        <w:t>53</w:t>
      </w:r>
      <w:r w:rsidRPr="00453316">
        <w:rPr>
          <w:lang w:val="en-US"/>
        </w:rPr>
        <w:t xml:space="preserve">(5), 102058–102058. </w:t>
      </w:r>
      <w:hyperlink r:id="rId364" w:history="1">
        <w:r w:rsidRPr="00453316">
          <w:rPr>
            <w:rStyle w:val="Hyperlink"/>
            <w:lang w:val="en-US"/>
          </w:rPr>
          <w:t>https://europepmc.org/article/med/33873137</w:t>
        </w:r>
      </w:hyperlink>
    </w:p>
  </w:footnote>
  <w:footnote w:id="398">
    <w:p w14:paraId="60BD1E98" w14:textId="48265228" w:rsidR="00CE5861" w:rsidRPr="004646AE" w:rsidRDefault="00CE5861" w:rsidP="000753F3">
      <w:pPr>
        <w:pStyle w:val="FootnoteText"/>
        <w:jc w:val="both"/>
        <w:rPr>
          <w:lang w:val="de-DE"/>
        </w:rPr>
      </w:pPr>
      <w:r w:rsidRPr="00831EFD">
        <w:rPr>
          <w:rStyle w:val="FootnoteReference"/>
          <w:sz w:val="22"/>
          <w:szCs w:val="22"/>
        </w:rPr>
        <w:footnoteRef/>
      </w:r>
      <w:r w:rsidRPr="00453316">
        <w:rPr>
          <w:lang w:val="en-US"/>
        </w:rPr>
        <w:t xml:space="preserve"> Willmott, L., White, B., Stackpoole, C., Purser, K., &amp; McGee, A. (2016). (Failed) voluntary euthanasia law reform in Australia: Two decades of trends, models and politics. </w:t>
      </w:r>
      <w:r w:rsidRPr="004646AE">
        <w:rPr>
          <w:i/>
          <w:iCs/>
          <w:lang w:val="de-DE"/>
        </w:rPr>
        <w:t>UNSWLJ</w:t>
      </w:r>
      <w:r w:rsidRPr="004646AE">
        <w:rPr>
          <w:lang w:val="de-DE"/>
        </w:rPr>
        <w:t xml:space="preserve">, </w:t>
      </w:r>
      <w:r w:rsidRPr="004646AE">
        <w:rPr>
          <w:i/>
          <w:iCs/>
          <w:lang w:val="de-DE"/>
        </w:rPr>
        <w:t>39</w:t>
      </w:r>
      <w:r w:rsidRPr="004646AE">
        <w:rPr>
          <w:lang w:val="de-DE"/>
        </w:rPr>
        <w:t xml:space="preserve">, 1. </w:t>
      </w:r>
      <w:hyperlink r:id="rId365" w:history="1">
        <w:r w:rsidRPr="004646AE">
          <w:rPr>
            <w:rStyle w:val="Hyperlink"/>
            <w:lang w:val="de-DE"/>
          </w:rPr>
          <w:t>https://heinonline.org/hol-cgi-bin/get_pdf.cgi?handle=hein.journals/swales39&amp;section=5</w:t>
        </w:r>
      </w:hyperlink>
    </w:p>
  </w:footnote>
  <w:footnote w:id="399">
    <w:p w14:paraId="524B90CC" w14:textId="59456378" w:rsidR="00CE5861" w:rsidRPr="00453316" w:rsidRDefault="00CE5861" w:rsidP="000753F3">
      <w:pPr>
        <w:pStyle w:val="FootnoteText"/>
        <w:jc w:val="both"/>
        <w:rPr>
          <w:lang w:val="en-US"/>
        </w:rPr>
      </w:pPr>
      <w:r w:rsidRPr="00831EFD">
        <w:rPr>
          <w:rStyle w:val="FootnoteReference"/>
          <w:sz w:val="22"/>
          <w:szCs w:val="22"/>
        </w:rPr>
        <w:footnoteRef/>
      </w:r>
      <w:r w:rsidRPr="00ED3976">
        <w:rPr>
          <w:lang w:val="en-GB"/>
        </w:rPr>
        <w:t xml:space="preserve"> Pousset, G., Mortier, F., Bilsen, J., Cohen, J., &amp; Deliens, L. (2011). </w:t>
      </w:r>
      <w:r w:rsidRPr="00453316">
        <w:rPr>
          <w:lang w:val="en-US"/>
        </w:rPr>
        <w:t xml:space="preserve">Attitudes and practices of physicians regarding physician-assisted dying in minors. </w:t>
      </w:r>
      <w:r w:rsidRPr="00453316">
        <w:rPr>
          <w:i/>
          <w:iCs/>
          <w:lang w:val="en-US"/>
        </w:rPr>
        <w:t>Archives of Disease in Childhood</w:t>
      </w:r>
      <w:r w:rsidRPr="00453316">
        <w:rPr>
          <w:lang w:val="en-US"/>
        </w:rPr>
        <w:t xml:space="preserve">, </w:t>
      </w:r>
      <w:r w:rsidRPr="00453316">
        <w:rPr>
          <w:i/>
          <w:iCs/>
          <w:lang w:val="en-US"/>
        </w:rPr>
        <w:t>96</w:t>
      </w:r>
      <w:r w:rsidRPr="00453316">
        <w:rPr>
          <w:lang w:val="en-US"/>
        </w:rPr>
        <w:t xml:space="preserve">(10), 948–953. </w:t>
      </w:r>
      <w:hyperlink r:id="rId366" w:history="1">
        <w:r w:rsidRPr="00453316">
          <w:rPr>
            <w:rStyle w:val="Hyperlink"/>
            <w:lang w:val="en-US"/>
          </w:rPr>
          <w:t>https://adc.bmj.com/content/96/10/948</w:t>
        </w:r>
      </w:hyperlink>
      <w:r w:rsidRPr="00453316">
        <w:rPr>
          <w:lang w:val="en-US"/>
        </w:rPr>
        <w:t xml:space="preserve">.; Van Rickstal, R., De Vleminck, A., Chambaere, K., &amp; Van den Block, L. (2023). People with young-onset dementia and their family caregivers discussing euthanasia: A qualitative analysis of their considerations. </w:t>
      </w:r>
      <w:r w:rsidRPr="00453316">
        <w:rPr>
          <w:i/>
          <w:iCs/>
          <w:lang w:val="en-US"/>
        </w:rPr>
        <w:t>Patient Education and Counseling</w:t>
      </w:r>
      <w:r w:rsidRPr="00453316">
        <w:rPr>
          <w:lang w:val="en-US"/>
        </w:rPr>
        <w:t xml:space="preserve">, </w:t>
      </w:r>
      <w:r w:rsidRPr="00453316">
        <w:rPr>
          <w:i/>
          <w:iCs/>
          <w:lang w:val="en-US"/>
        </w:rPr>
        <w:t>115</w:t>
      </w:r>
      <w:r w:rsidRPr="00453316">
        <w:rPr>
          <w:lang w:val="en-US"/>
        </w:rPr>
        <w:t xml:space="preserve">, 107882. </w:t>
      </w:r>
      <w:hyperlink r:id="rId367" w:history="1">
        <w:r w:rsidRPr="00453316">
          <w:rPr>
            <w:rStyle w:val="Hyperlink"/>
            <w:lang w:val="en-US"/>
          </w:rPr>
          <w:t>https://www.sciencedirect.com/science/article/pii/S0738399123002628</w:t>
        </w:r>
      </w:hyperlink>
    </w:p>
  </w:footnote>
  <w:footnote w:id="400">
    <w:p w14:paraId="37FECB4F" w14:textId="608BF765" w:rsidR="00CE5861" w:rsidRPr="00ED3976" w:rsidRDefault="00CE5861" w:rsidP="000753F3">
      <w:pPr>
        <w:pStyle w:val="FootnoteText"/>
        <w:jc w:val="both"/>
        <w:rPr>
          <w:lang w:val="en-US"/>
        </w:rPr>
      </w:pPr>
      <w:r w:rsidRPr="00831EFD">
        <w:rPr>
          <w:rStyle w:val="FootnoteReference"/>
          <w:sz w:val="22"/>
          <w:szCs w:val="22"/>
        </w:rPr>
        <w:footnoteRef/>
      </w:r>
      <w:r w:rsidRPr="00453316">
        <w:rPr>
          <w:lang w:val="en-US"/>
        </w:rPr>
        <w:t xml:space="preserve"> - De Hert, M., Thys, E., Catthoor, K., Van den Broeck, K., Matthys, F., Vansteelandt, K., &amp; Detraux, J. (2023). Media coverage of Belgium’s first criminal case concerning euthanasia for psychiatric patients: A content analysis of Flemish newspapers and magazines. </w:t>
      </w:r>
      <w:r w:rsidRPr="00ED3976">
        <w:rPr>
          <w:i/>
          <w:iCs/>
          <w:lang w:val="en-US"/>
        </w:rPr>
        <w:t>Frontiers in Psychiatry</w:t>
      </w:r>
      <w:r w:rsidRPr="00ED3976">
        <w:rPr>
          <w:lang w:val="en-US"/>
        </w:rPr>
        <w:t xml:space="preserve">, </w:t>
      </w:r>
      <w:r w:rsidRPr="00ED3976">
        <w:rPr>
          <w:i/>
          <w:iCs/>
          <w:lang w:val="en-US"/>
        </w:rPr>
        <w:t>13</w:t>
      </w:r>
      <w:r w:rsidRPr="00ED3976">
        <w:rPr>
          <w:lang w:val="en-US"/>
        </w:rPr>
        <w:t xml:space="preserve">, 1050086. </w:t>
      </w:r>
      <w:hyperlink r:id="rId368" w:history="1">
        <w:r w:rsidRPr="00ED3976">
          <w:rPr>
            <w:rStyle w:val="Hyperlink"/>
            <w:lang w:val="en-US"/>
          </w:rPr>
          <w:t>https://www.frontiersin.org/articles/10.3389/fpsyt.2022.1050086/full</w:t>
        </w:r>
      </w:hyperlink>
    </w:p>
  </w:footnote>
  <w:footnote w:id="401">
    <w:p w14:paraId="44CA7070" w14:textId="3B439023" w:rsidR="00CE5861" w:rsidRPr="00453316" w:rsidRDefault="00CE5861" w:rsidP="000753F3">
      <w:pPr>
        <w:pStyle w:val="FootnoteText"/>
        <w:jc w:val="both"/>
        <w:rPr>
          <w:lang w:val="en-US"/>
        </w:rPr>
      </w:pPr>
      <w:r w:rsidRPr="00831EFD">
        <w:rPr>
          <w:rStyle w:val="FootnoteReference"/>
          <w:sz w:val="22"/>
          <w:szCs w:val="22"/>
        </w:rPr>
        <w:footnoteRef/>
      </w:r>
      <w:r w:rsidRPr="00BB574A">
        <w:rPr>
          <w:lang w:val="en-US"/>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69" w:history="1">
        <w:r w:rsidRPr="00453316">
          <w:rPr>
            <w:rStyle w:val="Hyperlink"/>
            <w:lang w:val="en-US"/>
          </w:rPr>
          <w:t>https://www.thelancet.com/journals/lancet/article/PIIS0140-6736(12)61034-4/abstract</w:t>
        </w:r>
      </w:hyperlink>
    </w:p>
  </w:footnote>
  <w:footnote w:id="402">
    <w:p w14:paraId="25485141" w14:textId="78702EF7" w:rsidR="00CE5861" w:rsidRPr="00DE73E3" w:rsidRDefault="00CE5861" w:rsidP="000753F3">
      <w:pPr>
        <w:pStyle w:val="FootnoteText"/>
        <w:jc w:val="both"/>
        <w:rPr>
          <w:lang w:val="es-ES"/>
        </w:rPr>
      </w:pPr>
      <w:r w:rsidRPr="00831EFD">
        <w:rPr>
          <w:rStyle w:val="FootnoteReference"/>
          <w:sz w:val="22"/>
          <w:szCs w:val="22"/>
        </w:rPr>
        <w:footnoteRef/>
      </w:r>
      <w:r w:rsidRPr="00453316">
        <w:rPr>
          <w:lang w:val="en-US"/>
        </w:rPr>
        <w:t xml:space="preserve"> Bernal, V., &amp; Trejo-Gabriel-Galan, J. M. (2021). Euthanasia laws in Spain and in the world: Medical aspects. </w:t>
      </w:r>
      <w:r w:rsidRPr="00DE73E3">
        <w:rPr>
          <w:i/>
          <w:iCs/>
          <w:lang w:val="es-ES"/>
        </w:rPr>
        <w:t>Atencion Primaria</w:t>
      </w:r>
      <w:r w:rsidRPr="00DE73E3">
        <w:rPr>
          <w:lang w:val="es-ES"/>
        </w:rPr>
        <w:t xml:space="preserve">, </w:t>
      </w:r>
      <w:r w:rsidRPr="00DE73E3">
        <w:rPr>
          <w:i/>
          <w:iCs/>
          <w:lang w:val="es-ES"/>
        </w:rPr>
        <w:t>54</w:t>
      </w:r>
      <w:r w:rsidRPr="00DE73E3">
        <w:rPr>
          <w:lang w:val="es-ES"/>
        </w:rPr>
        <w:t xml:space="preserve">(1), 102170–102170. </w:t>
      </w:r>
      <w:hyperlink r:id="rId370" w:history="1">
        <w:r w:rsidRPr="00DE73E3">
          <w:rPr>
            <w:rStyle w:val="Hyperlink"/>
            <w:lang w:val="es-ES"/>
          </w:rPr>
          <w:t>https://europepmc.org/article/med/34798415</w:t>
        </w:r>
      </w:hyperlink>
    </w:p>
  </w:footnote>
  <w:footnote w:id="403">
    <w:p w14:paraId="6261F8E9" w14:textId="194000F5" w:rsidR="00CE5861" w:rsidRPr="00471553" w:rsidRDefault="00CE5861" w:rsidP="000753F3">
      <w:pPr>
        <w:pStyle w:val="FootnoteText"/>
        <w:jc w:val="both"/>
        <w:rPr>
          <w:lang w:val="da-DK"/>
        </w:rPr>
      </w:pPr>
      <w:r w:rsidRPr="00831EFD">
        <w:rPr>
          <w:rStyle w:val="FootnoteReference"/>
          <w:sz w:val="22"/>
          <w:szCs w:val="22"/>
        </w:rPr>
        <w:footnoteRef/>
      </w:r>
      <w:r w:rsidRPr="00471553">
        <w:rPr>
          <w:lang w:val="es-ES"/>
        </w:rPr>
        <w:t xml:space="preserve"> Gramm, J. (2017). Palliativversorgung. </w:t>
      </w:r>
      <w:r w:rsidRPr="00471553">
        <w:rPr>
          <w:i/>
          <w:iCs/>
          <w:lang w:val="da-DK"/>
        </w:rPr>
        <w:t>Nervenheilkunde</w:t>
      </w:r>
      <w:r w:rsidRPr="00471553">
        <w:rPr>
          <w:lang w:val="da-DK"/>
        </w:rPr>
        <w:t xml:space="preserve">, </w:t>
      </w:r>
      <w:r w:rsidRPr="00471553">
        <w:rPr>
          <w:i/>
          <w:iCs/>
          <w:lang w:val="da-DK"/>
        </w:rPr>
        <w:t>36</w:t>
      </w:r>
      <w:r w:rsidRPr="00471553">
        <w:rPr>
          <w:lang w:val="da-DK"/>
        </w:rPr>
        <w:t xml:space="preserve">(12), 993–996. </w:t>
      </w:r>
      <w:hyperlink r:id="rId371" w:history="1">
        <w:r w:rsidRPr="00471553">
          <w:rPr>
            <w:rStyle w:val="Hyperlink"/>
            <w:lang w:val="da-DK"/>
          </w:rPr>
          <w:t>https://doi.org/10.1055/s-0038-1636952</w:t>
        </w:r>
      </w:hyperlink>
    </w:p>
  </w:footnote>
  <w:footnote w:id="404">
    <w:p w14:paraId="6396FBBA" w14:textId="6830D546" w:rsidR="00CE5861" w:rsidRPr="00453316" w:rsidRDefault="00CE5861" w:rsidP="000753F3">
      <w:pPr>
        <w:pStyle w:val="FootnoteText"/>
        <w:jc w:val="both"/>
        <w:rPr>
          <w:lang w:val="en-US"/>
        </w:rPr>
      </w:pPr>
      <w:r w:rsidRPr="00831EFD">
        <w:rPr>
          <w:rStyle w:val="FootnoteReference"/>
          <w:sz w:val="22"/>
          <w:szCs w:val="22"/>
        </w:rPr>
        <w:footnoteRef/>
      </w:r>
      <w:r w:rsidRPr="00DE73E3">
        <w:rPr>
          <w:lang w:val="da-DK"/>
        </w:rPr>
        <w:t xml:space="preserve"> Smets, T., Bilsen, J., Cohen, J., Rurup, M. L., &amp; Deliens, L. (2010). </w:t>
      </w:r>
      <w:r w:rsidRPr="00453316">
        <w:rPr>
          <w:lang w:val="en-US"/>
        </w:rPr>
        <w:t xml:space="preserve">Legal euthanasia in Belgium: Characteristics of all reported euthanasia cases. </w:t>
      </w:r>
      <w:r w:rsidRPr="00453316">
        <w:rPr>
          <w:i/>
          <w:iCs/>
          <w:lang w:val="en-US"/>
        </w:rPr>
        <w:t>Medical Care</w:t>
      </w:r>
      <w:r w:rsidRPr="00453316">
        <w:rPr>
          <w:lang w:val="en-US"/>
        </w:rPr>
        <w:t xml:space="preserve">, </w:t>
      </w:r>
      <w:r w:rsidRPr="00453316">
        <w:rPr>
          <w:i/>
          <w:iCs/>
          <w:lang w:val="en-US"/>
        </w:rPr>
        <w:t>48</w:t>
      </w:r>
      <w:r w:rsidRPr="00453316">
        <w:rPr>
          <w:lang w:val="en-US"/>
        </w:rPr>
        <w:t xml:space="preserve">(2), 187–192. </w:t>
      </w:r>
      <w:hyperlink r:id="rId372" w:history="1">
        <w:r w:rsidRPr="00453316">
          <w:rPr>
            <w:rStyle w:val="Hyperlink"/>
            <w:lang w:val="en-US"/>
          </w:rPr>
          <w:t>https://journals.lww.com/lww-medicalcare/fulltext/2010/02000/The_Work_Limitations_Questionnaire.15.aspx</w:t>
        </w:r>
      </w:hyperlink>
      <w:r w:rsidRPr="00453316">
        <w:rPr>
          <w:lang w:val="en-US"/>
        </w:rPr>
        <w:t xml:space="preserve">; Chambaere, K., Bilsen, J., Cohen, J., Onwuteaka-Philipsen, B. D., Mortier, F., &amp; Deliens, L. (2010). Physician-assisted deaths under the euthanasia law in Belgium: A population-based survey. </w:t>
      </w:r>
      <w:r w:rsidRPr="00453316">
        <w:rPr>
          <w:i/>
          <w:iCs/>
          <w:lang w:val="en-US"/>
        </w:rPr>
        <w:t>CMAJ</w:t>
      </w:r>
      <w:r w:rsidRPr="00453316">
        <w:rPr>
          <w:lang w:val="en-US"/>
        </w:rPr>
        <w:t xml:space="preserve">, </w:t>
      </w:r>
      <w:r w:rsidRPr="00453316">
        <w:rPr>
          <w:i/>
          <w:iCs/>
          <w:lang w:val="en-US"/>
        </w:rPr>
        <w:t>182</w:t>
      </w:r>
      <w:r w:rsidRPr="00453316">
        <w:rPr>
          <w:lang w:val="en-US"/>
        </w:rPr>
        <w:t xml:space="preserve">(9), 895–901. </w:t>
      </w:r>
      <w:hyperlink r:id="rId373" w:history="1">
        <w:r w:rsidRPr="00453316">
          <w:rPr>
            <w:rStyle w:val="Hyperlink"/>
            <w:lang w:val="en-US"/>
          </w:rPr>
          <w:t>https://www.cmaj.ca/content/182/9/895.short</w:t>
        </w:r>
      </w:hyperlink>
      <w:r w:rsidRPr="00453316">
        <w:rPr>
          <w:lang w:val="en-US"/>
        </w:rPr>
        <w:t xml:space="preserve">; Chambaere, K., Bilsen, J., Cohen, J., Onwuteaka-Philipsen, B. D., Mortier, F., &amp; Deliens, L. (2011). Trends in Medical End-of-Life Decision Making in Flanders, Belgium 1998–2001–2007. </w:t>
      </w:r>
      <w:r w:rsidRPr="00453316">
        <w:rPr>
          <w:i/>
          <w:iCs/>
          <w:lang w:val="en-US"/>
        </w:rPr>
        <w:t>Medical Decision Making</w:t>
      </w:r>
      <w:r w:rsidRPr="00453316">
        <w:rPr>
          <w:lang w:val="en-US"/>
        </w:rPr>
        <w:t xml:space="preserve">, </w:t>
      </w:r>
      <w:r w:rsidRPr="00453316">
        <w:rPr>
          <w:i/>
          <w:iCs/>
          <w:lang w:val="en-US"/>
        </w:rPr>
        <w:t>31</w:t>
      </w:r>
      <w:r w:rsidRPr="00453316">
        <w:rPr>
          <w:lang w:val="en-US"/>
        </w:rPr>
        <w:t xml:space="preserve">(3). </w:t>
      </w:r>
      <w:hyperlink r:id="rId374" w:history="1">
        <w:r w:rsidRPr="00453316">
          <w:rPr>
            <w:rStyle w:val="Hyperlink"/>
            <w:lang w:val="en-US"/>
          </w:rPr>
          <w:t>https://doi.org/10.1177/0272989X10392379</w:t>
        </w:r>
      </w:hyperlink>
      <w:r w:rsidRPr="00453316">
        <w:rPr>
          <w:lang w:val="en-US"/>
        </w:rPr>
        <w:t xml:space="preserve">; Chambaere, K., Rietjens, J. A. C., Smets, T., Bilsen, J., Deschepper, R., Pasman, H. R. W., &amp; Deliens, L. (2012). Age-based disparities in end-of-life decisions in Belgium: A population-based death certificate survey. </w:t>
      </w:r>
      <w:r w:rsidRPr="00453316">
        <w:rPr>
          <w:i/>
          <w:iCs/>
          <w:lang w:val="en-US"/>
        </w:rPr>
        <w:t>BMC Public Health</w:t>
      </w:r>
      <w:r w:rsidRPr="00453316">
        <w:rPr>
          <w:lang w:val="en-US"/>
        </w:rPr>
        <w:t xml:space="preserve">, </w:t>
      </w:r>
      <w:r w:rsidRPr="00453316">
        <w:rPr>
          <w:i/>
          <w:iCs/>
          <w:lang w:val="en-US"/>
        </w:rPr>
        <w:t>12</w:t>
      </w:r>
      <w:r w:rsidRPr="00453316">
        <w:rPr>
          <w:lang w:val="en-US"/>
        </w:rPr>
        <w:t xml:space="preserve">(1), 447. </w:t>
      </w:r>
      <w:hyperlink r:id="rId375" w:history="1">
        <w:r w:rsidRPr="00453316">
          <w:rPr>
            <w:rStyle w:val="Hyperlink"/>
            <w:lang w:val="en-US"/>
          </w:rPr>
          <w:t>https://doi.org/10.1186/1471-2458-12-447</w:t>
        </w:r>
      </w:hyperlink>
    </w:p>
  </w:footnote>
  <w:footnote w:id="405">
    <w:p w14:paraId="3243FCCA" w14:textId="3491CD02" w:rsidR="00CE5861" w:rsidRPr="00453316" w:rsidRDefault="00CE5861" w:rsidP="000753F3">
      <w:pPr>
        <w:pStyle w:val="FootnoteText"/>
        <w:jc w:val="both"/>
        <w:rPr>
          <w:sz w:val="22"/>
          <w:szCs w:val="22"/>
          <w:lang w:val="en-US"/>
        </w:rPr>
      </w:pPr>
      <w:r w:rsidRPr="00831EFD">
        <w:rPr>
          <w:rStyle w:val="FootnoteReference"/>
          <w:sz w:val="22"/>
          <w:szCs w:val="22"/>
        </w:rPr>
        <w:footnoteRef/>
      </w:r>
      <w:r w:rsidRPr="00453316">
        <w:rPr>
          <w:lang w:val="en-US"/>
        </w:rPr>
        <w:t xml:space="preserve"> Sercu, M., Pype, P., Christiaens, T., Grypdonck, M., Derese, A., &amp; Deveugele, M. (2012). Are general practitioners prepared to end life on request in a country where euthanasia is legalised? </w:t>
      </w:r>
      <w:r w:rsidRPr="00453316">
        <w:rPr>
          <w:i/>
          <w:iCs/>
          <w:lang w:val="en-US"/>
        </w:rPr>
        <w:t>Journal of Medical Ethics</w:t>
      </w:r>
      <w:r w:rsidRPr="00453316">
        <w:rPr>
          <w:lang w:val="en-US"/>
        </w:rPr>
        <w:t xml:space="preserve">, </w:t>
      </w:r>
      <w:r w:rsidRPr="00453316">
        <w:rPr>
          <w:i/>
          <w:iCs/>
          <w:lang w:val="en-US"/>
        </w:rPr>
        <w:t>38</w:t>
      </w:r>
      <w:r w:rsidRPr="00453316">
        <w:rPr>
          <w:lang w:val="en-US"/>
        </w:rPr>
        <w:t xml:space="preserve">(5), 274–280. </w:t>
      </w:r>
      <w:hyperlink r:id="rId376" w:history="1">
        <w:r w:rsidRPr="00453316">
          <w:rPr>
            <w:rStyle w:val="Hyperlink"/>
            <w:lang w:val="en-US"/>
          </w:rPr>
          <w:t>https://jme.bmj.com/content/38/5/274.short</w:t>
        </w:r>
      </w:hyperlink>
      <w:r w:rsidRPr="00453316">
        <w:rPr>
          <w:lang w:val="en-US"/>
        </w:rPr>
        <w:t xml:space="preserve">; Verhofstadt, M., Van Assche, K., Pardon, K., Gleydura, M., Titeca, K., &amp; Chambaere, K. (2024). Perspectives on the eligibility criteria for euthanasia for mental suffering caused by psychiatric disorder under the Belgian Euthanasia Law: A qualitative interview study among mental healthcare workers. </w:t>
      </w:r>
      <w:r w:rsidRPr="00453316">
        <w:rPr>
          <w:i/>
          <w:iCs/>
          <w:lang w:val="en-US"/>
        </w:rPr>
        <w:t>International Journal of Law and Psychiatry</w:t>
      </w:r>
      <w:r w:rsidRPr="00453316">
        <w:rPr>
          <w:lang w:val="en-US"/>
        </w:rPr>
        <w:t xml:space="preserve">, </w:t>
      </w:r>
      <w:r w:rsidRPr="00453316">
        <w:rPr>
          <w:i/>
          <w:iCs/>
          <w:lang w:val="en-US"/>
        </w:rPr>
        <w:t>93</w:t>
      </w:r>
      <w:r w:rsidRPr="00453316">
        <w:rPr>
          <w:lang w:val="en-US"/>
        </w:rPr>
        <w:t xml:space="preserve">, 101961. </w:t>
      </w:r>
      <w:hyperlink r:id="rId377" w:history="1">
        <w:r w:rsidRPr="00453316">
          <w:rPr>
            <w:rStyle w:val="Hyperlink"/>
            <w:lang w:val="en-US"/>
          </w:rPr>
          <w:t>https://www.sciencedirect.com/science/article/pii/S0160252724000104</w:t>
        </w:r>
      </w:hyperlink>
    </w:p>
  </w:footnote>
  <w:footnote w:id="406">
    <w:p w14:paraId="7545B2A3" w14:textId="407D0E0E" w:rsidR="00CE5861" w:rsidRPr="00453316" w:rsidRDefault="00CE5861" w:rsidP="000753F3">
      <w:pPr>
        <w:pStyle w:val="FootnoteText"/>
        <w:jc w:val="both"/>
        <w:rPr>
          <w:lang w:val="en-US"/>
        </w:rPr>
      </w:pPr>
      <w:r w:rsidRPr="00831EFD">
        <w:rPr>
          <w:rStyle w:val="FootnoteReference"/>
          <w:sz w:val="22"/>
          <w:szCs w:val="22"/>
        </w:rPr>
        <w:footnoteRef/>
      </w:r>
      <w:r w:rsidRPr="004646AE">
        <w:rPr>
          <w:lang w:val="de-DE"/>
        </w:rPr>
        <w:t xml:space="preserve"> Onwuteaka-Philipsen, B. D., Brinkman-Stoppelenburg, A., Penning, C., de Jong-Krul, G. J., Van Delden, J. J., &amp; Van Der Heide, A. (2012). </w:t>
      </w:r>
      <w:r w:rsidRPr="00453316">
        <w:rPr>
          <w:lang w:val="en-US"/>
        </w:rPr>
        <w:t xml:space="preserve">Trends in end-of-life practices before and after the enactment of the euthanasia law in the Netherlands from 1990 to 2010: A repeated cross-sectional survey. </w:t>
      </w:r>
      <w:r w:rsidRPr="00453316">
        <w:rPr>
          <w:i/>
          <w:iCs/>
          <w:lang w:val="en-US"/>
        </w:rPr>
        <w:t>The Lancet</w:t>
      </w:r>
      <w:r w:rsidRPr="00453316">
        <w:rPr>
          <w:lang w:val="en-US"/>
        </w:rPr>
        <w:t xml:space="preserve">, </w:t>
      </w:r>
      <w:r w:rsidRPr="00453316">
        <w:rPr>
          <w:i/>
          <w:iCs/>
          <w:lang w:val="en-US"/>
        </w:rPr>
        <w:t>380</w:t>
      </w:r>
      <w:r w:rsidRPr="00453316">
        <w:rPr>
          <w:lang w:val="en-US"/>
        </w:rPr>
        <w:t xml:space="preserve">(9845), 908–915. </w:t>
      </w:r>
      <w:hyperlink r:id="rId378" w:history="1">
        <w:r w:rsidRPr="00453316">
          <w:rPr>
            <w:rStyle w:val="Hyperlink"/>
            <w:lang w:val="en-US"/>
          </w:rPr>
          <w:t>https://www.thelancet.com/journals/lancet/article/PIIS0140-6736(12)61034-4/abstract</w:t>
        </w:r>
      </w:hyperlink>
    </w:p>
  </w:footnote>
  <w:footnote w:id="407">
    <w:p w14:paraId="0DE30E94" w14:textId="0E91C377" w:rsidR="00CE5861" w:rsidRPr="00DE73E3" w:rsidRDefault="00CE5861" w:rsidP="000753F3">
      <w:pPr>
        <w:pStyle w:val="FootnoteText"/>
        <w:jc w:val="both"/>
        <w:rPr>
          <w:lang w:val="es-ES"/>
        </w:rPr>
      </w:pPr>
      <w:r w:rsidRPr="00831EFD">
        <w:rPr>
          <w:rStyle w:val="FootnoteReference"/>
          <w:sz w:val="22"/>
          <w:szCs w:val="22"/>
        </w:rPr>
        <w:footnoteRef/>
      </w:r>
      <w:r w:rsidRPr="00DE73E3">
        <w:rPr>
          <w:lang w:val="es-ES"/>
        </w:rPr>
        <w:t xml:space="preserve"> Paradela-López, M., &amp; Jima-González, A. (2023). </w:t>
      </w:r>
      <w:r w:rsidRPr="00453316">
        <w:rPr>
          <w:lang w:val="en-US"/>
        </w:rPr>
        <w:t xml:space="preserve">Analyzing the Spanish Euthanasia Law: Achievements and inconsistencies of the legal assistance to die. </w:t>
      </w:r>
      <w:r w:rsidRPr="00DE73E3">
        <w:rPr>
          <w:i/>
          <w:iCs/>
          <w:lang w:val="es-ES"/>
        </w:rPr>
        <w:t>Rev. Bioetica &amp; Derecho</w:t>
      </w:r>
      <w:r w:rsidRPr="00DE73E3">
        <w:rPr>
          <w:lang w:val="es-ES"/>
        </w:rPr>
        <w:t xml:space="preserve">, </w:t>
      </w:r>
      <w:r w:rsidRPr="00DE73E3">
        <w:rPr>
          <w:i/>
          <w:iCs/>
          <w:lang w:val="es-ES"/>
        </w:rPr>
        <w:t>58</w:t>
      </w:r>
      <w:r w:rsidRPr="00DE73E3">
        <w:rPr>
          <w:lang w:val="es-ES"/>
        </w:rPr>
        <w:t xml:space="preserve">, 147. </w:t>
      </w:r>
      <w:hyperlink r:id="rId379" w:history="1">
        <w:r w:rsidRPr="00DE73E3">
          <w:rPr>
            <w:rStyle w:val="Hyperlink"/>
            <w:lang w:val="es-ES"/>
          </w:rPr>
          <w:t>https://heinonline.org/hol-cgi-bin/get_pdf.cgi?handle=hein.journals/rebiod58&amp;section=11</w:t>
        </w:r>
      </w:hyperlink>
      <w:r w:rsidRPr="00DE73E3">
        <w:rPr>
          <w:lang w:val="es-ES"/>
        </w:rPr>
        <w:t xml:space="preserve">; Novoa-Jurado, A., &amp; Melguizo-Jiménez, M. (2021). </w:t>
      </w:r>
      <w:r w:rsidRPr="00453316">
        <w:rPr>
          <w:lang w:val="en-US"/>
        </w:rPr>
        <w:t xml:space="preserve">Family Medicine in the face of the law on medical aid in dying responsibility and guarantees. </w:t>
      </w:r>
      <w:r w:rsidRPr="00DE73E3">
        <w:rPr>
          <w:i/>
          <w:iCs/>
          <w:lang w:val="es-ES"/>
        </w:rPr>
        <w:t>Atencion Primaria</w:t>
      </w:r>
      <w:r w:rsidRPr="00DE73E3">
        <w:rPr>
          <w:lang w:val="es-ES"/>
        </w:rPr>
        <w:t xml:space="preserve">, </w:t>
      </w:r>
      <w:r w:rsidRPr="00DE73E3">
        <w:rPr>
          <w:i/>
          <w:iCs/>
          <w:lang w:val="es-ES"/>
        </w:rPr>
        <w:t>53</w:t>
      </w:r>
      <w:r w:rsidRPr="00DE73E3">
        <w:rPr>
          <w:lang w:val="es-ES"/>
        </w:rPr>
        <w:t xml:space="preserve">(5), 102058–102058. </w:t>
      </w:r>
      <w:hyperlink r:id="rId380" w:history="1">
        <w:r w:rsidRPr="00DE73E3">
          <w:rPr>
            <w:rStyle w:val="Hyperlink"/>
            <w:lang w:val="es-ES"/>
          </w:rPr>
          <w:t>https://europepmc.org/article/med/33873137</w:t>
        </w:r>
      </w:hyperlink>
    </w:p>
  </w:footnote>
  <w:footnote w:id="408">
    <w:p w14:paraId="5AB304E1" w14:textId="0634C750" w:rsidR="00CE5861" w:rsidRPr="00453316" w:rsidRDefault="00CE5861" w:rsidP="000753F3">
      <w:pPr>
        <w:pStyle w:val="FootnoteText"/>
        <w:jc w:val="both"/>
        <w:rPr>
          <w:lang w:val="en-US"/>
        </w:rPr>
      </w:pPr>
      <w:r w:rsidRPr="00831EFD">
        <w:rPr>
          <w:rStyle w:val="FootnoteReference"/>
          <w:sz w:val="22"/>
          <w:szCs w:val="22"/>
        </w:rPr>
        <w:footnoteRef/>
      </w:r>
      <w:r w:rsidRPr="00DE73E3">
        <w:rPr>
          <w:lang w:val="es-ES"/>
        </w:rPr>
        <w:t xml:space="preserve"> Smets, T., Cohen, J., Bilsen, J., Van Wesemael, Y., Rurup, M. L., &amp; Deliens, L. (2011). </w:t>
      </w:r>
      <w:r w:rsidRPr="00453316">
        <w:rPr>
          <w:lang w:val="en-US"/>
        </w:rPr>
        <w:t xml:space="preserve">Attitudes and experiences of Belgian physicians regarding euthanasia practice and the euthanasia law. </w:t>
      </w:r>
      <w:r w:rsidRPr="00453316">
        <w:rPr>
          <w:i/>
          <w:iCs/>
          <w:lang w:val="en-US"/>
        </w:rPr>
        <w:t>Journal of Pain and Symptom Management</w:t>
      </w:r>
      <w:r w:rsidRPr="00453316">
        <w:rPr>
          <w:lang w:val="en-US"/>
        </w:rPr>
        <w:t xml:space="preserve">, </w:t>
      </w:r>
      <w:r w:rsidRPr="00453316">
        <w:rPr>
          <w:i/>
          <w:iCs/>
          <w:lang w:val="en-US"/>
        </w:rPr>
        <w:t>41</w:t>
      </w:r>
      <w:r w:rsidRPr="00453316">
        <w:rPr>
          <w:lang w:val="en-US"/>
        </w:rPr>
        <w:t xml:space="preserve">(3), 580–593. </w:t>
      </w:r>
      <w:hyperlink r:id="rId381" w:history="1">
        <w:r w:rsidRPr="00453316">
          <w:rPr>
            <w:rStyle w:val="Hyperlink"/>
            <w:lang w:val="en-US"/>
          </w:rPr>
          <w:t>https://www.sciencedirect.com/science/article/pii/S0885392410006937</w:t>
        </w:r>
      </w:hyperlink>
      <w:r w:rsidRPr="00453316">
        <w:rPr>
          <w:lang w:val="en-US"/>
        </w:rPr>
        <w:t xml:space="preserve">; Bergman, T. D., Pasman, H. R. W., &amp; Onwuteaka-Philipsen, B. D. (2020). Complexities in consultations in case of euthanasia or physician-assisted suicide: A survey among SCEN physicians. </w:t>
      </w:r>
      <w:r w:rsidRPr="00453316">
        <w:rPr>
          <w:i/>
          <w:iCs/>
          <w:lang w:val="en-US"/>
        </w:rPr>
        <w:t>BMC Family Practice</w:t>
      </w:r>
      <w:r w:rsidRPr="00453316">
        <w:rPr>
          <w:lang w:val="en-US"/>
        </w:rPr>
        <w:t xml:space="preserve">, </w:t>
      </w:r>
      <w:r w:rsidRPr="00453316">
        <w:rPr>
          <w:i/>
          <w:iCs/>
          <w:lang w:val="en-US"/>
        </w:rPr>
        <w:t>21</w:t>
      </w:r>
      <w:r w:rsidRPr="00453316">
        <w:rPr>
          <w:lang w:val="en-US"/>
        </w:rPr>
        <w:t xml:space="preserve">(1), 6. </w:t>
      </w:r>
      <w:hyperlink r:id="rId382" w:history="1">
        <w:r w:rsidRPr="00453316">
          <w:rPr>
            <w:rStyle w:val="Hyperlink"/>
            <w:lang w:val="en-US"/>
          </w:rPr>
          <w:t>https://doi.org/10.1186/s12875-019-1063-z</w:t>
        </w:r>
      </w:hyperlink>
    </w:p>
  </w:footnote>
  <w:footnote w:id="409">
    <w:p w14:paraId="20CEFFA9" w14:textId="6AB1C487" w:rsidR="00CE5861" w:rsidRPr="00453316" w:rsidRDefault="00CE5861" w:rsidP="000753F3">
      <w:pPr>
        <w:pStyle w:val="FootnoteText"/>
        <w:jc w:val="both"/>
        <w:rPr>
          <w:lang w:val="en-US"/>
        </w:rPr>
      </w:pPr>
      <w:r w:rsidRPr="00831EFD">
        <w:rPr>
          <w:rStyle w:val="FootnoteReference"/>
        </w:rPr>
        <w:footnoteRef/>
      </w:r>
      <w:r w:rsidRPr="00453316">
        <w:rPr>
          <w:lang w:val="en-US"/>
        </w:rPr>
        <w:t xml:space="preserve"> De Hert, M., Thys, E., Catthoor, K., Van den Broeck, K., Matthys, F., Vansteelandt, K., &amp; Detraux, J. (2023). Media coverage of Belgium’s first criminal case concerning euthanasia for psychiatric patients: A content analysis of Flemish newspapers and magazines. </w:t>
      </w:r>
      <w:r w:rsidRPr="00453316">
        <w:rPr>
          <w:i/>
          <w:iCs/>
          <w:lang w:val="en-US"/>
        </w:rPr>
        <w:t>Frontiers in Psychiatry</w:t>
      </w:r>
      <w:r w:rsidRPr="00453316">
        <w:rPr>
          <w:lang w:val="en-US"/>
        </w:rPr>
        <w:t xml:space="preserve">, </w:t>
      </w:r>
      <w:r w:rsidRPr="00453316">
        <w:rPr>
          <w:i/>
          <w:iCs/>
          <w:lang w:val="en-US"/>
        </w:rPr>
        <w:t>13</w:t>
      </w:r>
      <w:r w:rsidRPr="00453316">
        <w:rPr>
          <w:lang w:val="en-US"/>
        </w:rPr>
        <w:t>, 1050086. https://www.frontiersin.org/articles/10.3389/fpsyt.2022.1050086/full</w:t>
      </w:r>
    </w:p>
  </w:footnote>
  <w:footnote w:id="410">
    <w:p w14:paraId="4032BAA8" w14:textId="2465533C" w:rsidR="00CE5861" w:rsidRPr="00DE73E3" w:rsidRDefault="00CE5861" w:rsidP="000753F3">
      <w:pPr>
        <w:pStyle w:val="FootnoteText"/>
        <w:jc w:val="both"/>
        <w:rPr>
          <w:lang w:val="es-ES"/>
        </w:rPr>
      </w:pPr>
      <w:r w:rsidRPr="00831EFD">
        <w:rPr>
          <w:rStyle w:val="FootnoteReference"/>
        </w:rPr>
        <w:footnoteRef/>
      </w:r>
      <w:r w:rsidRPr="00453316">
        <w:rPr>
          <w:lang w:val="en-US"/>
        </w:rPr>
        <w:t xml:space="preserve"> Bernal, V., &amp; Trejo-Gabriel-Galan, J. M. (2021). Euthanasia laws in Spain and in the world: Medical aspects. </w:t>
      </w:r>
      <w:r w:rsidRPr="00DE73E3">
        <w:rPr>
          <w:i/>
          <w:iCs/>
          <w:lang w:val="es-ES"/>
        </w:rPr>
        <w:t>Atencion Primaria</w:t>
      </w:r>
      <w:r w:rsidRPr="00DE73E3">
        <w:rPr>
          <w:lang w:val="es-ES"/>
        </w:rPr>
        <w:t xml:space="preserve">, </w:t>
      </w:r>
      <w:r w:rsidRPr="00DE73E3">
        <w:rPr>
          <w:i/>
          <w:iCs/>
          <w:lang w:val="es-ES"/>
        </w:rPr>
        <w:t>54</w:t>
      </w:r>
      <w:r w:rsidRPr="00DE73E3">
        <w:rPr>
          <w:lang w:val="es-ES"/>
        </w:rPr>
        <w:t xml:space="preserve">(1), 102170–102170. </w:t>
      </w:r>
      <w:hyperlink r:id="rId383" w:history="1">
        <w:r w:rsidRPr="00DE73E3">
          <w:rPr>
            <w:rStyle w:val="Hyperlink"/>
            <w:lang w:val="es-ES"/>
          </w:rPr>
          <w:t>https://europepmc.org/article/med/34798415</w:t>
        </w:r>
      </w:hyperlink>
    </w:p>
  </w:footnote>
  <w:footnote w:id="411">
    <w:p w14:paraId="752F84B6" w14:textId="7964437A" w:rsidR="00CE5861" w:rsidRPr="00ED3976" w:rsidRDefault="00CE5861" w:rsidP="000753F3">
      <w:pPr>
        <w:pStyle w:val="FootnoteText"/>
        <w:jc w:val="both"/>
        <w:rPr>
          <w:sz w:val="18"/>
          <w:szCs w:val="18"/>
          <w:lang w:val="en-US"/>
        </w:rPr>
      </w:pPr>
      <w:r w:rsidRPr="00831EFD">
        <w:rPr>
          <w:rStyle w:val="FootnoteReference"/>
        </w:rPr>
        <w:footnoteRef/>
      </w:r>
      <w:r w:rsidRPr="00DE73E3">
        <w:rPr>
          <w:lang w:val="es-ES"/>
        </w:rPr>
        <w:t xml:space="preserve"> De Hert, M., Loos, S., Sterckx, S., Thys, E., &amp; Van Assche, K. (2022). </w:t>
      </w:r>
      <w:r w:rsidRPr="00453316">
        <w:rPr>
          <w:lang w:val="en-US"/>
        </w:rPr>
        <w:t xml:space="preserve">Improving control over euthanasia of persons with psychiatric illness: Lessons from the first Belgian criminal court case concerning euthanasia. </w:t>
      </w:r>
      <w:r w:rsidRPr="00ED3976">
        <w:rPr>
          <w:i/>
          <w:iCs/>
          <w:lang w:val="en-US"/>
        </w:rPr>
        <w:t>Frontiers in Psychiatry</w:t>
      </w:r>
      <w:r w:rsidRPr="00ED3976">
        <w:rPr>
          <w:lang w:val="en-US"/>
        </w:rPr>
        <w:t xml:space="preserve">, </w:t>
      </w:r>
      <w:r w:rsidRPr="00ED3976">
        <w:rPr>
          <w:i/>
          <w:iCs/>
          <w:lang w:val="en-US"/>
        </w:rPr>
        <w:t>13</w:t>
      </w:r>
      <w:r w:rsidRPr="00ED3976">
        <w:rPr>
          <w:lang w:val="en-US"/>
        </w:rPr>
        <w:t xml:space="preserve">, 933748. </w:t>
      </w:r>
      <w:hyperlink r:id="rId384" w:history="1">
        <w:r w:rsidRPr="00ED3976">
          <w:rPr>
            <w:rStyle w:val="Hyperlink"/>
            <w:lang w:val="en-US"/>
          </w:rPr>
          <w:t>https://www.frontiersin.org/articles/10.3389/fpsyt.2022.933748/full</w:t>
        </w:r>
      </w:hyperlink>
    </w:p>
  </w:footnote>
  <w:footnote w:id="412">
    <w:p w14:paraId="5534AF3B" w14:textId="77777777" w:rsidR="00474C3C" w:rsidRPr="00293B92" w:rsidRDefault="00474C3C" w:rsidP="00D655D3">
      <w:pPr>
        <w:pStyle w:val="FootnoteText"/>
        <w:jc w:val="both"/>
        <w:rPr>
          <w:lang w:val="en-US"/>
        </w:rPr>
      </w:pPr>
      <w:r w:rsidRPr="00186378">
        <w:rPr>
          <w:rStyle w:val="FootnoteReference"/>
        </w:rPr>
        <w:footnoteRef/>
      </w:r>
      <w:r w:rsidRPr="00ED3976">
        <w:rPr>
          <w:lang w:val="en-US"/>
        </w:rPr>
        <w:t xml:space="preserve"> - Onwuteaka-Philipsen, B. D., Brinkman-Stoppelenburg, A., Penning, C., de Jong-Krul, G. J., Van Delden, J. J., &amp; Van Der Heide, A. (2012). </w:t>
      </w:r>
      <w:r w:rsidRPr="00293B92">
        <w:rPr>
          <w:lang w:val="en-US"/>
        </w:rPr>
        <w:t xml:space="preserve">Trends in end-of-life practices before and after the enactment of the euthanasia law in the Netherlands from 1990 to 2010: A repeated cross-sectional survey. The Lancet, 380(9845), 908–915. </w:t>
      </w:r>
      <w:hyperlink r:id="rId385" w:history="1">
        <w:r w:rsidRPr="00293B92">
          <w:rPr>
            <w:rStyle w:val="Hyperlink"/>
            <w:lang w:val="en-US"/>
          </w:rPr>
          <w:t>https://www.thelancet.com/journals/lancet/article/PIIS0140-6736(12)61034-4/abstract</w:t>
        </w:r>
      </w:hyperlink>
    </w:p>
  </w:footnote>
  <w:footnote w:id="413">
    <w:p w14:paraId="61333E6D" w14:textId="77777777" w:rsidR="00474C3C" w:rsidRPr="00293B92" w:rsidRDefault="00474C3C" w:rsidP="00D655D3">
      <w:pPr>
        <w:pStyle w:val="FootnoteText"/>
        <w:jc w:val="both"/>
        <w:rPr>
          <w:lang w:val="en-US"/>
        </w:rPr>
      </w:pPr>
      <w:r w:rsidRPr="00186378">
        <w:rPr>
          <w:rStyle w:val="FootnoteReference"/>
        </w:rPr>
        <w:footnoteRef/>
      </w:r>
      <w:r w:rsidRPr="004646AE">
        <w:rPr>
          <w:lang w:val="de-DE"/>
        </w:rPr>
        <w:t xml:space="preserve"> - Van den Ende, C., Bunge, E. M., &amp; van de Vathorst, S. (2021). </w:t>
      </w:r>
      <w:r w:rsidRPr="00293B92">
        <w:rPr>
          <w:lang w:val="en-US"/>
        </w:rPr>
        <w:t xml:space="preserve">Wish for euthanasia persists for at least one year after the request was declined by Euthanasia Expertise Center. Health Policy, 125(8), 1108–1113. </w:t>
      </w:r>
      <w:hyperlink r:id="rId386" w:history="1">
        <w:r w:rsidRPr="00293B92">
          <w:rPr>
            <w:rStyle w:val="Hyperlink"/>
            <w:lang w:val="en-US"/>
          </w:rPr>
          <w:t>https://www.sciencedirect.com/science/article/pii/S0168851021001299</w:t>
        </w:r>
      </w:hyperlink>
    </w:p>
  </w:footnote>
  <w:footnote w:id="414">
    <w:p w14:paraId="05EECD31" w14:textId="77777777" w:rsidR="00474C3C" w:rsidRPr="00CD214F" w:rsidRDefault="00474C3C" w:rsidP="00D655D3">
      <w:pPr>
        <w:pStyle w:val="FootnoteText"/>
        <w:jc w:val="both"/>
        <w:rPr>
          <w:lang w:val="es-ES"/>
        </w:rPr>
      </w:pPr>
      <w:r w:rsidRPr="00186378">
        <w:rPr>
          <w:rStyle w:val="FootnoteReference"/>
        </w:rPr>
        <w:footnoteRef/>
      </w:r>
      <w:r w:rsidRPr="00293B92">
        <w:rPr>
          <w:lang w:val="en-US"/>
        </w:rPr>
        <w:t xml:space="preserve"> - Bernal, V., &amp; Trejo-Gabriel-Galan, J. M. (2021). Euthanasia laws in Spain and in the world: Medical aspects. </w:t>
      </w:r>
      <w:r w:rsidRPr="00CD214F">
        <w:rPr>
          <w:lang w:val="es-ES"/>
        </w:rPr>
        <w:t xml:space="preserve">Atencion Primaria, 54(1), 102170–102170. </w:t>
      </w:r>
      <w:hyperlink r:id="rId387" w:history="1">
        <w:r w:rsidRPr="00CD214F">
          <w:rPr>
            <w:rStyle w:val="Hyperlink"/>
            <w:lang w:val="es-ES"/>
          </w:rPr>
          <w:t>https://europepmc.org/article/med/34798415</w:t>
        </w:r>
      </w:hyperlink>
    </w:p>
  </w:footnote>
  <w:footnote w:id="415">
    <w:p w14:paraId="3542925D" w14:textId="77777777" w:rsidR="00474C3C" w:rsidRPr="00293B92" w:rsidRDefault="00474C3C" w:rsidP="00D655D3">
      <w:pPr>
        <w:pStyle w:val="FootnoteText"/>
        <w:jc w:val="both"/>
        <w:rPr>
          <w:lang w:val="en-US"/>
        </w:rPr>
      </w:pPr>
      <w:r w:rsidRPr="00186378">
        <w:rPr>
          <w:rStyle w:val="FootnoteReference"/>
        </w:rPr>
        <w:footnoteRef/>
      </w:r>
      <w:r w:rsidRPr="00CD214F">
        <w:rPr>
          <w:lang w:val="es-ES"/>
        </w:rPr>
        <w:t xml:space="preserve"> - Kadir, Y., Nurmala, L. D., &amp; Ismail, N. (2021). </w:t>
      </w:r>
      <w:r w:rsidRPr="00293B92">
        <w:rPr>
          <w:lang w:val="en-US"/>
        </w:rPr>
        <w:t>The Relevance of Legal Protection to Human Rights Related to Euthanasia Law in Indonesia. Jambura Law Review, 3(2), 319–335. https://ejurnal.ung.ac.id/index.php/jalrev/article/download/7111/3478</w:t>
      </w:r>
    </w:p>
  </w:footnote>
  <w:footnote w:id="416">
    <w:p w14:paraId="55F5D127"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Kamri, A. (2024). Medical Action of Doctors with Euthanasy From the Perspective of Criminal Acts on Islamic Law: A Normative Review. MEDICAL ACTION OF DOCTORS WITH EUTHANASY FROM THE PERSPECTIVE OF CRIMINAL ACTS ON ISLAMIC LAW: A NORMATIVE REVIEW, 18(6), 1. https://repository.umi.ac.id/6269/</w:t>
      </w:r>
    </w:p>
  </w:footnote>
  <w:footnote w:id="417">
    <w:p w14:paraId="52659710" w14:textId="77777777" w:rsidR="00474C3C" w:rsidRPr="00293B92" w:rsidRDefault="00474C3C" w:rsidP="00D655D3">
      <w:pPr>
        <w:pStyle w:val="FootnoteText"/>
        <w:jc w:val="both"/>
        <w:rPr>
          <w:lang w:val="en-US"/>
        </w:rPr>
      </w:pPr>
      <w:r w:rsidRPr="00186378">
        <w:rPr>
          <w:rStyle w:val="FootnoteReference"/>
        </w:rPr>
        <w:footnoteRef/>
      </w:r>
      <w:r w:rsidRPr="004646AE">
        <w:rPr>
          <w:lang w:val="pl-PL"/>
        </w:rPr>
        <w:t xml:space="preserve"> - Pope, T. M., &amp; Okninski, M. E. (2016). </w:t>
      </w:r>
      <w:r w:rsidRPr="00293B92">
        <w:rPr>
          <w:lang w:val="en-US"/>
        </w:rPr>
        <w:t xml:space="preserve">Legal Standards for Brain Death and Undue Influence in Euthanasia Laws. Journal of Bioethical Inquiry, 13(2), 173–178. </w:t>
      </w:r>
      <w:hyperlink r:id="rId388" w:history="1">
        <w:r w:rsidRPr="00293B92">
          <w:rPr>
            <w:rStyle w:val="Hyperlink"/>
            <w:lang w:val="en-US"/>
          </w:rPr>
          <w:t>https://doi.org/10.1007/s11673-016-9718-0</w:t>
        </w:r>
      </w:hyperlink>
    </w:p>
  </w:footnote>
  <w:footnote w:id="418">
    <w:p w14:paraId="1E612F1C" w14:textId="77777777" w:rsidR="00474C3C" w:rsidRPr="00F715A6" w:rsidRDefault="00474C3C" w:rsidP="00D655D3">
      <w:pPr>
        <w:pStyle w:val="FootnoteText"/>
        <w:jc w:val="both"/>
        <w:rPr>
          <w:lang w:val="fr-FR"/>
        </w:rPr>
      </w:pPr>
      <w:r w:rsidRPr="00186378">
        <w:rPr>
          <w:rStyle w:val="FootnoteReference"/>
        </w:rPr>
        <w:footnoteRef/>
      </w:r>
      <w:r w:rsidRPr="00293B92">
        <w:rPr>
          <w:lang w:val="en-US"/>
        </w:rPr>
        <w:t xml:space="preserve"> - Klampfer, F. (2019). Euthanasia Laws, Slippery Slopes, and (Un) Reasonable Precaution. </w:t>
      </w:r>
      <w:r w:rsidRPr="00186378">
        <w:rPr>
          <w:lang w:val="fr-FR"/>
        </w:rPr>
        <w:t>Prolegomena: Časopis Za Filozofiju, 18(2), 121–147. https://hrcak.srce.hr/237864</w:t>
      </w:r>
    </w:p>
  </w:footnote>
  <w:footnote w:id="419">
    <w:p w14:paraId="11590709" w14:textId="77777777" w:rsidR="00474C3C" w:rsidRPr="00293B92" w:rsidRDefault="00474C3C" w:rsidP="00D655D3">
      <w:pPr>
        <w:pStyle w:val="FootnoteText"/>
        <w:jc w:val="both"/>
        <w:rPr>
          <w:lang w:val="en-US"/>
        </w:rPr>
      </w:pPr>
      <w:r w:rsidRPr="00186378">
        <w:rPr>
          <w:rStyle w:val="FootnoteReference"/>
        </w:rPr>
        <w:footnoteRef/>
      </w:r>
      <w:r w:rsidRPr="00186378">
        <w:rPr>
          <w:lang w:val="fr-FR"/>
        </w:rPr>
        <w:t xml:space="preserve"> - Pousset, G., Mortier, F., Bilsen, J., Cohen, J., &amp; Deliens, L. (2011). </w:t>
      </w:r>
      <w:r w:rsidRPr="00293B92">
        <w:rPr>
          <w:lang w:val="en-US"/>
        </w:rPr>
        <w:t xml:space="preserve">Attitudes and practices of physicians regarding physician-assisted dying in minors. </w:t>
      </w:r>
      <w:r w:rsidRPr="00293B92">
        <w:rPr>
          <w:i/>
          <w:iCs/>
          <w:lang w:val="en-US"/>
        </w:rPr>
        <w:t>Archives of Disease in Childhood</w:t>
      </w:r>
      <w:r w:rsidRPr="00293B92">
        <w:rPr>
          <w:lang w:val="en-US"/>
        </w:rPr>
        <w:t xml:space="preserve">, </w:t>
      </w:r>
      <w:r w:rsidRPr="00293B92">
        <w:rPr>
          <w:i/>
          <w:iCs/>
          <w:lang w:val="en-US"/>
        </w:rPr>
        <w:t>96</w:t>
      </w:r>
      <w:r w:rsidRPr="00293B92">
        <w:rPr>
          <w:lang w:val="en-US"/>
        </w:rPr>
        <w:t xml:space="preserve">(10), 948–953. </w:t>
      </w:r>
      <w:hyperlink r:id="rId389" w:history="1">
        <w:r w:rsidRPr="00293B92">
          <w:rPr>
            <w:rStyle w:val="Hyperlink"/>
            <w:lang w:val="en-US"/>
          </w:rPr>
          <w:t>https://adc.bmj.com/content/96/10/948</w:t>
        </w:r>
      </w:hyperlink>
      <w:r w:rsidRPr="00293B92">
        <w:rPr>
          <w:lang w:val="en-US"/>
        </w:rPr>
        <w:t>.</w:t>
      </w:r>
    </w:p>
  </w:footnote>
  <w:footnote w:id="420">
    <w:p w14:paraId="1F6FB126"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Smets, T., Cohen, J., Bilsen, J., Van Wesemael, Y., Rurup, M. L., &amp; Deliens, L. (2011). Attitudes and experiences of Belgian physicians regarding euthanasia practice and the euthanasia law. Journal of Pain and Symptom Management, 41(3), 580–593. </w:t>
      </w:r>
      <w:hyperlink r:id="rId390" w:history="1">
        <w:r w:rsidRPr="00293B92">
          <w:rPr>
            <w:rStyle w:val="Hyperlink"/>
            <w:lang w:val="en-US"/>
          </w:rPr>
          <w:t>https://www.sciencedirect.com/science/article/pii/S0885392410006937</w:t>
        </w:r>
      </w:hyperlink>
    </w:p>
  </w:footnote>
  <w:footnote w:id="421">
    <w:p w14:paraId="1AEBC038"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Van Wesemael, Y., Cohen, J., Bilsen, J., Smets, T., Onwuteaka-Philipsen, B., &amp; Deliens, L. (2011). Process and outcomes of euthanasia requests under the Belgian act on euthanasia: A nationwide survey. Journal of Pain and Symptom Management, 42(5), 721–733. </w:t>
      </w:r>
      <w:hyperlink r:id="rId391" w:history="1">
        <w:r w:rsidRPr="00293B92">
          <w:rPr>
            <w:rStyle w:val="Hyperlink"/>
            <w:lang w:val="en-US"/>
          </w:rPr>
          <w:t>https://www.sciencedirect.com/science/article/pii/S0885392411001540</w:t>
        </w:r>
      </w:hyperlink>
    </w:p>
  </w:footnote>
  <w:footnote w:id="422">
    <w:p w14:paraId="6139EDC6"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Raus, K. (2016). The Extension of Belgium’s Euthanasia Law to Include Competent Minors. </w:t>
      </w:r>
      <w:r w:rsidRPr="00293B92">
        <w:rPr>
          <w:i/>
          <w:iCs/>
          <w:lang w:val="en-US"/>
        </w:rPr>
        <w:t>Journal of Bioethical Inquiry</w:t>
      </w:r>
      <w:r w:rsidRPr="00293B92">
        <w:rPr>
          <w:lang w:val="en-US"/>
        </w:rPr>
        <w:t xml:space="preserve">, </w:t>
      </w:r>
      <w:r w:rsidRPr="00293B92">
        <w:rPr>
          <w:i/>
          <w:iCs/>
          <w:lang w:val="en-US"/>
        </w:rPr>
        <w:t>13</w:t>
      </w:r>
      <w:r w:rsidRPr="00293B92">
        <w:rPr>
          <w:lang w:val="en-US"/>
        </w:rPr>
        <w:t xml:space="preserve">(2), 305–315. </w:t>
      </w:r>
      <w:hyperlink r:id="rId392" w:history="1">
        <w:r w:rsidRPr="00293B92">
          <w:rPr>
            <w:rStyle w:val="Hyperlink"/>
            <w:lang w:val="en-US"/>
          </w:rPr>
          <w:t>https://doi.org/10.1007/s11673-016-9705-5</w:t>
        </w:r>
      </w:hyperlink>
    </w:p>
  </w:footnote>
  <w:footnote w:id="423">
    <w:p w14:paraId="06639F12"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Van Rickstal, R., De Vleminck, A., Chambaere, K., &amp; Van den Block, L. (2023). People with young-onset dementia and their family caregivers discussing euthanasia: A qualitative analysis of their considerations. Patient Education and Counseling, 115, 107882. https://www.sciencedirect.com/science/article/pii/S0738399123002628</w:t>
      </w:r>
    </w:p>
  </w:footnote>
  <w:footnote w:id="424">
    <w:p w14:paraId="36DA3CB9"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Cleemput, J., &amp; Schoenmakers, B. (2019). Euthanasia in the case of dementia: A survey among Flemish GPs. BJGP Open, 3(4). https://bjgpopen.org/content/3/4/bjgpopen19X101677.abstract</w:t>
      </w:r>
    </w:p>
  </w:footnote>
  <w:footnote w:id="425">
    <w:p w14:paraId="6D584E1C"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Dierickx, S., Deliens, L., Cohen, J., &amp; Chambaere, K. (2017). Euthanasia for people with psychiatric disorders or dementia in Belgium: Analysis of officially reported cases. BMC Psychiatry, 17, 1–9. https://link.springer.com/article/10.1186/s12888-017-1369-0</w:t>
      </w:r>
    </w:p>
  </w:footnote>
  <w:footnote w:id="426">
    <w:p w14:paraId="6FB97E42"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de Boer, M. E., Dröes, R.-M., Jonker, C., Eefsting, J. A., &amp; Hertogh, C. M. (2010). Advance directives for euthanasia in dementia: Do law-based opportunities lead to more euthanasia? Health Policy, 98(2–3), 256–262. </w:t>
      </w:r>
      <w:hyperlink r:id="rId393" w:history="1">
        <w:r w:rsidRPr="00293B92">
          <w:rPr>
            <w:rStyle w:val="Hyperlink"/>
            <w:lang w:val="en-US"/>
          </w:rPr>
          <w:t>https://www.sciencedirect.com/science/article/pii/S0168851010001934</w:t>
        </w:r>
      </w:hyperlink>
    </w:p>
  </w:footnote>
  <w:footnote w:id="427">
    <w:p w14:paraId="3A2D8E02"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Miller, D. G., Dresser, R., &amp; Kim, S. Y. (2019). Advance euthanasia directives: A controversial case and its ethical implications. Journal of Medical Ethics, 45(2), 84–89. </w:t>
      </w:r>
      <w:hyperlink r:id="rId394" w:history="1">
        <w:r w:rsidRPr="00293B92">
          <w:rPr>
            <w:rStyle w:val="Hyperlink"/>
            <w:lang w:val="en-US"/>
          </w:rPr>
          <w:t>https://jme.bmj.com/content/45/2/84.abstract</w:t>
        </w:r>
      </w:hyperlink>
    </w:p>
  </w:footnote>
  <w:footnote w:id="428">
    <w:p w14:paraId="00ADA917"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Verhagen, A. E., &amp; Buijsen, M. (2023). Should the Dutch Law on Euthanasia Be Expanded to Include Children? Cambridge Quarterly of Healthcare Ethics, 32(1), 5–13. </w:t>
      </w:r>
      <w:hyperlink r:id="rId395" w:history="1">
        <w:r w:rsidRPr="00293B92">
          <w:rPr>
            <w:rStyle w:val="Hyperlink"/>
            <w:lang w:val="en-US"/>
          </w:rPr>
          <w:t>https://www.cambridge.org/core/journals/cambridge-quarterly-of-healthcare-ethics/article/should-the-dutch-law-on-euthanasia-be-expanded-to-include-children/A41751232DBEF2EF8DC32998BB3E2C99</w:t>
        </w:r>
      </w:hyperlink>
    </w:p>
  </w:footnote>
  <w:footnote w:id="429">
    <w:p w14:paraId="213C79F9" w14:textId="77777777" w:rsidR="00474C3C" w:rsidRPr="00CD214F" w:rsidRDefault="00474C3C" w:rsidP="00D655D3">
      <w:pPr>
        <w:pStyle w:val="FootnoteText"/>
        <w:jc w:val="both"/>
        <w:rPr>
          <w:lang w:val="de-DE"/>
        </w:rPr>
      </w:pPr>
      <w:r w:rsidRPr="00186378">
        <w:rPr>
          <w:rStyle w:val="FootnoteReference"/>
        </w:rPr>
        <w:footnoteRef/>
      </w:r>
      <w:r w:rsidRPr="00CD214F">
        <w:rPr>
          <w:lang w:val="de-DE"/>
        </w:rPr>
        <w:t xml:space="preserve"> - Gramm, J. (2017). Palliativversorgung. Nervenheilkunde, 36(12), 993–996. </w:t>
      </w:r>
      <w:hyperlink r:id="rId396" w:history="1">
        <w:r w:rsidRPr="00CD214F">
          <w:rPr>
            <w:rStyle w:val="Hyperlink"/>
            <w:lang w:val="de-DE"/>
          </w:rPr>
          <w:t>https://doi.org/10.1055/s-0038-1636952</w:t>
        </w:r>
      </w:hyperlink>
    </w:p>
  </w:footnote>
  <w:footnote w:id="430">
    <w:p w14:paraId="28201C27" w14:textId="77777777" w:rsidR="00474C3C" w:rsidRPr="00293B92" w:rsidRDefault="00474C3C" w:rsidP="00D655D3">
      <w:pPr>
        <w:pStyle w:val="FootnoteText"/>
        <w:jc w:val="both"/>
        <w:rPr>
          <w:lang w:val="en-US"/>
        </w:rPr>
      </w:pPr>
      <w:r w:rsidRPr="00186378">
        <w:rPr>
          <w:rStyle w:val="FootnoteReference"/>
        </w:rPr>
        <w:footnoteRef/>
      </w:r>
      <w:r w:rsidRPr="00CD214F">
        <w:rPr>
          <w:lang w:val="de-DE"/>
        </w:rPr>
        <w:t xml:space="preserve"> - Raijmakers, N. J., van der Heide, A., Kouwenhoven, P. S., van Thiel, G. J., van Delden, J. J., &amp; Rietjens, J. A. (2015). </w:t>
      </w:r>
      <w:r w:rsidRPr="00293B92">
        <w:rPr>
          <w:lang w:val="en-US"/>
        </w:rPr>
        <w:t xml:space="preserve">Assistance in dying for older people without a serious medical condition who have a wish to die: A national cross-sectional survey. Journal of Medical Ethics, 41(2), 145–150. </w:t>
      </w:r>
      <w:hyperlink r:id="rId397" w:history="1">
        <w:r w:rsidRPr="00293B92">
          <w:rPr>
            <w:rStyle w:val="Hyperlink"/>
            <w:lang w:val="en-US"/>
          </w:rPr>
          <w:t>https://jme.bmj.com/content/41/2/145.short</w:t>
        </w:r>
      </w:hyperlink>
    </w:p>
  </w:footnote>
  <w:footnote w:id="431">
    <w:p w14:paraId="72E4C936"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Smets, T., Cohen, J., Bilsen, J., Van Wesemael, Y., Rurup, M. L., &amp; Deliens, L. (2012). The labelling and reporting of euthanasia by Belgian physicians: A study of hypothetical cases. The European Journal of Public Health, 22(1), 19–26. </w:t>
      </w:r>
      <w:hyperlink r:id="rId398" w:history="1">
        <w:r w:rsidRPr="00293B92">
          <w:rPr>
            <w:rStyle w:val="Hyperlink"/>
            <w:lang w:val="en-US"/>
          </w:rPr>
          <w:t>https://academic.oup.com/eurpub/article-abstract/22/1/19/485407</w:t>
        </w:r>
      </w:hyperlink>
    </w:p>
  </w:footnote>
  <w:footnote w:id="432">
    <w:p w14:paraId="4E081849"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Sercu, M., Pype, P., Christiaens, T., Grypdonck, M., Derese, A., &amp; Deveugele, M. (2012). Are general practitioners prepared to end life on request in a country where euthanasia is legalised? Journal of Medical Ethics, 38(5), 274–280. </w:t>
      </w:r>
      <w:hyperlink r:id="rId399" w:history="1">
        <w:r w:rsidRPr="00293B92">
          <w:rPr>
            <w:rStyle w:val="Hyperlink"/>
            <w:lang w:val="en-US"/>
          </w:rPr>
          <w:t>https://jme.bmj.com/content/38/5/274.short</w:t>
        </w:r>
      </w:hyperlink>
    </w:p>
  </w:footnote>
  <w:footnote w:id="433">
    <w:p w14:paraId="27988DE6"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Verhofstadt, M., Van Assche, K., Pardon, K., Gleydura, M., Titeca, K., &amp; Chambaere, K. (2024). Perspectives on the eligibility criteria for euthanasia for mental suffering caused by psychiatric disorder under the Belgian Euthanasia Law: A qualitative interview study among mental healthcare workers. International Journal of Law and Psychiatry, 93, 101961. </w:t>
      </w:r>
      <w:hyperlink r:id="rId400" w:history="1">
        <w:r w:rsidRPr="00293B92">
          <w:rPr>
            <w:rStyle w:val="Hyperlink"/>
            <w:lang w:val="en-US"/>
          </w:rPr>
          <w:t>https://www.sciencedirect.com/science/article/pii/S0160252724000104</w:t>
        </w:r>
      </w:hyperlink>
    </w:p>
  </w:footnote>
  <w:footnote w:id="434">
    <w:p w14:paraId="2288812E"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De Hert, M., Thys, E., Catthoor, K., Van den Broeck, K., Matthys, F., Vansteelandt, K., &amp; Detraux, J. (2023). Media coverage of Belgium’s first criminal case concerning euthanasia for psychiatric patients: A content analysis of Flemish newspapers and magazines. Frontiers in Psychiatry, 13, 1050086. </w:t>
      </w:r>
      <w:hyperlink r:id="rId401" w:history="1">
        <w:r w:rsidRPr="00293B92">
          <w:rPr>
            <w:rStyle w:val="Hyperlink"/>
            <w:lang w:val="en-US"/>
          </w:rPr>
          <w:t>https://www.frontiersin.org/articles/10.3389/fpsyt.2022.1050086/full</w:t>
        </w:r>
      </w:hyperlink>
    </w:p>
  </w:footnote>
  <w:footnote w:id="435">
    <w:p w14:paraId="69D08645"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Genicot, G. (2025). The conditional decriminalisation of euthanasia, a remarkable feature of Belgian law. Ethics, Medicine and Public Health, 33, 101054. </w:t>
      </w:r>
      <w:hyperlink r:id="rId402" w:history="1">
        <w:r w:rsidRPr="00293B92">
          <w:rPr>
            <w:rStyle w:val="Hyperlink"/>
            <w:lang w:val="en-US"/>
          </w:rPr>
          <w:t>https://www.sciencedirect.com/science/article/pii/S2352552525000131</w:t>
        </w:r>
      </w:hyperlink>
    </w:p>
  </w:footnote>
  <w:footnote w:id="436">
    <w:p w14:paraId="7FBBE69F"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Nutte, N. D. (2022). In the Face of Death. </w:t>
      </w:r>
      <w:hyperlink r:id="rId403" w:history="1">
        <w:r w:rsidRPr="00293B92">
          <w:rPr>
            <w:rStyle w:val="Hyperlink"/>
            <w:lang w:val="en-US"/>
          </w:rPr>
          <w:t>https://doi.org/10.1163/25892525-bja10030</w:t>
        </w:r>
      </w:hyperlink>
    </w:p>
  </w:footnote>
  <w:footnote w:id="437">
    <w:p w14:paraId="668B4EA1" w14:textId="77777777" w:rsidR="00474C3C" w:rsidRPr="00CD214F" w:rsidRDefault="00474C3C" w:rsidP="00D655D3">
      <w:pPr>
        <w:pStyle w:val="FootnoteText"/>
        <w:jc w:val="both"/>
        <w:rPr>
          <w:lang w:val="de-DE"/>
        </w:rPr>
      </w:pPr>
      <w:r w:rsidRPr="00186378">
        <w:rPr>
          <w:rStyle w:val="FootnoteReference"/>
        </w:rPr>
        <w:footnoteRef/>
      </w:r>
      <w:r w:rsidRPr="00293B92">
        <w:rPr>
          <w:lang w:val="en-US"/>
        </w:rPr>
        <w:t xml:space="preserve"> - De Hert, M., Loos, S., Sterckx, S., Thys, E., &amp; Van Assche, K. (2022). Improving control over euthanasia of persons with psychiatric illness: Lessons from the first Belgian criminal court case concerning euthanasia. </w:t>
      </w:r>
      <w:r w:rsidRPr="00CD214F">
        <w:rPr>
          <w:i/>
          <w:iCs/>
          <w:lang w:val="de-DE"/>
        </w:rPr>
        <w:t>Frontiers in Psychiatry</w:t>
      </w:r>
      <w:r w:rsidRPr="00CD214F">
        <w:rPr>
          <w:lang w:val="de-DE"/>
        </w:rPr>
        <w:t xml:space="preserve">, </w:t>
      </w:r>
      <w:r w:rsidRPr="00CD214F">
        <w:rPr>
          <w:i/>
          <w:iCs/>
          <w:lang w:val="de-DE"/>
        </w:rPr>
        <w:t>13</w:t>
      </w:r>
      <w:r w:rsidRPr="00CD214F">
        <w:rPr>
          <w:lang w:val="de-DE"/>
        </w:rPr>
        <w:t xml:space="preserve">, 933748. </w:t>
      </w:r>
      <w:hyperlink r:id="rId404" w:history="1">
        <w:r w:rsidRPr="00CD214F">
          <w:rPr>
            <w:rStyle w:val="Hyperlink"/>
            <w:lang w:val="de-DE"/>
          </w:rPr>
          <w:t>https://www.frontiersin.org/articles/10.3389/fpsyt.2022.933748/full</w:t>
        </w:r>
      </w:hyperlink>
    </w:p>
  </w:footnote>
  <w:footnote w:id="438">
    <w:p w14:paraId="095473D9" w14:textId="77777777" w:rsidR="00474C3C" w:rsidRPr="00293B92" w:rsidRDefault="00474C3C" w:rsidP="00D655D3">
      <w:pPr>
        <w:pStyle w:val="FootnoteText"/>
        <w:jc w:val="both"/>
        <w:rPr>
          <w:lang w:val="en-US"/>
        </w:rPr>
      </w:pPr>
      <w:r w:rsidRPr="00186378">
        <w:rPr>
          <w:rStyle w:val="FootnoteReference"/>
        </w:rPr>
        <w:footnoteRef/>
      </w:r>
      <w:r w:rsidRPr="00CD214F">
        <w:rPr>
          <w:lang w:val="de-DE"/>
        </w:rPr>
        <w:t xml:space="preserve"> - Schweitser, F. (2025). </w:t>
      </w:r>
      <w:r w:rsidRPr="00293B92">
        <w:rPr>
          <w:lang w:val="en-US"/>
        </w:rPr>
        <w:t xml:space="preserve">Exploring the role of kinship involvement in euthanasia procedures: A case study of euthanasia in patients with psychiatric disorders in Belgium. Clinical Ethics, 20(1), 4–10. </w:t>
      </w:r>
      <w:hyperlink r:id="rId405" w:history="1">
        <w:r w:rsidRPr="00293B92">
          <w:rPr>
            <w:rStyle w:val="Hyperlink"/>
            <w:lang w:val="en-US"/>
          </w:rPr>
          <w:t>https://doi.org/10.1177/14777509241283314</w:t>
        </w:r>
      </w:hyperlink>
    </w:p>
  </w:footnote>
  <w:footnote w:id="439">
    <w:p w14:paraId="07ECFAE4"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Kimsma, G. K. (2010). Death by request in The Netherlands: Facts, the legal context and effects on physicians, patients and families. Medicine, Health Care and Philosophy, 13(4), 355–361. </w:t>
      </w:r>
      <w:hyperlink r:id="rId406" w:history="1">
        <w:r w:rsidRPr="00293B92">
          <w:rPr>
            <w:rStyle w:val="Hyperlink"/>
            <w:lang w:val="en-US"/>
          </w:rPr>
          <w:t>https://doi.org/10.1007/s11019-010-9265-0</w:t>
        </w:r>
      </w:hyperlink>
    </w:p>
  </w:footnote>
  <w:footnote w:id="440">
    <w:p w14:paraId="2961B301"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Rietjens, J. A., Raijmakers, N. J., Kouwenhoven, P. S., Seale, C., Van Thiel, G. J., Trappenburg, M., Van Delden, J. J., &amp; Van Der Heide, A. (2013). News media coverage of euthanasia: A content analysis of Dutch national newspapers. BMC Medical Ethics, 14(1), 11. </w:t>
      </w:r>
      <w:hyperlink r:id="rId407" w:history="1">
        <w:r w:rsidRPr="00293B92">
          <w:rPr>
            <w:rStyle w:val="Hyperlink"/>
            <w:lang w:val="en-US"/>
          </w:rPr>
          <w:t>https://doi.org/10.1186/1472-6939-14-11</w:t>
        </w:r>
      </w:hyperlink>
    </w:p>
  </w:footnote>
  <w:footnote w:id="441">
    <w:p w14:paraId="241CED5B"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Riou, F., Aubry, R., Pontone, S., &amp; Pennec, S. (2015). When physicians report having used medical drugs to deliberately end a patient’s life: Findings of the “End-of-Life in France” survey. Journal of Pain and Symptom Management, 50(2), 208–215. </w:t>
      </w:r>
      <w:hyperlink r:id="rId408" w:history="1">
        <w:r w:rsidRPr="00293B92">
          <w:rPr>
            <w:rStyle w:val="Hyperlink"/>
            <w:lang w:val="en-US"/>
          </w:rPr>
          <w:t>https://www.sciencedirect.com/science/article/pii/S088539241500158X</w:t>
        </w:r>
      </w:hyperlink>
    </w:p>
  </w:footnote>
  <w:footnote w:id="442">
    <w:p w14:paraId="04CA742F"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Chambaere, K., Rietjens, J. A. C., Smets, T., Bilsen, J., Deschepper, R., Pasman, H. R. W., &amp; Deliens, L. (2012). Age-based disparities in end-of-life decisions in Belgium: A population-based death certificate survey. BMC Public Health, 12(1), 447. https://doi.org/10.1186/1471-2458-12-447</w:t>
      </w:r>
    </w:p>
  </w:footnote>
  <w:footnote w:id="443">
    <w:p w14:paraId="65D7E46C"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Chambaere, K., Bilsen, J., Cohen, J., Onwuteaka-Philipsen, B. D., Mortier, F., &amp; Deliens, L. (2010). Physician-assisted deaths under the euthanasia law in Belgium: A population-based survey. CMAJ, 182(9), 895–901. </w:t>
      </w:r>
      <w:hyperlink r:id="rId409" w:history="1">
        <w:r w:rsidRPr="00293B92">
          <w:rPr>
            <w:rStyle w:val="Hyperlink"/>
            <w:lang w:val="en-US"/>
          </w:rPr>
          <w:t>https://www.cmaj.ca/content/182/9/895.short</w:t>
        </w:r>
      </w:hyperlink>
    </w:p>
  </w:footnote>
  <w:footnote w:id="444">
    <w:p w14:paraId="2662E9AA"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Chambaere, K., Bilsen, J., Cohen, J., Onwuteaka-Philipsen, B. D., Mortier, F., &amp; Deliens, L. (2011). Trends in Medical End-of-Life Decision Making in Flanders, Belgium 1998–2001–2007. Medical Decision Making, 31(3). </w:t>
      </w:r>
      <w:hyperlink r:id="rId410" w:history="1">
        <w:r w:rsidRPr="00293B92">
          <w:rPr>
            <w:rStyle w:val="Hyperlink"/>
            <w:lang w:val="en-US"/>
          </w:rPr>
          <w:t>https://doi.org/10.1177/0272989X10392379</w:t>
        </w:r>
      </w:hyperlink>
    </w:p>
  </w:footnote>
  <w:footnote w:id="445">
    <w:p w14:paraId="3BAADDD9"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Smets, T., Bilsen, J., Van den Block, L., Cohen, J., Van Casteren, V., &amp; Deliens, L. (2010). Euthanasia in patients dying at home in Belgium: Interview study on adherence to legal safeguards. The British Journal of General Practice, 60(573), e163. https://pmc.ncbi.nlm.nih.gov/articles/PMC2845507/</w:t>
      </w:r>
    </w:p>
  </w:footnote>
  <w:footnote w:id="446">
    <w:p w14:paraId="250DA56D" w14:textId="77777777" w:rsidR="00474C3C" w:rsidRPr="00293B92" w:rsidRDefault="00474C3C" w:rsidP="00D655D3">
      <w:pPr>
        <w:pStyle w:val="FootnoteText"/>
        <w:jc w:val="both"/>
        <w:rPr>
          <w:lang w:val="en-US"/>
        </w:rPr>
      </w:pPr>
      <w:r w:rsidRPr="00186378">
        <w:rPr>
          <w:rStyle w:val="FootnoteReference"/>
        </w:rPr>
        <w:footnoteRef/>
      </w:r>
      <w:r w:rsidRPr="00CD214F">
        <w:rPr>
          <w:lang w:val="da-DK"/>
        </w:rPr>
        <w:t xml:space="preserve"> - Smets, T., Bilsen, J., Cohen, J., Rurup, M. L., &amp; Deliens, L. (2010). </w:t>
      </w:r>
      <w:r w:rsidRPr="00293B92">
        <w:rPr>
          <w:lang w:val="en-US"/>
        </w:rPr>
        <w:t xml:space="preserve">Legal euthanasia in Belgium: Characteristics of all reported euthanasia cases. Medical Care, 48(2), 187–192. </w:t>
      </w:r>
      <w:hyperlink r:id="rId411" w:history="1">
        <w:r w:rsidRPr="00293B92">
          <w:rPr>
            <w:rStyle w:val="Hyperlink"/>
            <w:lang w:val="en-US"/>
          </w:rPr>
          <w:t>https://journals.lww.com/lww-medicalcare/fulltext/2010/02000/The_Work_Limitations_Questionnaire.15.aspx</w:t>
        </w:r>
      </w:hyperlink>
    </w:p>
  </w:footnote>
  <w:footnote w:id="447">
    <w:p w14:paraId="1790070A" w14:textId="77777777" w:rsidR="00474C3C" w:rsidRPr="00293B92" w:rsidRDefault="00474C3C" w:rsidP="00D655D3">
      <w:pPr>
        <w:pStyle w:val="FootnoteText"/>
        <w:jc w:val="both"/>
        <w:rPr>
          <w:lang w:val="en-US"/>
        </w:rPr>
      </w:pPr>
      <w:r w:rsidRPr="00186378">
        <w:rPr>
          <w:rStyle w:val="FootnoteReference"/>
        </w:rPr>
        <w:footnoteRef/>
      </w:r>
      <w:r w:rsidRPr="00CD214F">
        <w:rPr>
          <w:lang w:val="es-ES"/>
        </w:rPr>
        <w:t xml:space="preserve"> - Van Humbeeck, L., Piers, R., De Bock, R., &amp; Van Den Noortgate, N. (2022). </w:t>
      </w:r>
      <w:r w:rsidRPr="00293B92">
        <w:rPr>
          <w:lang w:val="en-US"/>
        </w:rPr>
        <w:t xml:space="preserve">Flemish healthcare providers’ attitude towards tiredness of life and euthanasia: A survey study. Aging &amp; Mental Health, 26(1), 205–211. </w:t>
      </w:r>
      <w:hyperlink r:id="rId412" w:history="1">
        <w:r w:rsidRPr="00293B92">
          <w:rPr>
            <w:rStyle w:val="Hyperlink"/>
            <w:lang w:val="en-US"/>
          </w:rPr>
          <w:t>https://doi.org/10.1080/13607863.2020.1870205</w:t>
        </w:r>
      </w:hyperlink>
    </w:p>
  </w:footnote>
  <w:footnote w:id="448">
    <w:p w14:paraId="0B6AC634" w14:textId="77777777" w:rsidR="00474C3C" w:rsidRPr="00CD214F" w:rsidRDefault="00474C3C" w:rsidP="00D655D3">
      <w:pPr>
        <w:pStyle w:val="FootnoteText"/>
        <w:jc w:val="both"/>
        <w:rPr>
          <w:lang w:val="es-ES"/>
        </w:rPr>
      </w:pPr>
      <w:r w:rsidRPr="00186378">
        <w:rPr>
          <w:rStyle w:val="FootnoteReference"/>
        </w:rPr>
        <w:footnoteRef/>
      </w:r>
      <w:r w:rsidRPr="00471553">
        <w:rPr>
          <w:lang w:val="en-US"/>
        </w:rPr>
        <w:t xml:space="preserve"> - Altisent, R., Muñoz, P., Delgado-Marroquín, M. T., Alonso, A., Ferrer, S., &amp; Nabal, M. (2021). </w:t>
      </w:r>
      <w:r w:rsidRPr="00CD214F">
        <w:rPr>
          <w:lang w:val="es-ES"/>
        </w:rPr>
        <w:t xml:space="preserve">Euthanasia: Is this the law we need?[Eutanasia:?` es esta la ley que necesitamos?]. </w:t>
      </w:r>
      <w:hyperlink r:id="rId413" w:history="1">
        <w:r w:rsidRPr="00CD214F">
          <w:rPr>
            <w:rStyle w:val="Hyperlink"/>
            <w:lang w:val="es-ES"/>
          </w:rPr>
          <w:t>https://zaguan.unizar.es/record/151472</w:t>
        </w:r>
      </w:hyperlink>
    </w:p>
  </w:footnote>
  <w:footnote w:id="449">
    <w:p w14:paraId="1A427BE1" w14:textId="77777777" w:rsidR="00474C3C" w:rsidRPr="00CD214F" w:rsidRDefault="00474C3C" w:rsidP="00D655D3">
      <w:pPr>
        <w:pStyle w:val="FootnoteText"/>
        <w:jc w:val="both"/>
        <w:rPr>
          <w:lang w:val="es-ES"/>
        </w:rPr>
      </w:pPr>
      <w:r w:rsidRPr="00186378">
        <w:rPr>
          <w:rStyle w:val="FootnoteReference"/>
        </w:rPr>
        <w:footnoteRef/>
      </w:r>
      <w:r w:rsidRPr="00CD214F">
        <w:rPr>
          <w:lang w:val="es-ES"/>
        </w:rPr>
        <w:t xml:space="preserve"> - Paradela-López, M., &amp; Jima-González, A. (2023). </w:t>
      </w:r>
      <w:r w:rsidRPr="00293B92">
        <w:rPr>
          <w:lang w:val="en-US"/>
        </w:rPr>
        <w:t xml:space="preserve">Analyzing the Spanish Euthanasia Law: Achievements and inconsistencies of the legal assistance to die. </w:t>
      </w:r>
      <w:r w:rsidRPr="00CD214F">
        <w:rPr>
          <w:lang w:val="es-ES"/>
        </w:rPr>
        <w:t xml:space="preserve">Rev. Bioetica &amp; Derecho, 58, 147. </w:t>
      </w:r>
      <w:hyperlink r:id="rId414" w:history="1">
        <w:r w:rsidRPr="00CD214F">
          <w:rPr>
            <w:rStyle w:val="Hyperlink"/>
            <w:lang w:val="es-ES"/>
          </w:rPr>
          <w:t>https://heinonline.org/hol-cgi-bin/get_pdf.cgi?handle=hein.journals/rebiod58&amp;section=11</w:t>
        </w:r>
      </w:hyperlink>
    </w:p>
  </w:footnote>
  <w:footnote w:id="450">
    <w:p w14:paraId="0397290E" w14:textId="77777777" w:rsidR="00474C3C" w:rsidRPr="00293B92" w:rsidRDefault="00474C3C" w:rsidP="00D655D3">
      <w:pPr>
        <w:pStyle w:val="FootnoteText"/>
        <w:jc w:val="both"/>
        <w:rPr>
          <w:lang w:val="en-US"/>
        </w:rPr>
      </w:pPr>
      <w:r w:rsidRPr="00186378">
        <w:rPr>
          <w:rStyle w:val="FootnoteReference"/>
        </w:rPr>
        <w:footnoteRef/>
      </w:r>
      <w:r w:rsidRPr="00CD214F">
        <w:rPr>
          <w:lang w:val="es-ES"/>
        </w:rPr>
        <w:t xml:space="preserve"> - Novoa-Jurado, A., &amp; Melguizo-Jiménez, M. (2021). </w:t>
      </w:r>
      <w:r w:rsidRPr="00293B92">
        <w:rPr>
          <w:lang w:val="en-US"/>
        </w:rPr>
        <w:t>Family Medicine in the face of the law on medical aid in dying responsibility and guarantees. Atencion Primaria, 53(5), 102058–102058. https://europepmc.org/article/med/33873137</w:t>
      </w:r>
    </w:p>
  </w:footnote>
  <w:footnote w:id="451">
    <w:p w14:paraId="590EA80B"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Archer, M., Willmott, L., Chambaere, K., Deliens, L., &amp; White, B. P. (2025). Key challenges in providing assisted dying in Belgium: A qualitative analysis of health professionals’ experiences. Palliative Care and Social Practice, 19, 26323524251318044. </w:t>
      </w:r>
      <w:hyperlink r:id="rId415" w:history="1">
        <w:r w:rsidRPr="00293B92">
          <w:rPr>
            <w:rStyle w:val="Hyperlink"/>
            <w:lang w:val="en-US"/>
          </w:rPr>
          <w:t>https://doi.org/10.1177/26323524251318044</w:t>
        </w:r>
      </w:hyperlink>
    </w:p>
  </w:footnote>
  <w:footnote w:id="452">
    <w:p w14:paraId="2251A369" w14:textId="77777777" w:rsidR="00474C3C" w:rsidRPr="00CD214F" w:rsidRDefault="00474C3C" w:rsidP="00D655D3">
      <w:pPr>
        <w:pStyle w:val="FootnoteText"/>
        <w:jc w:val="both"/>
        <w:rPr>
          <w:lang w:val="es-ES"/>
        </w:rPr>
      </w:pPr>
      <w:r w:rsidRPr="00186378">
        <w:rPr>
          <w:rStyle w:val="FootnoteReference"/>
        </w:rPr>
        <w:footnoteRef/>
      </w:r>
      <w:r w:rsidRPr="00293B92">
        <w:rPr>
          <w:lang w:val="en-US"/>
        </w:rPr>
        <w:t xml:space="preserve"> - Willmott, L., White, B., Stackpoole, C., Purser, K., &amp; McGee, A. (2016). (Failed) voluntary euthanasia law reform in Australia: Two decades of trends, models and politics. </w:t>
      </w:r>
      <w:r w:rsidRPr="00CD214F">
        <w:rPr>
          <w:lang w:val="es-ES"/>
        </w:rPr>
        <w:t xml:space="preserve">UNSWLJ, 39, 1. </w:t>
      </w:r>
      <w:hyperlink r:id="rId416" w:history="1">
        <w:r w:rsidRPr="00CD214F">
          <w:rPr>
            <w:rStyle w:val="Hyperlink"/>
            <w:lang w:val="es-ES"/>
          </w:rPr>
          <w:t>https://heinonline.org/hol-cgi-bin/get_pdf.cgi?handle=hein.journals/swales39&amp;section=5</w:t>
        </w:r>
      </w:hyperlink>
    </w:p>
  </w:footnote>
  <w:footnote w:id="453">
    <w:p w14:paraId="30F6BED3" w14:textId="77777777" w:rsidR="00474C3C" w:rsidRPr="00186378" w:rsidRDefault="00474C3C" w:rsidP="00D655D3">
      <w:pPr>
        <w:pStyle w:val="FootnoteText"/>
        <w:jc w:val="both"/>
        <w:rPr>
          <w:lang w:val="fr-FR"/>
        </w:rPr>
      </w:pPr>
      <w:r w:rsidRPr="00186378">
        <w:rPr>
          <w:rStyle w:val="FootnoteReference"/>
        </w:rPr>
        <w:footnoteRef/>
      </w:r>
      <w:r w:rsidRPr="00CD214F">
        <w:rPr>
          <w:lang w:val="es-ES"/>
        </w:rPr>
        <w:t xml:space="preserve"> - Munuera Gómez, P., Martínez López, J. Á., Bódalo Lozano, E., &amp; Guillamón Ayala, J. A. (2023). </w:t>
      </w:r>
      <w:r w:rsidRPr="00186378">
        <w:rPr>
          <w:lang w:val="fr-FR"/>
        </w:rPr>
        <w:t xml:space="preserve">La intervención de los trabajadores sociales en el marco de la Ley de Eutanasia. Trabajo social global - Global Social Work: Revista de investigaciones en intervención social, 13, 22–44. </w:t>
      </w:r>
      <w:hyperlink r:id="rId417" w:history="1">
        <w:r w:rsidRPr="00186378">
          <w:rPr>
            <w:rStyle w:val="Hyperlink"/>
            <w:lang w:val="fr-FR"/>
          </w:rPr>
          <w:t>https://dialnet.unirioja.es/servlet/articulo?codigo=9239552</w:t>
        </w:r>
      </w:hyperlink>
    </w:p>
  </w:footnote>
  <w:footnote w:id="454">
    <w:p w14:paraId="050369AA" w14:textId="77777777" w:rsidR="00474C3C" w:rsidRPr="00CD214F" w:rsidRDefault="00474C3C" w:rsidP="00D655D3">
      <w:pPr>
        <w:pStyle w:val="FootnoteText"/>
        <w:jc w:val="both"/>
        <w:rPr>
          <w:lang w:val="es-ES"/>
        </w:rPr>
      </w:pPr>
      <w:r w:rsidRPr="00186378">
        <w:rPr>
          <w:rStyle w:val="FootnoteReference"/>
        </w:rPr>
        <w:footnoteRef/>
      </w:r>
      <w:r w:rsidRPr="007C2C8C">
        <w:rPr>
          <w:lang w:val="fr-FR"/>
        </w:rPr>
        <w:t xml:space="preserve"> - Joseba García, M., &amp; Ignacia, P. (2023). </w:t>
      </w:r>
      <w:r w:rsidRPr="00293B92">
        <w:rPr>
          <w:lang w:val="en-US"/>
        </w:rPr>
        <w:t xml:space="preserve">CEIC - The Spanish Anti-rights Field in the Face of the Euthanasia Law. </w:t>
      </w:r>
      <w:r w:rsidRPr="00CD214F">
        <w:rPr>
          <w:lang w:val="es-ES"/>
        </w:rPr>
        <w:t>Mobilizational Repertoire and Identity Work (2018-21) [El campo antiderechos español frente a la Ley de Eutanasia. Repertorio movilizacional y trabajo identitario (2018-21)]. Revista Internacional de Sociología.</w:t>
      </w:r>
    </w:p>
  </w:footnote>
  <w:footnote w:id="455">
    <w:p w14:paraId="6EF95D65" w14:textId="77777777" w:rsidR="00474C3C" w:rsidRPr="00293B92" w:rsidRDefault="00474C3C" w:rsidP="00D655D3">
      <w:pPr>
        <w:pStyle w:val="FootnoteText"/>
        <w:jc w:val="both"/>
        <w:rPr>
          <w:lang w:val="en-US"/>
        </w:rPr>
      </w:pPr>
      <w:r w:rsidRPr="00186378">
        <w:rPr>
          <w:rStyle w:val="FootnoteReference"/>
        </w:rPr>
        <w:footnoteRef/>
      </w:r>
      <w:r w:rsidRPr="00CD214F">
        <w:rPr>
          <w:lang w:val="es-ES"/>
        </w:rPr>
        <w:t xml:space="preserve"> - Verdaguer, M., Beroiz-Groh, P., Busquet-Duran, X., Moreno-Gabriel, E., Arreciado Marañón, A., Feijoo-Cid, M., Domènech, M., Íñiguez-Rueda, L., Vallès-Peris, N., Cantarell-Barella, G., &amp; Toran-Monserrat, P. (2024). </w:t>
      </w:r>
      <w:r w:rsidRPr="00293B92">
        <w:rPr>
          <w:lang w:val="en-US"/>
        </w:rPr>
        <w:t xml:space="preserve">[The euthanasia law and professional experiences: Tensions in clinical practice]. Gaceta Sanitaria, 38, 102373. </w:t>
      </w:r>
      <w:hyperlink r:id="rId418" w:history="1">
        <w:r w:rsidRPr="00293B92">
          <w:rPr>
            <w:rStyle w:val="Hyperlink"/>
            <w:lang w:val="en-US"/>
          </w:rPr>
          <w:t>https://doi.org/10.1016/j.gaceta.2024.102373</w:t>
        </w:r>
      </w:hyperlink>
    </w:p>
  </w:footnote>
  <w:footnote w:id="456">
    <w:p w14:paraId="6F80E632"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Snijdewind, M. C., van Tol, D. G., Onwuteaka-Philipsen, B. D., &amp; Willems, D. L. (2018). Developments in the practice of physician-assisted dying: Perceptions of physicians who had experience with complex cases. Journal of Medical Ethics, 44(5), 292–296. </w:t>
      </w:r>
      <w:hyperlink r:id="rId419" w:history="1">
        <w:r w:rsidRPr="00293B92">
          <w:rPr>
            <w:rStyle w:val="Hyperlink"/>
            <w:lang w:val="en-US"/>
          </w:rPr>
          <w:t>https://doi.org/10.1136/medethics-2016-103405</w:t>
        </w:r>
      </w:hyperlink>
    </w:p>
  </w:footnote>
  <w:footnote w:id="457">
    <w:p w14:paraId="3F0C0BC4"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Buijsen, M. (2016). Communicating Concerns: Reviewing the Review Procedure in Dutch Euthanasia Law. Cambridge Quarterly of Healthcare Ethics, 25(3), 395–403. </w:t>
      </w:r>
      <w:hyperlink r:id="rId420" w:history="1">
        <w:r w:rsidRPr="00293B92">
          <w:rPr>
            <w:rStyle w:val="Hyperlink"/>
            <w:lang w:val="en-US"/>
          </w:rPr>
          <w:t>https://www.cambridge.org/core/journals/cambridge-quarterly-of-healthcare-ethics/article/communicating-concerns/5B8D23A699D5519D431EFED7FE342B53</w:t>
        </w:r>
      </w:hyperlink>
    </w:p>
  </w:footnote>
  <w:footnote w:id="458">
    <w:p w14:paraId="4C2C44EE" w14:textId="77777777" w:rsidR="00474C3C" w:rsidRPr="00293B92" w:rsidRDefault="00474C3C" w:rsidP="00D655D3">
      <w:pPr>
        <w:pStyle w:val="FootnoteText"/>
        <w:jc w:val="both"/>
        <w:rPr>
          <w:lang w:val="en-US"/>
        </w:rPr>
      </w:pPr>
      <w:r w:rsidRPr="00186378">
        <w:rPr>
          <w:rStyle w:val="FootnoteReference"/>
        </w:rPr>
        <w:footnoteRef/>
      </w:r>
      <w:r w:rsidRPr="004646AE">
        <w:rPr>
          <w:lang w:val="pl-PL"/>
        </w:rPr>
        <w:t xml:space="preserve"> - Leppert, W., Gottwald, L., Majkowicz, M., Kazmierczak-Lukaszewicz, S., Forycka, M., Cialkowska-Rysz, A., &amp; Kotlinska-Lemieszek, A. (2013). </w:t>
      </w:r>
      <w:r w:rsidRPr="00293B92">
        <w:rPr>
          <w:lang w:val="en-US"/>
        </w:rPr>
        <w:t xml:space="preserve">A Comparison of Attitudes Toward Euthanasia Among Medical Students at Two Polish Universities. Journal of Cancer Education, 28(2), 384–391. </w:t>
      </w:r>
      <w:hyperlink r:id="rId421" w:history="1">
        <w:r w:rsidRPr="00293B92">
          <w:rPr>
            <w:rStyle w:val="Hyperlink"/>
            <w:lang w:val="en-US"/>
          </w:rPr>
          <w:t>https://doi.org/10.1007/s13187-012-0414-4</w:t>
        </w:r>
      </w:hyperlink>
    </w:p>
  </w:footnote>
  <w:footnote w:id="459">
    <w:p w14:paraId="595D396C"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Terkamo-Moisio, A., Gastmans, C., Ryynänen, O.-P., &amp; Pietilä, A.-M. (2019). Finnish nurses’ attitudes towards their role in the euthanasia process. Nursing Ethics, 26(3), 700–714. </w:t>
      </w:r>
      <w:hyperlink r:id="rId422" w:history="1">
        <w:r w:rsidRPr="00293B92">
          <w:rPr>
            <w:rStyle w:val="Hyperlink"/>
            <w:lang w:val="en-US"/>
          </w:rPr>
          <w:t>https://doi.org/10.1177/0969733017720850</w:t>
        </w:r>
      </w:hyperlink>
    </w:p>
  </w:footnote>
  <w:footnote w:id="460">
    <w:p w14:paraId="6870D1B4"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Woods, M., &amp; Rook, H. (2022). Exploring hospice Nurses’ viewpoints on end-of-life practices and assisted dying: A thematic analysis. Journal of Hospice &amp; Palliative Nursing, 24(4), E117–E125. </w:t>
      </w:r>
      <w:hyperlink r:id="rId423" w:history="1">
        <w:r w:rsidRPr="00293B92">
          <w:rPr>
            <w:rStyle w:val="Hyperlink"/>
            <w:lang w:val="en-US"/>
          </w:rPr>
          <w:t>https://journals.lww.com/jhpn/fulltext/2022/08000/Exploring_Hospice_Nurses__Viewpoints_on.8.aspx</w:t>
        </w:r>
      </w:hyperlink>
    </w:p>
  </w:footnote>
  <w:footnote w:id="461">
    <w:p w14:paraId="4B29CEB1" w14:textId="77777777" w:rsidR="00474C3C" w:rsidRPr="00293B92" w:rsidRDefault="00474C3C" w:rsidP="00D655D3">
      <w:pPr>
        <w:pStyle w:val="FootnoteText"/>
        <w:jc w:val="both"/>
        <w:rPr>
          <w:lang w:val="en-US"/>
        </w:rPr>
      </w:pPr>
      <w:r w:rsidRPr="00186378">
        <w:rPr>
          <w:rStyle w:val="FootnoteReference"/>
        </w:rPr>
        <w:footnoteRef/>
      </w:r>
      <w:r w:rsidRPr="004646AE">
        <w:rPr>
          <w:lang w:val="fr-FR"/>
        </w:rPr>
        <w:t xml:space="preserve"> - Demedts, D., Magerman, J., Goossens, E., Tricas-Sauras, S., Bilsen, J., De Smet, S., &amp; Fobelets, M. (2024). </w:t>
      </w:r>
      <w:r w:rsidRPr="00293B92">
        <w:rPr>
          <w:lang w:val="en-US"/>
        </w:rPr>
        <w:t xml:space="preserve">Using simulation to teach nursing students how to deal with a euthanasia request. Plos One, 19(3), e0299049. </w:t>
      </w:r>
      <w:hyperlink r:id="rId424" w:history="1">
        <w:r w:rsidRPr="00293B92">
          <w:rPr>
            <w:rStyle w:val="Hyperlink"/>
            <w:lang w:val="en-US"/>
          </w:rPr>
          <w:t>https://journals.plos.org/plosone/article?id=10.1371/journal.pone.0299049</w:t>
        </w:r>
      </w:hyperlink>
    </w:p>
  </w:footnote>
  <w:footnote w:id="462">
    <w:p w14:paraId="1DEB3026" w14:textId="77777777" w:rsidR="00474C3C" w:rsidRPr="00293B92" w:rsidRDefault="00474C3C" w:rsidP="00D655D3">
      <w:pPr>
        <w:pStyle w:val="FootnoteText"/>
        <w:jc w:val="both"/>
        <w:rPr>
          <w:lang w:val="en-US"/>
        </w:rPr>
      </w:pPr>
      <w:r w:rsidRPr="00186378">
        <w:rPr>
          <w:rStyle w:val="FootnoteReference"/>
        </w:rPr>
        <w:footnoteRef/>
      </w:r>
      <w:r w:rsidRPr="00ED3976">
        <w:rPr>
          <w:lang w:val="en-US"/>
        </w:rPr>
        <w:t xml:space="preserve"> - Hesselink, B. A. M., Onwuteaka-Philipsen, B. D., Janssen, A., Buiting, H. M., Kollau, M., Rietjens, J. A. C., &amp; Pasman, H. R. W. (2012). </w:t>
      </w:r>
      <w:r w:rsidRPr="00293B92">
        <w:rPr>
          <w:lang w:val="en-US"/>
        </w:rPr>
        <w:t xml:space="preserve">Do guidelines on euthanasia and physician-assisted suicide in Dutch hospitals and nursing homes reflect the law? A content analysis. Journal of Medical Ethics, 38(1), 35–42. </w:t>
      </w:r>
      <w:hyperlink r:id="rId425" w:history="1">
        <w:r w:rsidRPr="00293B92">
          <w:rPr>
            <w:rStyle w:val="Hyperlink"/>
            <w:lang w:val="en-US"/>
          </w:rPr>
          <w:t>https://jme.bmj.com/content/38/1/35.short</w:t>
        </w:r>
      </w:hyperlink>
    </w:p>
  </w:footnote>
  <w:footnote w:id="463">
    <w:p w14:paraId="62A2DF18" w14:textId="77777777" w:rsidR="00474C3C" w:rsidRPr="00293B92" w:rsidRDefault="00474C3C" w:rsidP="00D655D3">
      <w:pPr>
        <w:pStyle w:val="FootnoteText"/>
        <w:jc w:val="both"/>
        <w:rPr>
          <w:lang w:val="en-US"/>
        </w:rPr>
      </w:pPr>
      <w:r w:rsidRPr="00186378">
        <w:rPr>
          <w:rStyle w:val="FootnoteReference"/>
        </w:rPr>
        <w:footnoteRef/>
      </w:r>
      <w:r w:rsidRPr="00186378">
        <w:rPr>
          <w:lang w:val="fr-FR"/>
        </w:rPr>
        <w:t xml:space="preserve"> - Arreciado Marañón, A., García-Sierra, R., Busquet-Duran, X., Tort-Nasarre, G., &amp; Feijoo-Cid, M. (2025). </w:t>
      </w:r>
      <w:r w:rsidRPr="00293B92">
        <w:rPr>
          <w:lang w:val="en-US"/>
        </w:rPr>
        <w:t xml:space="preserve">Nursing students’ attitude toward euthanasia following its legalization in Spain. Nursing Ethics, 32(2), 412–423. </w:t>
      </w:r>
      <w:hyperlink r:id="rId426" w:history="1">
        <w:r w:rsidRPr="00293B92">
          <w:rPr>
            <w:rStyle w:val="Hyperlink"/>
            <w:lang w:val="en-US"/>
          </w:rPr>
          <w:t>https://doi.org/10.1177/09697330241238342</w:t>
        </w:r>
      </w:hyperlink>
    </w:p>
  </w:footnote>
  <w:footnote w:id="464">
    <w:p w14:paraId="1D558BE4"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Bolt, E. E., Flens, E. Q., Pasman, H. R. W., Willems, D., &amp; Onwuteaka‐Philipsen, B. D. (2017). Physician‐assisted dying for children is conceivable for most Dutch paediatricians, irrespective of the patient’s age or competence to decide. Acta Paediatrica, 106(4), 668–675. </w:t>
      </w:r>
      <w:hyperlink r:id="rId427" w:history="1">
        <w:r w:rsidRPr="00293B92">
          <w:rPr>
            <w:rStyle w:val="Hyperlink"/>
            <w:lang w:val="en-US"/>
          </w:rPr>
          <w:t>https://doi.org/10.1111/apa.13620</w:t>
        </w:r>
      </w:hyperlink>
    </w:p>
  </w:footnote>
  <w:footnote w:id="465">
    <w:p w14:paraId="75E45A14"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Coers, D. O., Scholten, S. H., De Boer, M. E., Sizoo, E. M., Buijsen, M. A. J. M., Frederiks, B. J. M., Leget, C. J. W., &amp; Hertogh, C. M. P. M. (2024). A qualitative focus group study on legal experts’ views regarding euthanasia requests based on an advance euthanasia directive. BMC Medical Ethics, 25(1), 119. </w:t>
      </w:r>
      <w:hyperlink r:id="rId428" w:history="1">
        <w:r w:rsidRPr="00293B92">
          <w:rPr>
            <w:rStyle w:val="Hyperlink"/>
            <w:lang w:val="en-US"/>
          </w:rPr>
          <w:t>https://doi.org/10.1186/s12910-024-01111-2</w:t>
        </w:r>
      </w:hyperlink>
    </w:p>
  </w:footnote>
  <w:footnote w:id="466">
    <w:p w14:paraId="5460B091" w14:textId="77777777" w:rsidR="00474C3C" w:rsidRPr="00293B92" w:rsidRDefault="00474C3C" w:rsidP="00D655D3">
      <w:pPr>
        <w:pStyle w:val="FootnoteText"/>
        <w:jc w:val="both"/>
        <w:rPr>
          <w:lang w:val="en-US"/>
        </w:rPr>
      </w:pPr>
      <w:r w:rsidRPr="00186378">
        <w:rPr>
          <w:rStyle w:val="FootnoteReference"/>
        </w:rPr>
        <w:footnoteRef/>
      </w:r>
      <w:r w:rsidRPr="00293B92">
        <w:rPr>
          <w:lang w:val="en-US"/>
        </w:rPr>
        <w:t xml:space="preserve"> - Bergman, T. D., Pasman, H. R. W., &amp; Onwuteaka-Philipsen, B. D. (2020). Complexities in consultations in case of euthanasia or physician-assisted suicide: A survey among SCEN physicians. BMC Family Practice, 21(1), 6. </w:t>
      </w:r>
      <w:hyperlink r:id="rId429" w:history="1">
        <w:r w:rsidRPr="00293B92">
          <w:rPr>
            <w:rStyle w:val="Hyperlink"/>
            <w:lang w:val="en-US"/>
          </w:rPr>
          <w:t>https://doi.org/10.1186/s12875-019-1063-z</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BFF"/>
    <w:multiLevelType w:val="hybridMultilevel"/>
    <w:tmpl w:val="77F0C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60359"/>
    <w:multiLevelType w:val="hybridMultilevel"/>
    <w:tmpl w:val="3B767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21C5B"/>
    <w:multiLevelType w:val="multilevel"/>
    <w:tmpl w:val="F05CB8AE"/>
    <w:lvl w:ilvl="0">
      <w:start w:val="1"/>
      <w:numFmt w:val="decimal"/>
      <w:lvlText w:val="%1."/>
      <w:lvlJc w:val="left"/>
      <w:pPr>
        <w:ind w:left="720" w:hanging="360"/>
      </w:pPr>
    </w:lvl>
    <w:lvl w:ilvl="1">
      <w:start w:val="4"/>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3" w15:restartNumberingAfterBreak="0">
    <w:nsid w:val="0A6C7E9B"/>
    <w:multiLevelType w:val="hybridMultilevel"/>
    <w:tmpl w:val="BA7A8C1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366324"/>
    <w:multiLevelType w:val="hybridMultilevel"/>
    <w:tmpl w:val="36B66B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2B1219"/>
    <w:multiLevelType w:val="multilevel"/>
    <w:tmpl w:val="DB1659C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B2385B"/>
    <w:multiLevelType w:val="hybridMultilevel"/>
    <w:tmpl w:val="58868C92"/>
    <w:lvl w:ilvl="0" w:tplc="85521AA0">
      <w:start w:val="4"/>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DF1069"/>
    <w:multiLevelType w:val="hybridMultilevel"/>
    <w:tmpl w:val="A2C85E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3327D2"/>
    <w:multiLevelType w:val="hybridMultilevel"/>
    <w:tmpl w:val="A14C8FF2"/>
    <w:lvl w:ilvl="0" w:tplc="20A26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FC522F"/>
    <w:multiLevelType w:val="multilevel"/>
    <w:tmpl w:val="70E09980"/>
    <w:lvl w:ilvl="0">
      <w:start w:val="1"/>
      <w:numFmt w:val="upperRoman"/>
      <w:lvlText w:val="%1."/>
      <w:lvlJc w:val="left"/>
      <w:pPr>
        <w:ind w:left="1080" w:hanging="72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870D21"/>
    <w:multiLevelType w:val="hybridMultilevel"/>
    <w:tmpl w:val="94A631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D71F44"/>
    <w:multiLevelType w:val="multilevel"/>
    <w:tmpl w:val="7D20B9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D2506C3"/>
    <w:multiLevelType w:val="multilevel"/>
    <w:tmpl w:val="0B540B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275052"/>
    <w:multiLevelType w:val="hybridMultilevel"/>
    <w:tmpl w:val="F7BA49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F35DB9"/>
    <w:multiLevelType w:val="hybridMultilevel"/>
    <w:tmpl w:val="B2666F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4A4AAE"/>
    <w:multiLevelType w:val="hybridMultilevel"/>
    <w:tmpl w:val="5A9099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CF393C"/>
    <w:multiLevelType w:val="multilevel"/>
    <w:tmpl w:val="F9DCF10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FE6F9E"/>
    <w:multiLevelType w:val="multilevel"/>
    <w:tmpl w:val="8E8064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AE650A"/>
    <w:multiLevelType w:val="multilevel"/>
    <w:tmpl w:val="70109C12"/>
    <w:lvl w:ilvl="0">
      <w:start w:val="1"/>
      <w:numFmt w:val="upperRoman"/>
      <w:lvlText w:val="%1."/>
      <w:lvlJc w:val="right"/>
      <w:pPr>
        <w:ind w:left="720" w:hanging="360"/>
      </w:pPr>
    </w:lvl>
    <w:lvl w:ilvl="1">
      <w:start w:val="1"/>
      <w:numFmt w:val="decimal"/>
      <w:isLgl/>
      <w:lvlText w:val="%1.%2."/>
      <w:lvlJc w:val="left"/>
      <w:pPr>
        <w:ind w:left="1146" w:hanging="720"/>
      </w:pPr>
      <w:rPr>
        <w:rFonts w:hint="default"/>
        <w:strike w:val="0"/>
      </w:rPr>
    </w:lvl>
    <w:lvl w:ilvl="2">
      <w:start w:val="1"/>
      <w:numFmt w:val="decimal"/>
      <w:isLgl/>
      <w:lvlText w:val="%1.%2.%3."/>
      <w:lvlJc w:val="left"/>
      <w:pPr>
        <w:ind w:left="4265"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1234B6"/>
    <w:multiLevelType w:val="hybridMultilevel"/>
    <w:tmpl w:val="C30A00E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927063"/>
    <w:multiLevelType w:val="hybridMultilevel"/>
    <w:tmpl w:val="9CCEFA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EF97ED6"/>
    <w:multiLevelType w:val="multilevel"/>
    <w:tmpl w:val="79BA6DF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7AF1816"/>
    <w:multiLevelType w:val="hybridMultilevel"/>
    <w:tmpl w:val="795AD1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5318EF"/>
    <w:multiLevelType w:val="hybridMultilevel"/>
    <w:tmpl w:val="46B26C5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591A6B"/>
    <w:multiLevelType w:val="hybridMultilevel"/>
    <w:tmpl w:val="46B26C5E"/>
    <w:lvl w:ilvl="0" w:tplc="040C0017">
      <w:start w:val="1"/>
      <w:numFmt w:val="lowerLetter"/>
      <w:lvlText w:val="%1)"/>
      <w:lvlJc w:val="left"/>
      <w:pPr>
        <w:ind w:left="4330" w:hanging="360"/>
      </w:pPr>
    </w:lvl>
    <w:lvl w:ilvl="1" w:tplc="040C0019" w:tentative="1">
      <w:start w:val="1"/>
      <w:numFmt w:val="lowerLetter"/>
      <w:lvlText w:val="%2."/>
      <w:lvlJc w:val="left"/>
      <w:pPr>
        <w:ind w:left="5050" w:hanging="360"/>
      </w:pPr>
    </w:lvl>
    <w:lvl w:ilvl="2" w:tplc="040C001B" w:tentative="1">
      <w:start w:val="1"/>
      <w:numFmt w:val="lowerRoman"/>
      <w:lvlText w:val="%3."/>
      <w:lvlJc w:val="right"/>
      <w:pPr>
        <w:ind w:left="5770" w:hanging="180"/>
      </w:pPr>
    </w:lvl>
    <w:lvl w:ilvl="3" w:tplc="040C000F" w:tentative="1">
      <w:start w:val="1"/>
      <w:numFmt w:val="decimal"/>
      <w:lvlText w:val="%4."/>
      <w:lvlJc w:val="left"/>
      <w:pPr>
        <w:ind w:left="6490" w:hanging="360"/>
      </w:pPr>
    </w:lvl>
    <w:lvl w:ilvl="4" w:tplc="040C0019" w:tentative="1">
      <w:start w:val="1"/>
      <w:numFmt w:val="lowerLetter"/>
      <w:lvlText w:val="%5."/>
      <w:lvlJc w:val="left"/>
      <w:pPr>
        <w:ind w:left="7210" w:hanging="360"/>
      </w:pPr>
    </w:lvl>
    <w:lvl w:ilvl="5" w:tplc="040C001B" w:tentative="1">
      <w:start w:val="1"/>
      <w:numFmt w:val="lowerRoman"/>
      <w:lvlText w:val="%6."/>
      <w:lvlJc w:val="right"/>
      <w:pPr>
        <w:ind w:left="7930" w:hanging="180"/>
      </w:pPr>
    </w:lvl>
    <w:lvl w:ilvl="6" w:tplc="040C000F" w:tentative="1">
      <w:start w:val="1"/>
      <w:numFmt w:val="decimal"/>
      <w:lvlText w:val="%7."/>
      <w:lvlJc w:val="left"/>
      <w:pPr>
        <w:ind w:left="8650" w:hanging="360"/>
      </w:pPr>
    </w:lvl>
    <w:lvl w:ilvl="7" w:tplc="040C0019" w:tentative="1">
      <w:start w:val="1"/>
      <w:numFmt w:val="lowerLetter"/>
      <w:lvlText w:val="%8."/>
      <w:lvlJc w:val="left"/>
      <w:pPr>
        <w:ind w:left="9370" w:hanging="360"/>
      </w:pPr>
    </w:lvl>
    <w:lvl w:ilvl="8" w:tplc="040C001B" w:tentative="1">
      <w:start w:val="1"/>
      <w:numFmt w:val="lowerRoman"/>
      <w:lvlText w:val="%9."/>
      <w:lvlJc w:val="right"/>
      <w:pPr>
        <w:ind w:left="10090" w:hanging="180"/>
      </w:pPr>
    </w:lvl>
  </w:abstractNum>
  <w:abstractNum w:abstractNumId="25" w15:restartNumberingAfterBreak="0">
    <w:nsid w:val="66B27837"/>
    <w:multiLevelType w:val="hybridMultilevel"/>
    <w:tmpl w:val="CB4C97FA"/>
    <w:lvl w:ilvl="0" w:tplc="719E251A">
      <w:start w:val="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4F13C3"/>
    <w:multiLevelType w:val="hybridMultilevel"/>
    <w:tmpl w:val="87F0A2B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AB6290"/>
    <w:multiLevelType w:val="multilevel"/>
    <w:tmpl w:val="9FE0D30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85F5711"/>
    <w:multiLevelType w:val="hybridMultilevel"/>
    <w:tmpl w:val="5E6257F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CC1B76"/>
    <w:multiLevelType w:val="hybridMultilevel"/>
    <w:tmpl w:val="60E2313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91802C4"/>
    <w:multiLevelType w:val="hybridMultilevel"/>
    <w:tmpl w:val="B17200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BA3215F"/>
    <w:multiLevelType w:val="multilevel"/>
    <w:tmpl w:val="DFD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D7A73"/>
    <w:multiLevelType w:val="hybridMultilevel"/>
    <w:tmpl w:val="C2DE48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F457019"/>
    <w:multiLevelType w:val="hybridMultilevel"/>
    <w:tmpl w:val="5DA62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BA5845"/>
    <w:multiLevelType w:val="multilevel"/>
    <w:tmpl w:val="32CC18EC"/>
    <w:lvl w:ilvl="0">
      <w:start w:val="1"/>
      <w:numFmt w:val="decimal"/>
      <w:lvlText w:val="%1."/>
      <w:lvlJc w:val="left"/>
      <w:pPr>
        <w:ind w:left="540" w:hanging="540"/>
      </w:pPr>
      <w:rPr>
        <w:rFonts w:hint="default"/>
      </w:rPr>
    </w:lvl>
    <w:lvl w:ilvl="1">
      <w:start w:val="4"/>
      <w:numFmt w:val="decimal"/>
      <w:lvlText w:val="%1.%2."/>
      <w:lvlJc w:val="left"/>
      <w:pPr>
        <w:ind w:left="1320" w:hanging="540"/>
      </w:pPr>
      <w:rPr>
        <w:rFonts w:hint="default"/>
      </w:rPr>
    </w:lvl>
    <w:lvl w:ilvl="2">
      <w:start w:val="3"/>
      <w:numFmt w:val="decimal"/>
      <w:lvlText w:val="%1.%2.%3."/>
      <w:lvlJc w:val="left"/>
      <w:pPr>
        <w:ind w:left="55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5" w15:restartNumberingAfterBreak="0">
    <w:nsid w:val="76590184"/>
    <w:multiLevelType w:val="hybridMultilevel"/>
    <w:tmpl w:val="A2040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E3FB2"/>
    <w:multiLevelType w:val="hybridMultilevel"/>
    <w:tmpl w:val="46B26C5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80119B8"/>
    <w:multiLevelType w:val="hybridMultilevel"/>
    <w:tmpl w:val="DE24A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5B141E"/>
    <w:multiLevelType w:val="hybridMultilevel"/>
    <w:tmpl w:val="9B8E3B86"/>
    <w:lvl w:ilvl="0" w:tplc="DC3A5DCA">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9C30158"/>
    <w:multiLevelType w:val="hybridMultilevel"/>
    <w:tmpl w:val="612E7F8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462FEC"/>
    <w:multiLevelType w:val="hybridMultilevel"/>
    <w:tmpl w:val="4B1CE5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AE6221F"/>
    <w:multiLevelType w:val="hybridMultilevel"/>
    <w:tmpl w:val="5CDE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CC60AD"/>
    <w:multiLevelType w:val="multilevel"/>
    <w:tmpl w:val="5E682F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35752735">
    <w:abstractNumId w:val="38"/>
  </w:num>
  <w:num w:numId="2" w16cid:durableId="876234368">
    <w:abstractNumId w:val="0"/>
  </w:num>
  <w:num w:numId="3" w16cid:durableId="13969168">
    <w:abstractNumId w:val="27"/>
  </w:num>
  <w:num w:numId="4" w16cid:durableId="1748069519">
    <w:abstractNumId w:val="13"/>
  </w:num>
  <w:num w:numId="5" w16cid:durableId="215362798">
    <w:abstractNumId w:val="25"/>
  </w:num>
  <w:num w:numId="6" w16cid:durableId="1804427704">
    <w:abstractNumId w:val="11"/>
  </w:num>
  <w:num w:numId="7" w16cid:durableId="1077095495">
    <w:abstractNumId w:val="41"/>
  </w:num>
  <w:num w:numId="8" w16cid:durableId="364019022">
    <w:abstractNumId w:val="9"/>
  </w:num>
  <w:num w:numId="9" w16cid:durableId="189488483">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1506735">
    <w:abstractNumId w:val="16"/>
  </w:num>
  <w:num w:numId="11" w16cid:durableId="1370911268">
    <w:abstractNumId w:val="39"/>
  </w:num>
  <w:num w:numId="12" w16cid:durableId="201791209">
    <w:abstractNumId w:val="28"/>
  </w:num>
  <w:num w:numId="13" w16cid:durableId="2127233051">
    <w:abstractNumId w:val="20"/>
  </w:num>
  <w:num w:numId="14" w16cid:durableId="192546407">
    <w:abstractNumId w:val="5"/>
  </w:num>
  <w:num w:numId="15" w16cid:durableId="1640257791">
    <w:abstractNumId w:val="7"/>
  </w:num>
  <w:num w:numId="16" w16cid:durableId="2084182021">
    <w:abstractNumId w:val="2"/>
  </w:num>
  <w:num w:numId="17" w16cid:durableId="662974092">
    <w:abstractNumId w:val="4"/>
  </w:num>
  <w:num w:numId="18" w16cid:durableId="1583762365">
    <w:abstractNumId w:val="1"/>
  </w:num>
  <w:num w:numId="19" w16cid:durableId="492569188">
    <w:abstractNumId w:val="15"/>
  </w:num>
  <w:num w:numId="20" w16cid:durableId="216624282">
    <w:abstractNumId w:val="8"/>
  </w:num>
  <w:num w:numId="21" w16cid:durableId="1733430739">
    <w:abstractNumId w:val="17"/>
  </w:num>
  <w:num w:numId="22" w16cid:durableId="1999458041">
    <w:abstractNumId w:val="12"/>
  </w:num>
  <w:num w:numId="23" w16cid:durableId="1681154527">
    <w:abstractNumId w:val="33"/>
  </w:num>
  <w:num w:numId="24" w16cid:durableId="735013092">
    <w:abstractNumId w:val="42"/>
  </w:num>
  <w:num w:numId="25" w16cid:durableId="1825974126">
    <w:abstractNumId w:val="31"/>
  </w:num>
  <w:num w:numId="26" w16cid:durableId="1845901904">
    <w:abstractNumId w:val="18"/>
  </w:num>
  <w:num w:numId="27" w16cid:durableId="1964578997">
    <w:abstractNumId w:val="29"/>
  </w:num>
  <w:num w:numId="28" w16cid:durableId="862397079">
    <w:abstractNumId w:val="19"/>
  </w:num>
  <w:num w:numId="29" w16cid:durableId="1109545966">
    <w:abstractNumId w:val="26"/>
  </w:num>
  <w:num w:numId="30" w16cid:durableId="537165459">
    <w:abstractNumId w:val="35"/>
  </w:num>
  <w:num w:numId="31" w16cid:durableId="117769388">
    <w:abstractNumId w:val="40"/>
  </w:num>
  <w:num w:numId="32" w16cid:durableId="351036031">
    <w:abstractNumId w:val="6"/>
  </w:num>
  <w:num w:numId="33" w16cid:durableId="1104226137">
    <w:abstractNumId w:val="37"/>
  </w:num>
  <w:num w:numId="34" w16cid:durableId="1773351956">
    <w:abstractNumId w:val="3"/>
  </w:num>
  <w:num w:numId="35" w16cid:durableId="1178738988">
    <w:abstractNumId w:val="10"/>
  </w:num>
  <w:num w:numId="36" w16cid:durableId="976834750">
    <w:abstractNumId w:val="32"/>
  </w:num>
  <w:num w:numId="37" w16cid:durableId="856702239">
    <w:abstractNumId w:val="30"/>
  </w:num>
  <w:num w:numId="38" w16cid:durableId="1581910040">
    <w:abstractNumId w:val="22"/>
  </w:num>
  <w:num w:numId="39" w16cid:durableId="2144076830">
    <w:abstractNumId w:val="14"/>
  </w:num>
  <w:num w:numId="40" w16cid:durableId="74864102">
    <w:abstractNumId w:val="24"/>
  </w:num>
  <w:num w:numId="41" w16cid:durableId="880751542">
    <w:abstractNumId w:val="36"/>
  </w:num>
  <w:num w:numId="42" w16cid:durableId="1109816507">
    <w:abstractNumId w:val="23"/>
  </w:num>
  <w:num w:numId="43" w16cid:durableId="1147551936">
    <w:abstractNumId w:val="34"/>
  </w:num>
  <w:num w:numId="44" w16cid:durableId="3814851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8C"/>
    <w:rsid w:val="00001C8C"/>
    <w:rsid w:val="00006853"/>
    <w:rsid w:val="00013C71"/>
    <w:rsid w:val="00022492"/>
    <w:rsid w:val="00024AAA"/>
    <w:rsid w:val="00025059"/>
    <w:rsid w:val="0002646F"/>
    <w:rsid w:val="0002739E"/>
    <w:rsid w:val="000422F5"/>
    <w:rsid w:val="00056A9C"/>
    <w:rsid w:val="000644BF"/>
    <w:rsid w:val="00071FB2"/>
    <w:rsid w:val="00072EA5"/>
    <w:rsid w:val="00073EC0"/>
    <w:rsid w:val="000753F3"/>
    <w:rsid w:val="00087425"/>
    <w:rsid w:val="0008753C"/>
    <w:rsid w:val="0009516F"/>
    <w:rsid w:val="00095984"/>
    <w:rsid w:val="00097501"/>
    <w:rsid w:val="000A1A04"/>
    <w:rsid w:val="000B2237"/>
    <w:rsid w:val="000B41EE"/>
    <w:rsid w:val="000C3DB1"/>
    <w:rsid w:val="000C3FD5"/>
    <w:rsid w:val="000C7C9B"/>
    <w:rsid w:val="000D3D61"/>
    <w:rsid w:val="000E616E"/>
    <w:rsid w:val="000F2545"/>
    <w:rsid w:val="000F2DD9"/>
    <w:rsid w:val="000F53EA"/>
    <w:rsid w:val="000F6281"/>
    <w:rsid w:val="000F69CB"/>
    <w:rsid w:val="00104BD2"/>
    <w:rsid w:val="001051F1"/>
    <w:rsid w:val="0010710E"/>
    <w:rsid w:val="00113530"/>
    <w:rsid w:val="00113846"/>
    <w:rsid w:val="00115728"/>
    <w:rsid w:val="00115A81"/>
    <w:rsid w:val="00117062"/>
    <w:rsid w:val="00121210"/>
    <w:rsid w:val="00122880"/>
    <w:rsid w:val="001256EA"/>
    <w:rsid w:val="001277AC"/>
    <w:rsid w:val="001306C8"/>
    <w:rsid w:val="00132C48"/>
    <w:rsid w:val="0013305E"/>
    <w:rsid w:val="00134497"/>
    <w:rsid w:val="00134A0D"/>
    <w:rsid w:val="001358B4"/>
    <w:rsid w:val="00153A41"/>
    <w:rsid w:val="001578D3"/>
    <w:rsid w:val="001626A6"/>
    <w:rsid w:val="00164D53"/>
    <w:rsid w:val="00171590"/>
    <w:rsid w:val="00173AFC"/>
    <w:rsid w:val="0017682C"/>
    <w:rsid w:val="001810BF"/>
    <w:rsid w:val="001820F8"/>
    <w:rsid w:val="00182536"/>
    <w:rsid w:val="00182C05"/>
    <w:rsid w:val="00191C62"/>
    <w:rsid w:val="00194DA9"/>
    <w:rsid w:val="0019538E"/>
    <w:rsid w:val="0019592C"/>
    <w:rsid w:val="001A2C9B"/>
    <w:rsid w:val="001A383C"/>
    <w:rsid w:val="001A5697"/>
    <w:rsid w:val="001B6CB7"/>
    <w:rsid w:val="001C255C"/>
    <w:rsid w:val="001C7CF7"/>
    <w:rsid w:val="001D10E9"/>
    <w:rsid w:val="001D1B0C"/>
    <w:rsid w:val="001D66A2"/>
    <w:rsid w:val="001D7DE8"/>
    <w:rsid w:val="001E228D"/>
    <w:rsid w:val="001F37A7"/>
    <w:rsid w:val="00207633"/>
    <w:rsid w:val="0021155C"/>
    <w:rsid w:val="002142D1"/>
    <w:rsid w:val="002250FA"/>
    <w:rsid w:val="00227B3D"/>
    <w:rsid w:val="00235481"/>
    <w:rsid w:val="0024057B"/>
    <w:rsid w:val="0024734A"/>
    <w:rsid w:val="0025087D"/>
    <w:rsid w:val="0026279B"/>
    <w:rsid w:val="00265802"/>
    <w:rsid w:val="00265985"/>
    <w:rsid w:val="00266685"/>
    <w:rsid w:val="00271567"/>
    <w:rsid w:val="00271DAE"/>
    <w:rsid w:val="00271E58"/>
    <w:rsid w:val="002732ED"/>
    <w:rsid w:val="00276CE7"/>
    <w:rsid w:val="00277481"/>
    <w:rsid w:val="00277BAA"/>
    <w:rsid w:val="00293B92"/>
    <w:rsid w:val="002963D3"/>
    <w:rsid w:val="002A00D3"/>
    <w:rsid w:val="002A396D"/>
    <w:rsid w:val="002B1BC5"/>
    <w:rsid w:val="002B3A50"/>
    <w:rsid w:val="002B48D9"/>
    <w:rsid w:val="002B5A9C"/>
    <w:rsid w:val="002B600B"/>
    <w:rsid w:val="002B784A"/>
    <w:rsid w:val="002C191B"/>
    <w:rsid w:val="002C2942"/>
    <w:rsid w:val="002C4CF0"/>
    <w:rsid w:val="002D0B24"/>
    <w:rsid w:val="002D0C33"/>
    <w:rsid w:val="002E3235"/>
    <w:rsid w:val="002F0A02"/>
    <w:rsid w:val="002F1CA5"/>
    <w:rsid w:val="002F3F6D"/>
    <w:rsid w:val="002F6AF1"/>
    <w:rsid w:val="00301D30"/>
    <w:rsid w:val="00310FCE"/>
    <w:rsid w:val="00312DC1"/>
    <w:rsid w:val="003136E1"/>
    <w:rsid w:val="00314BDD"/>
    <w:rsid w:val="0032282E"/>
    <w:rsid w:val="003239B1"/>
    <w:rsid w:val="00335784"/>
    <w:rsid w:val="00342C72"/>
    <w:rsid w:val="00342E4F"/>
    <w:rsid w:val="0034426E"/>
    <w:rsid w:val="003473D2"/>
    <w:rsid w:val="00351DA3"/>
    <w:rsid w:val="003522C7"/>
    <w:rsid w:val="003571E6"/>
    <w:rsid w:val="00357E78"/>
    <w:rsid w:val="00362FE9"/>
    <w:rsid w:val="00376FFA"/>
    <w:rsid w:val="00381212"/>
    <w:rsid w:val="00382B77"/>
    <w:rsid w:val="003849BB"/>
    <w:rsid w:val="003A0E73"/>
    <w:rsid w:val="003A148E"/>
    <w:rsid w:val="003A21FD"/>
    <w:rsid w:val="003A28A1"/>
    <w:rsid w:val="003A6EAE"/>
    <w:rsid w:val="003B709D"/>
    <w:rsid w:val="003C6905"/>
    <w:rsid w:val="003D0C40"/>
    <w:rsid w:val="003D3779"/>
    <w:rsid w:val="003E07FB"/>
    <w:rsid w:val="003E08D6"/>
    <w:rsid w:val="003E432B"/>
    <w:rsid w:val="003F3296"/>
    <w:rsid w:val="003F534C"/>
    <w:rsid w:val="003F5CBF"/>
    <w:rsid w:val="003F71D1"/>
    <w:rsid w:val="00401FD3"/>
    <w:rsid w:val="004032F9"/>
    <w:rsid w:val="00403F45"/>
    <w:rsid w:val="00404518"/>
    <w:rsid w:val="00405EE8"/>
    <w:rsid w:val="004116D9"/>
    <w:rsid w:val="00413E42"/>
    <w:rsid w:val="0042339E"/>
    <w:rsid w:val="00424B6B"/>
    <w:rsid w:val="00426DA4"/>
    <w:rsid w:val="004347EE"/>
    <w:rsid w:val="00434D87"/>
    <w:rsid w:val="00440E07"/>
    <w:rsid w:val="00443145"/>
    <w:rsid w:val="00444071"/>
    <w:rsid w:val="004442B2"/>
    <w:rsid w:val="00446879"/>
    <w:rsid w:val="0044765A"/>
    <w:rsid w:val="00450870"/>
    <w:rsid w:val="00453316"/>
    <w:rsid w:val="004646AE"/>
    <w:rsid w:val="00471553"/>
    <w:rsid w:val="0047306B"/>
    <w:rsid w:val="00473B43"/>
    <w:rsid w:val="00474C3C"/>
    <w:rsid w:val="00483866"/>
    <w:rsid w:val="00486A4E"/>
    <w:rsid w:val="00490646"/>
    <w:rsid w:val="00493414"/>
    <w:rsid w:val="004970BB"/>
    <w:rsid w:val="004A4625"/>
    <w:rsid w:val="004A465F"/>
    <w:rsid w:val="004A64E6"/>
    <w:rsid w:val="004A76DF"/>
    <w:rsid w:val="004A7A0D"/>
    <w:rsid w:val="004B385A"/>
    <w:rsid w:val="004B4756"/>
    <w:rsid w:val="004B5AD9"/>
    <w:rsid w:val="004C49BA"/>
    <w:rsid w:val="004C5406"/>
    <w:rsid w:val="004D3A7E"/>
    <w:rsid w:val="004D5550"/>
    <w:rsid w:val="004D74B7"/>
    <w:rsid w:val="004D7F66"/>
    <w:rsid w:val="004F06CB"/>
    <w:rsid w:val="004F3C2F"/>
    <w:rsid w:val="004F3DC8"/>
    <w:rsid w:val="00506033"/>
    <w:rsid w:val="00506173"/>
    <w:rsid w:val="00510E77"/>
    <w:rsid w:val="00517F81"/>
    <w:rsid w:val="00520147"/>
    <w:rsid w:val="00520672"/>
    <w:rsid w:val="005219E5"/>
    <w:rsid w:val="005221A2"/>
    <w:rsid w:val="00527722"/>
    <w:rsid w:val="0053560F"/>
    <w:rsid w:val="005358C9"/>
    <w:rsid w:val="00542F1F"/>
    <w:rsid w:val="0056414D"/>
    <w:rsid w:val="00571183"/>
    <w:rsid w:val="00572B4D"/>
    <w:rsid w:val="0057336D"/>
    <w:rsid w:val="0057441D"/>
    <w:rsid w:val="005774E0"/>
    <w:rsid w:val="00581456"/>
    <w:rsid w:val="005869AA"/>
    <w:rsid w:val="00592ACA"/>
    <w:rsid w:val="00592CAB"/>
    <w:rsid w:val="005A2D5A"/>
    <w:rsid w:val="005A4746"/>
    <w:rsid w:val="005A764B"/>
    <w:rsid w:val="005B233C"/>
    <w:rsid w:val="005B3ABD"/>
    <w:rsid w:val="005B515D"/>
    <w:rsid w:val="005C05FB"/>
    <w:rsid w:val="005C4B01"/>
    <w:rsid w:val="005C677A"/>
    <w:rsid w:val="005D0A6C"/>
    <w:rsid w:val="005D1511"/>
    <w:rsid w:val="005D6ADF"/>
    <w:rsid w:val="005E16F3"/>
    <w:rsid w:val="005E2196"/>
    <w:rsid w:val="005E2D34"/>
    <w:rsid w:val="005F0F72"/>
    <w:rsid w:val="005F3C95"/>
    <w:rsid w:val="005F5AF5"/>
    <w:rsid w:val="005F6D90"/>
    <w:rsid w:val="00600701"/>
    <w:rsid w:val="00601840"/>
    <w:rsid w:val="006131BC"/>
    <w:rsid w:val="00621622"/>
    <w:rsid w:val="00626632"/>
    <w:rsid w:val="00656FEC"/>
    <w:rsid w:val="00657F0D"/>
    <w:rsid w:val="00661ED4"/>
    <w:rsid w:val="00662E11"/>
    <w:rsid w:val="00665D02"/>
    <w:rsid w:val="00666828"/>
    <w:rsid w:val="00690CEC"/>
    <w:rsid w:val="0069630A"/>
    <w:rsid w:val="00696439"/>
    <w:rsid w:val="0069697D"/>
    <w:rsid w:val="006A03B1"/>
    <w:rsid w:val="006A1F2F"/>
    <w:rsid w:val="006A4BF7"/>
    <w:rsid w:val="006A625E"/>
    <w:rsid w:val="006B1C83"/>
    <w:rsid w:val="006C0EFB"/>
    <w:rsid w:val="006C248D"/>
    <w:rsid w:val="006C2CA7"/>
    <w:rsid w:val="006D061E"/>
    <w:rsid w:val="006D2836"/>
    <w:rsid w:val="006E12F1"/>
    <w:rsid w:val="006E3EAD"/>
    <w:rsid w:val="006E7722"/>
    <w:rsid w:val="006F0829"/>
    <w:rsid w:val="006F5A21"/>
    <w:rsid w:val="00704624"/>
    <w:rsid w:val="00715B7B"/>
    <w:rsid w:val="00722DEC"/>
    <w:rsid w:val="00733162"/>
    <w:rsid w:val="00735C8F"/>
    <w:rsid w:val="00750DC9"/>
    <w:rsid w:val="0075135C"/>
    <w:rsid w:val="007540D6"/>
    <w:rsid w:val="00756B19"/>
    <w:rsid w:val="007620DD"/>
    <w:rsid w:val="00766629"/>
    <w:rsid w:val="007716FF"/>
    <w:rsid w:val="007729D1"/>
    <w:rsid w:val="00775B21"/>
    <w:rsid w:val="007857CE"/>
    <w:rsid w:val="007874CD"/>
    <w:rsid w:val="007911B2"/>
    <w:rsid w:val="00791D87"/>
    <w:rsid w:val="00792955"/>
    <w:rsid w:val="00795977"/>
    <w:rsid w:val="007A3C7D"/>
    <w:rsid w:val="007B2F4F"/>
    <w:rsid w:val="007B42A5"/>
    <w:rsid w:val="007C28BF"/>
    <w:rsid w:val="007C2C03"/>
    <w:rsid w:val="007C5875"/>
    <w:rsid w:val="007D0C40"/>
    <w:rsid w:val="007D161B"/>
    <w:rsid w:val="007E4967"/>
    <w:rsid w:val="007E6D3E"/>
    <w:rsid w:val="007F7A46"/>
    <w:rsid w:val="00802402"/>
    <w:rsid w:val="00812251"/>
    <w:rsid w:val="008128CC"/>
    <w:rsid w:val="00816F48"/>
    <w:rsid w:val="00820DF8"/>
    <w:rsid w:val="00822878"/>
    <w:rsid w:val="00826814"/>
    <w:rsid w:val="00833D79"/>
    <w:rsid w:val="0083625F"/>
    <w:rsid w:val="008451DD"/>
    <w:rsid w:val="00851E2A"/>
    <w:rsid w:val="008608E3"/>
    <w:rsid w:val="00864C40"/>
    <w:rsid w:val="00867FB6"/>
    <w:rsid w:val="00873910"/>
    <w:rsid w:val="00882673"/>
    <w:rsid w:val="00882CFC"/>
    <w:rsid w:val="0088551A"/>
    <w:rsid w:val="008917D2"/>
    <w:rsid w:val="008A7202"/>
    <w:rsid w:val="008B2004"/>
    <w:rsid w:val="008B2230"/>
    <w:rsid w:val="008C04C4"/>
    <w:rsid w:val="008C2AF5"/>
    <w:rsid w:val="008E21D1"/>
    <w:rsid w:val="008E7E07"/>
    <w:rsid w:val="008F5229"/>
    <w:rsid w:val="00902F03"/>
    <w:rsid w:val="009033B4"/>
    <w:rsid w:val="00904B5C"/>
    <w:rsid w:val="009144D1"/>
    <w:rsid w:val="00915C72"/>
    <w:rsid w:val="00922395"/>
    <w:rsid w:val="009263AB"/>
    <w:rsid w:val="00932FE9"/>
    <w:rsid w:val="00937B08"/>
    <w:rsid w:val="00941884"/>
    <w:rsid w:val="00941E7F"/>
    <w:rsid w:val="00942258"/>
    <w:rsid w:val="00951528"/>
    <w:rsid w:val="00960EDB"/>
    <w:rsid w:val="00961C13"/>
    <w:rsid w:val="009621EA"/>
    <w:rsid w:val="0096627A"/>
    <w:rsid w:val="0096630B"/>
    <w:rsid w:val="009858A3"/>
    <w:rsid w:val="00987146"/>
    <w:rsid w:val="009929F4"/>
    <w:rsid w:val="009A113A"/>
    <w:rsid w:val="009B0179"/>
    <w:rsid w:val="009B2980"/>
    <w:rsid w:val="009B7BD0"/>
    <w:rsid w:val="009C007C"/>
    <w:rsid w:val="009C39E3"/>
    <w:rsid w:val="009D0187"/>
    <w:rsid w:val="009D213D"/>
    <w:rsid w:val="009D5BDE"/>
    <w:rsid w:val="009E0C09"/>
    <w:rsid w:val="009E184F"/>
    <w:rsid w:val="009E2585"/>
    <w:rsid w:val="009E4150"/>
    <w:rsid w:val="009F1FB9"/>
    <w:rsid w:val="009F33C0"/>
    <w:rsid w:val="009F48CF"/>
    <w:rsid w:val="009F5EFE"/>
    <w:rsid w:val="00A06C44"/>
    <w:rsid w:val="00A13445"/>
    <w:rsid w:val="00A24796"/>
    <w:rsid w:val="00A248F8"/>
    <w:rsid w:val="00A27EAE"/>
    <w:rsid w:val="00A31230"/>
    <w:rsid w:val="00A314A5"/>
    <w:rsid w:val="00A366A0"/>
    <w:rsid w:val="00A432AE"/>
    <w:rsid w:val="00A44D30"/>
    <w:rsid w:val="00A47101"/>
    <w:rsid w:val="00A54715"/>
    <w:rsid w:val="00A5678B"/>
    <w:rsid w:val="00A57F38"/>
    <w:rsid w:val="00A615D8"/>
    <w:rsid w:val="00A63471"/>
    <w:rsid w:val="00A70645"/>
    <w:rsid w:val="00A81D17"/>
    <w:rsid w:val="00A925E5"/>
    <w:rsid w:val="00AA15C5"/>
    <w:rsid w:val="00AA6AF0"/>
    <w:rsid w:val="00AA7EA9"/>
    <w:rsid w:val="00AB084B"/>
    <w:rsid w:val="00AB2467"/>
    <w:rsid w:val="00AB281C"/>
    <w:rsid w:val="00AC1534"/>
    <w:rsid w:val="00AD2B9C"/>
    <w:rsid w:val="00AD6895"/>
    <w:rsid w:val="00AD7403"/>
    <w:rsid w:val="00AE199C"/>
    <w:rsid w:val="00AE1BDB"/>
    <w:rsid w:val="00AE3D6F"/>
    <w:rsid w:val="00AE413A"/>
    <w:rsid w:val="00AE55D2"/>
    <w:rsid w:val="00AF10FB"/>
    <w:rsid w:val="00B02431"/>
    <w:rsid w:val="00B03BD4"/>
    <w:rsid w:val="00B100B8"/>
    <w:rsid w:val="00B10471"/>
    <w:rsid w:val="00B109BF"/>
    <w:rsid w:val="00B10F67"/>
    <w:rsid w:val="00B1409C"/>
    <w:rsid w:val="00B20DFF"/>
    <w:rsid w:val="00B22CC8"/>
    <w:rsid w:val="00B27F0A"/>
    <w:rsid w:val="00B30E0E"/>
    <w:rsid w:val="00B365CF"/>
    <w:rsid w:val="00B4288E"/>
    <w:rsid w:val="00B5109D"/>
    <w:rsid w:val="00B56A99"/>
    <w:rsid w:val="00B61886"/>
    <w:rsid w:val="00B67CB2"/>
    <w:rsid w:val="00B76223"/>
    <w:rsid w:val="00B76E90"/>
    <w:rsid w:val="00B779F3"/>
    <w:rsid w:val="00B84B04"/>
    <w:rsid w:val="00B957D0"/>
    <w:rsid w:val="00BA137C"/>
    <w:rsid w:val="00BB574A"/>
    <w:rsid w:val="00BC46E8"/>
    <w:rsid w:val="00BC614D"/>
    <w:rsid w:val="00BD62D8"/>
    <w:rsid w:val="00BE2982"/>
    <w:rsid w:val="00BE2A51"/>
    <w:rsid w:val="00BE3ED3"/>
    <w:rsid w:val="00BE64C6"/>
    <w:rsid w:val="00BF416D"/>
    <w:rsid w:val="00C011FD"/>
    <w:rsid w:val="00C13798"/>
    <w:rsid w:val="00C44D74"/>
    <w:rsid w:val="00C4787C"/>
    <w:rsid w:val="00C5208E"/>
    <w:rsid w:val="00C521D9"/>
    <w:rsid w:val="00C542F1"/>
    <w:rsid w:val="00C618D1"/>
    <w:rsid w:val="00C61CDF"/>
    <w:rsid w:val="00C62508"/>
    <w:rsid w:val="00C650CE"/>
    <w:rsid w:val="00C66B34"/>
    <w:rsid w:val="00C72988"/>
    <w:rsid w:val="00C77D06"/>
    <w:rsid w:val="00C91BB5"/>
    <w:rsid w:val="00C94E7B"/>
    <w:rsid w:val="00CA0B64"/>
    <w:rsid w:val="00CA7CCD"/>
    <w:rsid w:val="00CB036C"/>
    <w:rsid w:val="00CB0C3C"/>
    <w:rsid w:val="00CB7F06"/>
    <w:rsid w:val="00CC237F"/>
    <w:rsid w:val="00CC3F9C"/>
    <w:rsid w:val="00CC403D"/>
    <w:rsid w:val="00CD2062"/>
    <w:rsid w:val="00CD214F"/>
    <w:rsid w:val="00CE17E6"/>
    <w:rsid w:val="00CE278C"/>
    <w:rsid w:val="00CE4170"/>
    <w:rsid w:val="00CE5861"/>
    <w:rsid w:val="00CE5D11"/>
    <w:rsid w:val="00CF70FF"/>
    <w:rsid w:val="00D0182F"/>
    <w:rsid w:val="00D0195E"/>
    <w:rsid w:val="00D03C8E"/>
    <w:rsid w:val="00D101DC"/>
    <w:rsid w:val="00D13993"/>
    <w:rsid w:val="00D260B4"/>
    <w:rsid w:val="00D2668D"/>
    <w:rsid w:val="00D41959"/>
    <w:rsid w:val="00D46287"/>
    <w:rsid w:val="00D46B8F"/>
    <w:rsid w:val="00D507F0"/>
    <w:rsid w:val="00D53805"/>
    <w:rsid w:val="00D54689"/>
    <w:rsid w:val="00D61652"/>
    <w:rsid w:val="00D63F1C"/>
    <w:rsid w:val="00D643EC"/>
    <w:rsid w:val="00D655D3"/>
    <w:rsid w:val="00D65B83"/>
    <w:rsid w:val="00D66C8B"/>
    <w:rsid w:val="00D735A0"/>
    <w:rsid w:val="00D84B3C"/>
    <w:rsid w:val="00D90CA5"/>
    <w:rsid w:val="00D92C61"/>
    <w:rsid w:val="00D92FA2"/>
    <w:rsid w:val="00DB57E9"/>
    <w:rsid w:val="00DB69A9"/>
    <w:rsid w:val="00DD0006"/>
    <w:rsid w:val="00DD19AB"/>
    <w:rsid w:val="00DD4EDF"/>
    <w:rsid w:val="00DD7887"/>
    <w:rsid w:val="00DE0FC8"/>
    <w:rsid w:val="00DE1673"/>
    <w:rsid w:val="00DE73E3"/>
    <w:rsid w:val="00DF0249"/>
    <w:rsid w:val="00DF08E4"/>
    <w:rsid w:val="00DF7902"/>
    <w:rsid w:val="00E0464F"/>
    <w:rsid w:val="00E11C8F"/>
    <w:rsid w:val="00E14603"/>
    <w:rsid w:val="00E3103F"/>
    <w:rsid w:val="00E327F7"/>
    <w:rsid w:val="00E3313C"/>
    <w:rsid w:val="00E3641A"/>
    <w:rsid w:val="00E37E70"/>
    <w:rsid w:val="00E419D5"/>
    <w:rsid w:val="00E4394A"/>
    <w:rsid w:val="00E47028"/>
    <w:rsid w:val="00E51A08"/>
    <w:rsid w:val="00E53C34"/>
    <w:rsid w:val="00E54052"/>
    <w:rsid w:val="00E63FDF"/>
    <w:rsid w:val="00E74922"/>
    <w:rsid w:val="00E757F5"/>
    <w:rsid w:val="00E76105"/>
    <w:rsid w:val="00E77E14"/>
    <w:rsid w:val="00E80ACA"/>
    <w:rsid w:val="00E849BB"/>
    <w:rsid w:val="00E86D6D"/>
    <w:rsid w:val="00E90F9F"/>
    <w:rsid w:val="00E91E6A"/>
    <w:rsid w:val="00E92410"/>
    <w:rsid w:val="00E94223"/>
    <w:rsid w:val="00E950DD"/>
    <w:rsid w:val="00EA32EF"/>
    <w:rsid w:val="00EA3C8E"/>
    <w:rsid w:val="00EA5C5B"/>
    <w:rsid w:val="00EB581E"/>
    <w:rsid w:val="00EB5F34"/>
    <w:rsid w:val="00EB7573"/>
    <w:rsid w:val="00ED3976"/>
    <w:rsid w:val="00EF1C36"/>
    <w:rsid w:val="00EF724B"/>
    <w:rsid w:val="00EF7B45"/>
    <w:rsid w:val="00F0085A"/>
    <w:rsid w:val="00F01B2D"/>
    <w:rsid w:val="00F0229D"/>
    <w:rsid w:val="00F03BDB"/>
    <w:rsid w:val="00F0481E"/>
    <w:rsid w:val="00F056C8"/>
    <w:rsid w:val="00F13101"/>
    <w:rsid w:val="00F15514"/>
    <w:rsid w:val="00F25A22"/>
    <w:rsid w:val="00F271FA"/>
    <w:rsid w:val="00F32265"/>
    <w:rsid w:val="00F329BD"/>
    <w:rsid w:val="00F358CF"/>
    <w:rsid w:val="00F43C04"/>
    <w:rsid w:val="00F46F5D"/>
    <w:rsid w:val="00F54EF3"/>
    <w:rsid w:val="00F7029D"/>
    <w:rsid w:val="00F73EF5"/>
    <w:rsid w:val="00F76C2F"/>
    <w:rsid w:val="00F7751E"/>
    <w:rsid w:val="00F77EE8"/>
    <w:rsid w:val="00F9105E"/>
    <w:rsid w:val="00F91D5E"/>
    <w:rsid w:val="00F94207"/>
    <w:rsid w:val="00FA063A"/>
    <w:rsid w:val="00FB2035"/>
    <w:rsid w:val="00FB5A8C"/>
    <w:rsid w:val="00FC1BB3"/>
    <w:rsid w:val="00FC6014"/>
    <w:rsid w:val="00FE384A"/>
    <w:rsid w:val="00FE5FAE"/>
    <w:rsid w:val="00FE686B"/>
    <w:rsid w:val="00FF494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FA21"/>
  <w15:chartTrackingRefBased/>
  <w15:docId w15:val="{1A3EC7E2-9C1B-4E1B-9A5D-C8547459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DF8"/>
    <w:rPr>
      <w:lang w:val="en-US"/>
    </w:rPr>
  </w:style>
  <w:style w:type="paragraph" w:styleId="Heading1">
    <w:name w:val="heading 1"/>
    <w:basedOn w:val="Normal"/>
    <w:next w:val="Normal"/>
    <w:link w:val="Heading1Char"/>
    <w:uiPriority w:val="9"/>
    <w:qFormat/>
    <w:rsid w:val="00293B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57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1D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D2B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082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F0829"/>
    <w:rPr>
      <w:rFonts w:eastAsiaTheme="minorEastAsia"/>
      <w:lang w:val="en-US"/>
    </w:rPr>
  </w:style>
  <w:style w:type="paragraph" w:styleId="Header">
    <w:name w:val="header"/>
    <w:basedOn w:val="Normal"/>
    <w:link w:val="HeaderChar"/>
    <w:uiPriority w:val="99"/>
    <w:unhideWhenUsed/>
    <w:rsid w:val="006F08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829"/>
    <w:rPr>
      <w:lang w:val="en-US"/>
    </w:rPr>
  </w:style>
  <w:style w:type="paragraph" w:styleId="Footer">
    <w:name w:val="footer"/>
    <w:basedOn w:val="Normal"/>
    <w:link w:val="FooterChar"/>
    <w:uiPriority w:val="99"/>
    <w:unhideWhenUsed/>
    <w:rsid w:val="006F08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829"/>
    <w:rPr>
      <w:lang w:val="en-US"/>
    </w:rPr>
  </w:style>
  <w:style w:type="paragraph" w:styleId="FootnoteText">
    <w:name w:val="footnote text"/>
    <w:basedOn w:val="Normal"/>
    <w:link w:val="FootnoteTextChar"/>
    <w:uiPriority w:val="99"/>
    <w:semiHidden/>
    <w:unhideWhenUsed/>
    <w:rsid w:val="005C4B01"/>
    <w:pPr>
      <w:spacing w:after="0" w:line="240" w:lineRule="auto"/>
    </w:pPr>
    <w:rPr>
      <w:rFonts w:ascii="Times New Roman" w:eastAsia="Times New Roman" w:hAnsi="Times New Roman" w:cs="Times New Roman"/>
      <w:sz w:val="20"/>
      <w:szCs w:val="20"/>
      <w:lang w:val="fr-MA" w:eastAsia="fr-FR"/>
    </w:rPr>
  </w:style>
  <w:style w:type="character" w:customStyle="1" w:styleId="FootnoteTextChar">
    <w:name w:val="Footnote Text Char"/>
    <w:basedOn w:val="DefaultParagraphFont"/>
    <w:link w:val="FootnoteText"/>
    <w:uiPriority w:val="99"/>
    <w:semiHidden/>
    <w:rsid w:val="005C4B01"/>
    <w:rPr>
      <w:rFonts w:ascii="Times New Roman" w:eastAsia="Times New Roman" w:hAnsi="Times New Roman" w:cs="Times New Roman"/>
      <w:sz w:val="20"/>
      <w:szCs w:val="20"/>
      <w:lang w:val="fr-MA" w:eastAsia="fr-FR"/>
    </w:rPr>
  </w:style>
  <w:style w:type="character" w:styleId="FootnoteReference">
    <w:name w:val="footnote reference"/>
    <w:basedOn w:val="DefaultParagraphFont"/>
    <w:uiPriority w:val="99"/>
    <w:semiHidden/>
    <w:unhideWhenUsed/>
    <w:rsid w:val="005C4B01"/>
    <w:rPr>
      <w:vertAlign w:val="superscript"/>
    </w:rPr>
  </w:style>
  <w:style w:type="character" w:styleId="Hyperlink">
    <w:name w:val="Hyperlink"/>
    <w:basedOn w:val="DefaultParagraphFont"/>
    <w:uiPriority w:val="99"/>
    <w:unhideWhenUsed/>
    <w:rsid w:val="005C4B01"/>
    <w:rPr>
      <w:color w:val="0563C1" w:themeColor="hyperlink"/>
      <w:u w:val="single"/>
    </w:rPr>
  </w:style>
  <w:style w:type="character" w:styleId="UnresolvedMention">
    <w:name w:val="Unresolved Mention"/>
    <w:basedOn w:val="DefaultParagraphFont"/>
    <w:uiPriority w:val="99"/>
    <w:semiHidden/>
    <w:unhideWhenUsed/>
    <w:rsid w:val="00F94207"/>
    <w:rPr>
      <w:color w:val="605E5C"/>
      <w:shd w:val="clear" w:color="auto" w:fill="E1DFDD"/>
    </w:rPr>
  </w:style>
  <w:style w:type="character" w:customStyle="1" w:styleId="Heading1Char">
    <w:name w:val="Heading 1 Char"/>
    <w:basedOn w:val="DefaultParagraphFont"/>
    <w:link w:val="Heading1"/>
    <w:uiPriority w:val="9"/>
    <w:rsid w:val="00293B92"/>
    <w:rPr>
      <w:rFonts w:asciiTheme="majorHAnsi" w:eastAsiaTheme="majorEastAsia" w:hAnsiTheme="majorHAnsi" w:cstheme="majorBidi"/>
      <w:color w:val="2F5496" w:themeColor="accent1" w:themeShade="BF"/>
      <w:sz w:val="32"/>
      <w:szCs w:val="32"/>
      <w:lang w:val="en-US"/>
    </w:rPr>
  </w:style>
  <w:style w:type="numbering" w:customStyle="1" w:styleId="NoList1">
    <w:name w:val="No List1"/>
    <w:next w:val="NoList"/>
    <w:uiPriority w:val="99"/>
    <w:semiHidden/>
    <w:unhideWhenUsed/>
    <w:rsid w:val="00293B92"/>
  </w:style>
  <w:style w:type="table" w:styleId="TableGrid">
    <w:name w:val="Table Grid"/>
    <w:basedOn w:val="TableNormal"/>
    <w:uiPriority w:val="39"/>
    <w:rsid w:val="00293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93B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293B92"/>
    <w:rPr>
      <w:rFonts w:ascii="Times New Roman" w:hAnsi="Times New Roman" w:cs="Times New Roman"/>
      <w:sz w:val="24"/>
      <w:szCs w:val="24"/>
    </w:rPr>
  </w:style>
  <w:style w:type="paragraph" w:styleId="ListParagraph">
    <w:name w:val="List Paragraph"/>
    <w:basedOn w:val="Normal"/>
    <w:uiPriority w:val="34"/>
    <w:qFormat/>
    <w:rsid w:val="00293B92"/>
    <w:pPr>
      <w:ind w:left="720"/>
      <w:contextualSpacing/>
    </w:pPr>
  </w:style>
  <w:style w:type="character" w:styleId="CommentReference">
    <w:name w:val="annotation reference"/>
    <w:basedOn w:val="DefaultParagraphFont"/>
    <w:uiPriority w:val="99"/>
    <w:semiHidden/>
    <w:unhideWhenUsed/>
    <w:rsid w:val="00293B92"/>
    <w:rPr>
      <w:sz w:val="16"/>
      <w:szCs w:val="16"/>
    </w:rPr>
  </w:style>
  <w:style w:type="paragraph" w:styleId="CommentText">
    <w:name w:val="annotation text"/>
    <w:basedOn w:val="Normal"/>
    <w:link w:val="CommentTextChar"/>
    <w:uiPriority w:val="99"/>
    <w:semiHidden/>
    <w:unhideWhenUsed/>
    <w:rsid w:val="00293B92"/>
    <w:pPr>
      <w:spacing w:line="240" w:lineRule="auto"/>
    </w:pPr>
    <w:rPr>
      <w:sz w:val="20"/>
      <w:szCs w:val="20"/>
    </w:rPr>
  </w:style>
  <w:style w:type="character" w:customStyle="1" w:styleId="CommentTextChar">
    <w:name w:val="Comment Text Char"/>
    <w:basedOn w:val="DefaultParagraphFont"/>
    <w:link w:val="CommentText"/>
    <w:uiPriority w:val="99"/>
    <w:semiHidden/>
    <w:rsid w:val="00293B92"/>
    <w:rPr>
      <w:sz w:val="20"/>
      <w:szCs w:val="20"/>
      <w:lang w:val="en-US"/>
    </w:rPr>
  </w:style>
  <w:style w:type="paragraph" w:styleId="CommentSubject">
    <w:name w:val="annotation subject"/>
    <w:basedOn w:val="CommentText"/>
    <w:next w:val="CommentText"/>
    <w:link w:val="CommentSubjectChar"/>
    <w:uiPriority w:val="99"/>
    <w:semiHidden/>
    <w:unhideWhenUsed/>
    <w:rsid w:val="00293B92"/>
    <w:rPr>
      <w:b/>
      <w:bCs/>
    </w:rPr>
  </w:style>
  <w:style w:type="character" w:customStyle="1" w:styleId="CommentSubjectChar">
    <w:name w:val="Comment Subject Char"/>
    <w:basedOn w:val="CommentTextChar"/>
    <w:link w:val="CommentSubject"/>
    <w:uiPriority w:val="99"/>
    <w:semiHidden/>
    <w:rsid w:val="00293B92"/>
    <w:rPr>
      <w:b/>
      <w:bCs/>
      <w:sz w:val="20"/>
      <w:szCs w:val="20"/>
      <w:lang w:val="en-US"/>
    </w:rPr>
  </w:style>
  <w:style w:type="paragraph" w:styleId="Bibliography">
    <w:name w:val="Bibliography"/>
    <w:basedOn w:val="Normal"/>
    <w:next w:val="Normal"/>
    <w:uiPriority w:val="37"/>
    <w:unhideWhenUsed/>
    <w:rsid w:val="00293B92"/>
  </w:style>
  <w:style w:type="paragraph" w:styleId="EndnoteText">
    <w:name w:val="endnote text"/>
    <w:basedOn w:val="Normal"/>
    <w:link w:val="EndnoteTextChar"/>
    <w:uiPriority w:val="99"/>
    <w:semiHidden/>
    <w:unhideWhenUsed/>
    <w:rsid w:val="00293B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3B92"/>
    <w:rPr>
      <w:sz w:val="20"/>
      <w:szCs w:val="20"/>
      <w:lang w:val="en-US"/>
    </w:rPr>
  </w:style>
  <w:style w:type="character" w:styleId="EndnoteReference">
    <w:name w:val="endnote reference"/>
    <w:basedOn w:val="DefaultParagraphFont"/>
    <w:uiPriority w:val="99"/>
    <w:semiHidden/>
    <w:unhideWhenUsed/>
    <w:rsid w:val="00293B92"/>
    <w:rPr>
      <w:vertAlign w:val="superscript"/>
    </w:rPr>
  </w:style>
  <w:style w:type="table" w:customStyle="1" w:styleId="PlainTable21">
    <w:name w:val="Plain Table 21"/>
    <w:basedOn w:val="TableNormal"/>
    <w:next w:val="PlainTable2"/>
    <w:uiPriority w:val="42"/>
    <w:rsid w:val="00A706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
    <w:name w:val="No List2"/>
    <w:next w:val="NoList"/>
    <w:uiPriority w:val="99"/>
    <w:semiHidden/>
    <w:unhideWhenUsed/>
    <w:rsid w:val="00CE5861"/>
  </w:style>
  <w:style w:type="table" w:customStyle="1" w:styleId="TableGrid1">
    <w:name w:val="Table Grid1"/>
    <w:basedOn w:val="TableNormal"/>
    <w:next w:val="TableGrid"/>
    <w:uiPriority w:val="39"/>
    <w:rsid w:val="00CE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CE58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E5861"/>
    <w:rPr>
      <w:b/>
      <w:bCs/>
    </w:rPr>
  </w:style>
  <w:style w:type="character" w:customStyle="1" w:styleId="Heading2Char">
    <w:name w:val="Heading 2 Char"/>
    <w:basedOn w:val="DefaultParagraphFont"/>
    <w:link w:val="Heading2"/>
    <w:uiPriority w:val="9"/>
    <w:rsid w:val="00335784"/>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301D3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AD2B9C"/>
    <w:rPr>
      <w:rFonts w:asciiTheme="majorHAnsi" w:eastAsiaTheme="majorEastAsia" w:hAnsiTheme="majorHAnsi" w:cstheme="majorBidi"/>
      <w:i/>
      <w:iCs/>
      <w:color w:val="2F5496" w:themeColor="accent1" w:themeShade="BF"/>
      <w:lang w:val="en-US"/>
    </w:rPr>
  </w:style>
  <w:style w:type="paragraph" w:styleId="TOCHeading">
    <w:name w:val="TOC Heading"/>
    <w:basedOn w:val="Heading1"/>
    <w:next w:val="Normal"/>
    <w:uiPriority w:val="39"/>
    <w:unhideWhenUsed/>
    <w:qFormat/>
    <w:rsid w:val="0042339E"/>
    <w:pPr>
      <w:outlineLvl w:val="9"/>
    </w:pPr>
  </w:style>
  <w:style w:type="paragraph" w:styleId="TOC2">
    <w:name w:val="toc 2"/>
    <w:basedOn w:val="Normal"/>
    <w:next w:val="Normal"/>
    <w:autoRedefine/>
    <w:uiPriority w:val="39"/>
    <w:unhideWhenUsed/>
    <w:rsid w:val="00E80ACA"/>
    <w:pPr>
      <w:tabs>
        <w:tab w:val="left" w:pos="880"/>
        <w:tab w:val="right" w:leader="dot" w:pos="9062"/>
      </w:tabs>
      <w:spacing w:after="100"/>
      <w:ind w:left="220"/>
    </w:pPr>
    <w:rPr>
      <w:rFonts w:ascii="Times New Roman" w:eastAsiaTheme="minorEastAsia" w:hAnsi="Times New Roman" w:cs="Times New Roman"/>
      <w:noProof/>
      <w:color w:val="000000" w:themeColor="text1"/>
      <w:sz w:val="24"/>
      <w:szCs w:val="24"/>
    </w:rPr>
  </w:style>
  <w:style w:type="paragraph" w:styleId="TOC1">
    <w:name w:val="toc 1"/>
    <w:basedOn w:val="Normal"/>
    <w:next w:val="Normal"/>
    <w:autoRedefine/>
    <w:uiPriority w:val="39"/>
    <w:unhideWhenUsed/>
    <w:rsid w:val="00C521D9"/>
    <w:pPr>
      <w:tabs>
        <w:tab w:val="left" w:pos="660"/>
        <w:tab w:val="right" w:leader="dot" w:pos="9062"/>
      </w:tabs>
      <w:spacing w:after="100"/>
    </w:pPr>
    <w:rPr>
      <w:rFonts w:ascii="Times New Roman" w:eastAsia="Times New Roman" w:hAnsi="Times New Roman" w:cs="Times New Roman"/>
      <w:b/>
      <w:bCs/>
      <w:noProof/>
      <w:sz w:val="20"/>
      <w:szCs w:val="20"/>
      <w:lang w:val="lt-LT" w:eastAsia="fr-FR" w:bidi="en-US"/>
    </w:rPr>
  </w:style>
  <w:style w:type="paragraph" w:styleId="TOC3">
    <w:name w:val="toc 3"/>
    <w:basedOn w:val="Normal"/>
    <w:next w:val="Normal"/>
    <w:autoRedefine/>
    <w:uiPriority w:val="39"/>
    <w:unhideWhenUsed/>
    <w:rsid w:val="0042339E"/>
    <w:pPr>
      <w:spacing w:after="100"/>
      <w:ind w:left="440"/>
    </w:pPr>
    <w:rPr>
      <w:rFonts w:eastAsiaTheme="minorEastAsia" w:cs="Times New Roman"/>
    </w:rPr>
  </w:style>
  <w:style w:type="character" w:customStyle="1" w:styleId="rynqvb">
    <w:name w:val="rynqvb"/>
    <w:basedOn w:val="DefaultParagraphFont"/>
    <w:rsid w:val="00DB57E9"/>
  </w:style>
  <w:style w:type="character" w:customStyle="1" w:styleId="markedcontent">
    <w:name w:val="markedcontent"/>
    <w:basedOn w:val="DefaultParagraphFont"/>
    <w:rsid w:val="00DB57E9"/>
  </w:style>
  <w:style w:type="character" w:styleId="FollowedHyperlink">
    <w:name w:val="FollowedHyperlink"/>
    <w:basedOn w:val="DefaultParagraphFont"/>
    <w:uiPriority w:val="99"/>
    <w:semiHidden/>
    <w:unhideWhenUsed/>
    <w:rsid w:val="00B100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92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temin.2026.100289" TargetMode="External"/><Relationship Id="rId21" Type="http://schemas.openxmlformats.org/officeDocument/2006/relationships/image" Target="media/image13.png"/><Relationship Id="rId63" Type="http://schemas.openxmlformats.org/officeDocument/2006/relationships/hyperlink" Target="https://researchportal.vub.be/en/publications/palliative-care-development-in-countries-with-a-euthanasia-law-re" TargetMode="External"/><Relationship Id="rId159" Type="http://schemas.openxmlformats.org/officeDocument/2006/relationships/hyperlink" Target="https://doi.org/10.1163/25892525-bja10030" TargetMode="External"/><Relationship Id="rId170" Type="http://schemas.openxmlformats.org/officeDocument/2006/relationships/hyperlink" Target="https://adc.bmj.com/content/96/10/948" TargetMode="External"/><Relationship Id="rId226" Type="http://schemas.openxmlformats.org/officeDocument/2006/relationships/hyperlink" Target="https://heinonline.org/hol-cgi-bin/get_pdf.cgi?handle=hein.journals/ejls12&amp;section=22" TargetMode="External"/><Relationship Id="rId268" Type="http://schemas.openxmlformats.org/officeDocument/2006/relationships/hyperlink" Target="https://wetten.overheid.nl/BWBR0012410/2021-10-01" TargetMode="External"/><Relationship Id="rId32" Type="http://schemas.openxmlformats.org/officeDocument/2006/relationships/hyperlink" Target="https://doi.org/10.1177/26323524251318044" TargetMode="External"/><Relationship Id="rId74" Type="http://schemas.openxmlformats.org/officeDocument/2006/relationships/hyperlink" Target="https://heinonline.org/hol-cgi-bin/get_pdf.cgi?handle=hein.journals/ilmed24&amp;section=20" TargetMode="External"/><Relationship Id="rId128" Type="http://schemas.openxmlformats.org/officeDocument/2006/relationships/hyperlink" Target="https://doi.org/10.1007/s11019-010-9265-0" TargetMode="External"/><Relationship Id="rId5" Type="http://schemas.openxmlformats.org/officeDocument/2006/relationships/webSettings" Target="webSettings.xml"/><Relationship Id="rId181" Type="http://schemas.openxmlformats.org/officeDocument/2006/relationships/hyperlink" Target="https://doi.org/10.1080/07481187.2020.1800863" TargetMode="External"/><Relationship Id="rId237" Type="http://schemas.openxmlformats.org/officeDocument/2006/relationships/hyperlink" Target="https://social.desa.un.org/issues/disability/crpd/convention-on-the-rights-of-persons-with-disabilities-crpd" TargetMode="External"/><Relationship Id="rId279" Type="http://schemas.openxmlformats.org/officeDocument/2006/relationships/hyperlink" Target="https://www.samw.ch/en/Ethics/Topics-A-to-Z/Dying-and-death/Assisted-suicide.html?utm" TargetMode="External"/><Relationship Id="rId43" Type="http://schemas.openxmlformats.org/officeDocument/2006/relationships/hyperlink" Target="https://books.google.com/books?hl=en&amp;lr=&amp;id=BH5eQSiBdlUC&amp;oi=fnd&amp;pg=PA1&amp;dq=++Battin,+M.+P.,+Rhodes,+R.,+%26+Silvers,+A.+(2015).+Physician+assisted+suicide:+expanding+the+debate.+Routledge.&amp;ots=oWiyqTgYwQ&amp;sig=n2re4wAQDBbKUCD2zpTNUSpQfVg" TargetMode="External"/><Relationship Id="rId139" Type="http://schemas.openxmlformats.org/officeDocument/2006/relationships/hyperlink" Target="https://doi.org/10.1007/s11192-021-03934-x" TargetMode="External"/><Relationship Id="rId290" Type="http://schemas.openxmlformats.org/officeDocument/2006/relationships/image" Target="media/image19.png"/><Relationship Id="rId85" Type="http://schemas.openxmlformats.org/officeDocument/2006/relationships/hyperlink" Target="https://books.google.com/books?hl=en&amp;lr=&amp;id=cWwoAAAAQBAJ&amp;oi=fnd&amp;pg=PA132&amp;dq=The+Legal+Permissibility+of+Continuous+Deep+Sedation+at+the+End+of+Life:+A+Comparative+Law+Study.&amp;ots=MPW1048atL&amp;sig=9YWRBfWiZ1e6MRXuQY0kgI7-srU" TargetMode="External"/><Relationship Id="rId150" Type="http://schemas.openxmlformats.org/officeDocument/2006/relationships/hyperlink" Target="https://heinonline.org/hol-cgi-bin/get_pdf.cgi?handle=hein.journals/ijlmhs27&amp;section=39" TargetMode="External"/><Relationship Id="rId192" Type="http://schemas.openxmlformats.org/officeDocument/2006/relationships/hyperlink" Target="https://core.ac.uk/download/pdf/328025369.pdf" TargetMode="External"/><Relationship Id="rId206" Type="http://schemas.openxmlformats.org/officeDocument/2006/relationships/hyperlink" Target="https://eprints.nuim.ie/id/eprint/5193/" TargetMode="External"/><Relationship Id="rId248" Type="http://schemas.openxmlformats.org/officeDocument/2006/relationships/hyperlink" Target="https://e-seimas.lrs.lt/portal/legalAct/lt/TAK/883dd950bb5011e4a939cd67303e5a1f?jfwid=-txjh8zt0q" TargetMode="External"/><Relationship Id="rId12" Type="http://schemas.openxmlformats.org/officeDocument/2006/relationships/image" Target="media/image5.png"/><Relationship Id="rId33" Type="http://schemas.openxmlformats.org/officeDocument/2006/relationships/hyperlink" Target="https://doi.org/10.1177/09697330241238342" TargetMode="External"/><Relationship Id="rId108" Type="http://schemas.openxmlformats.org/officeDocument/2006/relationships/hyperlink" Target="https://doi.org/10.2190/1HPQ-G1GQ-TWVB-BWW5" TargetMode="External"/><Relationship Id="rId129" Type="http://schemas.openxmlformats.org/officeDocument/2006/relationships/hyperlink" Target="https://hrcak.srce.hr/237864" TargetMode="External"/><Relationship Id="rId280" Type="http://schemas.openxmlformats.org/officeDocument/2006/relationships/hyperlink" Target="https://www.fedlex.admin.ch/eli/cc/54/757_781_799/de?utm=" TargetMode="External"/><Relationship Id="rId54" Type="http://schemas.openxmlformats.org/officeDocument/2006/relationships/hyperlink" Target="https://doi.org/10.1111/apa.13620" TargetMode="External"/><Relationship Id="rId75" Type="http://schemas.openxmlformats.org/officeDocument/2006/relationships/hyperlink" Target="https://academic.oup.com/jmp/article-abstract/41/1/74/2563132" TargetMode="External"/><Relationship Id="rId96" Type="http://schemas.openxmlformats.org/officeDocument/2006/relationships/hyperlink" Target="https://doi.org/10.7326/0003-4819-121-10-199411150-00010" TargetMode="External"/><Relationship Id="rId140" Type="http://schemas.openxmlformats.org/officeDocument/2006/relationships/hyperlink" Target="https://heinonline.org/hol-cgi-bin/get_pdf.cgi?handle=hein.journals/stlpl15&amp;section=28" TargetMode="External"/><Relationship Id="rId161" Type="http://schemas.openxmlformats.org/officeDocument/2006/relationships/hyperlink" Target="https://www.thelancet.com/journals/lancet/article/PIIS0140-6736(12)61034-4/abstract" TargetMode="External"/><Relationship Id="rId182" Type="http://schemas.openxmlformats.org/officeDocument/2006/relationships/hyperlink" Target="https://www.sciencedirect.com/science/article/pii/S2352552519300945" TargetMode="External"/><Relationship Id="rId217" Type="http://schemas.openxmlformats.org/officeDocument/2006/relationships/hyperlink" Target="https://doi.org/10.1016/j.is.2020.101582" TargetMode="External"/><Relationship Id="rId6" Type="http://schemas.openxmlformats.org/officeDocument/2006/relationships/footnotes" Target="footnotes.xml"/><Relationship Id="rId238" Type="http://schemas.openxmlformats.org/officeDocument/2006/relationships/hyperlink" Target="https://www.ohchr.org/en/instruments-mechanisms/instruments/international-covenant-civil-and-political-rights" TargetMode="External"/><Relationship Id="rId259" Type="http://schemas.openxmlformats.org/officeDocument/2006/relationships/hyperlink" Target="https://social.desa.un.org/issues/disability/crpd/convention-on-the-rights-of-persons-with-disabilities-crpd" TargetMode="External"/><Relationship Id="rId23" Type="http://schemas.openxmlformats.org/officeDocument/2006/relationships/image" Target="media/image15.png"/><Relationship Id="rId119" Type="http://schemas.openxmlformats.org/officeDocument/2006/relationships/hyperlink" Target="https://doi.org/10.3989/ris.2022.81.4.1143" TargetMode="External"/><Relationship Id="rId270" Type="http://schemas.openxmlformats.org/officeDocument/2006/relationships/hyperlink" Target="https://www.ejustice.just.fgov.be/cgi/article_body.pl?language=nl&amp;caller=summary&amp;pub_date=2002-06-22&amp;numac=2002009590" TargetMode="External"/><Relationship Id="rId291" Type="http://schemas.openxmlformats.org/officeDocument/2006/relationships/fontTable" Target="fontTable.xml"/><Relationship Id="rId44" Type="http://schemas.openxmlformats.org/officeDocument/2006/relationships/hyperlink" Target="https://jme.bmj.com/content/33/10/591.short" TargetMode="External"/><Relationship Id="rId65" Type="http://schemas.openxmlformats.org/officeDocument/2006/relationships/hyperlink" Target="https://doi.org/10.1056/NEJMc1414527" TargetMode="External"/><Relationship Id="rId86" Type="http://schemas.openxmlformats.org/officeDocument/2006/relationships/hyperlink" Target="https://journals.plos.org/plosone/article?id=10.1371/journal.pone.0299049" TargetMode="External"/><Relationship Id="rId130" Type="http://schemas.openxmlformats.org/officeDocument/2006/relationships/hyperlink" Target="https://www.ceeol.com/search/article-detail?id=1131037" TargetMode="External"/><Relationship Id="rId151" Type="http://schemas.openxmlformats.org/officeDocument/2006/relationships/hyperlink" Target="https://www.taylorfrancis.com/books/mono/10.4324/9781032658490/african-ethics-death-motsamai-molefe-elphus-muade" TargetMode="External"/><Relationship Id="rId172" Type="http://schemas.openxmlformats.org/officeDocument/2006/relationships/hyperlink" Target="https://doi.org/10.1056/NEJMp058062" TargetMode="External"/><Relationship Id="rId193" Type="http://schemas.openxmlformats.org/officeDocument/2006/relationships/hyperlink" Target="https://heinonline.org/hol-cgi-bin/get_pdf.cgi?handle=hein.journals/ijlmhs27&amp;section=161" TargetMode="External"/><Relationship Id="rId207" Type="http://schemas.openxmlformats.org/officeDocument/2006/relationships/hyperlink" Target="https://books.google.com/books?hl=en&amp;lr=&amp;id=rHd1MDlV-eUC&amp;oi=fnd&amp;pg=PA43&amp;dq=Death+and+burial+in+the+Roman+world&amp;ots=-28AtEYsTb&amp;sig=eiKgzFLujQAixepSmkSJKSolgwo" TargetMode="External"/><Relationship Id="rId228" Type="http://schemas.openxmlformats.org/officeDocument/2006/relationships/hyperlink" Target="https://hudoc.echr.coe.int/fre" TargetMode="External"/><Relationship Id="rId249" Type="http://schemas.openxmlformats.org/officeDocument/2006/relationships/hyperlink" Target="https://e-seimas.lrs.lt/portal/legalAct/lt/TAD/TAIS.291106/asr" TargetMode="External"/><Relationship Id="rId13" Type="http://schemas.openxmlformats.org/officeDocument/2006/relationships/image" Target="media/image6.png"/><Relationship Id="rId109" Type="http://schemas.openxmlformats.org/officeDocument/2006/relationships/hyperlink" Target="https://www.frontiersin.org/journals/psychiatry/articles/10.3389/fpsyt.2025.1549289/full" TargetMode="External"/><Relationship Id="rId260" Type="http://schemas.openxmlformats.org/officeDocument/2006/relationships/hyperlink" Target="https://wfrtds.org/dutch-law-on-termination-of-life-on-request-and-assisted-suicide-complete-text/?utm" TargetMode="External"/><Relationship Id="rId281" Type="http://schemas.openxmlformats.org/officeDocument/2006/relationships/hyperlink" Target="https://www.oregon.gov/oha/PH/PROVIDERPARTNERRESOURCES/EVALUATIONRESEARCH/DEATHWITHDIGNITYACT/Documents/statute.pdf?utm" TargetMode="External"/><Relationship Id="rId34" Type="http://schemas.openxmlformats.org/officeDocument/2006/relationships/hyperlink" Target="https://www.ceeol.com/search/article-detail?id=980274" TargetMode="External"/><Relationship Id="rId55" Type="http://schemas.openxmlformats.org/officeDocument/2006/relationships/hyperlink" Target="https://www.frontiersin.org/journals/psychiatry/articles/10.3389/fpsyt.2024.1452835/full" TargetMode="External"/><Relationship Id="rId76" Type="http://schemas.openxmlformats.org/officeDocument/2006/relationships/hyperlink" Target="https://www.ceeol.com/search/article-detail?id=1161716" TargetMode="External"/><Relationship Id="rId97" Type="http://schemas.openxmlformats.org/officeDocument/2006/relationships/hyperlink" Target="https://jamanetwork.com/journals/jama/article-abstract/187873" TargetMode="External"/><Relationship Id="rId120" Type="http://schemas.openxmlformats.org/officeDocument/2006/relationships/hyperlink" Target="https://heinonline.org/hol-cgi-bin/get_pdf.cgi?handle=hein.journals/iusplr16&amp;section=14" TargetMode="External"/><Relationship Id="rId141" Type="http://schemas.openxmlformats.org/officeDocument/2006/relationships/hyperlink" Target="https://www.researchgate.net/profile/Samsul-Mannan/publication/341232398_Best_practices_of_Semi-structured_interview_method/links/5eb4f70192851cd50da139bd/Best-practices-of-Semi-structured-interview-method.pdf" TargetMode="External"/><Relationship Id="rId7" Type="http://schemas.openxmlformats.org/officeDocument/2006/relationships/endnotes" Target="endnotes.xml"/><Relationship Id="rId162" Type="http://schemas.openxmlformats.org/officeDocument/2006/relationships/hyperlink" Target="https://www.mdpi.com/2227-9032/13/2/130" TargetMode="External"/><Relationship Id="rId183" Type="http://schemas.openxmlformats.org/officeDocument/2006/relationships/hyperlink" Target="https://books.google.com/books?hl=en&amp;lr=&amp;id=Ae4EEAAAQBAJ&amp;oi=fnd&amp;pg=PA113&amp;dq=Sahm,+S.+(2020).+The+Case+Against+Physician-Assisted+Suicide+and+Euthanasia.+InPhysician-Assisted+Suicide+and+Euthanasia:+Before,+During,+and+After+the+Holocaust,+edited+by+Sheldon+Rubenfeld+and+Daniel+P.+Sulmasy,+113-128.&amp;ots=ROgipNnO6P&amp;sig=6m08q1FxBuKIX97d05EjKVv0MlM" TargetMode="External"/><Relationship Id="rId218" Type="http://schemas.openxmlformats.org/officeDocument/2006/relationships/hyperlink" Target="https://doi.org/10.1007/s11192-019-03264-z" TargetMode="External"/><Relationship Id="rId239" Type="http://schemas.openxmlformats.org/officeDocument/2006/relationships/hyperlink" Target="https://diariodarepublica.pt/dr/detalhe/lei/22-2023-213498831?utm_source=" TargetMode="External"/><Relationship Id="rId250" Type="http://schemas.openxmlformats.org/officeDocument/2006/relationships/hyperlink" Target="https://www.baltictimes.com/news/articles/4197/?utm" TargetMode="External"/><Relationship Id="rId271" Type="http://schemas.openxmlformats.org/officeDocument/2006/relationships/hyperlink" Target="https://diariodarepublica.pt/dr/detalhe/lei/22-2023-213498831?utm" TargetMode="External"/><Relationship Id="rId292" Type="http://schemas.openxmlformats.org/officeDocument/2006/relationships/theme" Target="theme/theme1.xml"/><Relationship Id="rId24" Type="http://schemas.openxmlformats.org/officeDocument/2006/relationships/hyperlink" Target="https://doi.org/10.1111/bioe.13439" TargetMode="External"/><Relationship Id="rId45" Type="http://schemas.openxmlformats.org/officeDocument/2006/relationships/hyperlink" Target="https://www.allisonkrilethornton.com/wp-content/uploads/Medical_Ethics_Readings/BandC-Moral-Dilemmas.pdf" TargetMode="External"/><Relationship Id="rId66" Type="http://schemas.openxmlformats.org/officeDocument/2006/relationships/hyperlink" Target="https://www.academia.edu/download/87065460/wlek201904136.pdf" TargetMode="External"/><Relationship Id="rId87" Type="http://schemas.openxmlformats.org/officeDocument/2006/relationships/hyperlink" Target="https://heinonline.org/hol-cgi-bin/get_pdf.cgi?handle=hein.journals/jotwell2025&amp;section=32" TargetMode="External"/><Relationship Id="rId110" Type="http://schemas.openxmlformats.org/officeDocument/2006/relationships/hyperlink" Target="https://doi.org/10.1007/s10778-009-0189-4" TargetMode="External"/><Relationship Id="rId131" Type="http://schemas.openxmlformats.org/officeDocument/2006/relationships/hyperlink" Target="https://pdfs.semanticscholar.org/11e2/3c13aaf9165f6eedb520750e79fcef6f714d.pdf" TargetMode="External"/><Relationship Id="rId152" Type="http://schemas.openxmlformats.org/officeDocument/2006/relationships/hyperlink" Target="https://doi.org/10.1007/978-3-031-17299-1_104661" TargetMode="External"/><Relationship Id="rId173" Type="http://schemas.openxmlformats.org/officeDocument/2006/relationships/hyperlink" Target="https://philpapers.org/rec/RACTEO" TargetMode="External"/><Relationship Id="rId194" Type="http://schemas.openxmlformats.org/officeDocument/2006/relationships/hyperlink" Target="https://journals.lww.com/lww-medicalcare/fulltext/2010/02000/The_Work_Limitations_Questionnaire.15.aspx" TargetMode="External"/><Relationship Id="rId208" Type="http://schemas.openxmlformats.org/officeDocument/2006/relationships/hyperlink" Target="https://doi.org/10.1111/nhs.12048" TargetMode="External"/><Relationship Id="rId229" Type="http://schemas.openxmlformats.org/officeDocument/2006/relationships/hyperlink" Target="https://hudoc.echr.coe.int/eng" TargetMode="External"/><Relationship Id="rId240" Type="http://schemas.openxmlformats.org/officeDocument/2006/relationships/hyperlink" Target="https://www.boe.es/eli/es/lo/2021/03/24/3" TargetMode="External"/><Relationship Id="rId261" Type="http://schemas.openxmlformats.org/officeDocument/2006/relationships/hyperlink" Target="https://www.refworld.org/legal/legislation/natlegbod/2014/es/104133?utm" TargetMode="External"/><Relationship Id="rId14" Type="http://schemas.openxmlformats.org/officeDocument/2006/relationships/image" Target="media/image7.png"/><Relationship Id="rId35" Type="http://schemas.openxmlformats.org/officeDocument/2006/relationships/hyperlink" Target="https://www.sciencedirect.com/science/article/pii/S0035378716301254" TargetMode="External"/><Relationship Id="rId56" Type="http://schemas.openxmlformats.org/officeDocument/2006/relationships/hyperlink" Target="https://www.taylorfrancis.com/chapters/edit/10.4324/9781315258447-35/voluntary-active-euthanasia-dan-brock" TargetMode="External"/><Relationship Id="rId77" Type="http://schemas.openxmlformats.org/officeDocument/2006/relationships/hyperlink" Target="https://doi.org/10.1162/152651601300168834" TargetMode="External"/><Relationship Id="rId100" Type="http://schemas.openxmlformats.org/officeDocument/2006/relationships/hyperlink" Target="https://books.google.com/books?hl=en&amp;lr=&amp;id=1KcVOUhGDkoC&amp;oi=fnd&amp;pg=PA315&amp;dq=The+concept+of+euthanasia,+as+a+%22merciful+release%22&amp;ots=XuFUXX8npy&amp;sig=FQeP9OiM_nCABHAZVr89B0I9kkI" TargetMode="External"/><Relationship Id="rId282" Type="http://schemas.openxmlformats.org/officeDocument/2006/relationships/hyperlink" Target="https://www.tribunalconstitucional.pt/tc/imprensa0200-bd8632.html?utm" TargetMode="External"/><Relationship Id="rId8" Type="http://schemas.openxmlformats.org/officeDocument/2006/relationships/image" Target="media/image1.png"/><Relationship Id="rId98" Type="http://schemas.openxmlformats.org/officeDocument/2006/relationships/hyperlink" Target="https://doi.org/10.1096/fj.07-9492LSF" TargetMode="External"/><Relationship Id="rId121" Type="http://schemas.openxmlformats.org/officeDocument/2006/relationships/hyperlink" Target="https://ejurnal.ung.ac.id/index.php/jalrev/article/download/7111/3478" TargetMode="External"/><Relationship Id="rId142" Type="http://schemas.openxmlformats.org/officeDocument/2006/relationships/hyperlink" Target="https://heinonline.org/hol-cgi-bin/get_pdf.cgi?handle=hein.journals/mjcolei2&amp;section=12" TargetMode="External"/><Relationship Id="rId163" Type="http://schemas.openxmlformats.org/officeDocument/2006/relationships/hyperlink" Target="https://heinonline.org/hol-cgi-bin/get_pdf.cgi?handle=hein.journals/rebiod58&amp;section=11" TargetMode="External"/><Relationship Id="rId184" Type="http://schemas.openxmlformats.org/officeDocument/2006/relationships/hyperlink" Target="https://www.cambridge.org/core/journals/american-journal-of-international-law/article/pretty-v-united-kingdom/89701F3BCCFA5BB3769478FC99814057" TargetMode="External"/><Relationship Id="rId219" Type="http://schemas.openxmlformats.org/officeDocument/2006/relationships/hyperlink" Target="https://doi.org/10.1016/j.gaceta.2024.102373" TargetMode="External"/><Relationship Id="rId230" Type="http://schemas.openxmlformats.org/officeDocument/2006/relationships/hyperlink" Target="https://hudoc.echr.coe.int/eng" TargetMode="External"/><Relationship Id="rId251" Type="http://schemas.openxmlformats.org/officeDocument/2006/relationships/hyperlink" Target="https://lrkt.lt/lt/teismo-aktai/paieska/135/ta385/content" TargetMode="External"/><Relationship Id="rId25" Type="http://schemas.openxmlformats.org/officeDocument/2006/relationships/hyperlink" Target="https://doi.org/10.1002/jac5.1441" TargetMode="External"/><Relationship Id="rId46" Type="http://schemas.openxmlformats.org/officeDocument/2006/relationships/hyperlink" Target="https://academic.oup.com/jmp/article-abstract/4/3/294/899452" TargetMode="External"/><Relationship Id="rId67" Type="http://schemas.openxmlformats.org/officeDocument/2006/relationships/hyperlink" Target="https://tesidottorato.depositolegale.it/handle/20.500.14242/168980" TargetMode="External"/><Relationship Id="rId272" Type="http://schemas.openxmlformats.org/officeDocument/2006/relationships/hyperlink" Target="https://www.lemonde.fr/en/france/article/2022/12/13/northern-french-seeking-euthanasia-find-legal-option-in-belgium_6007595_7.html" TargetMode="External"/><Relationship Id="rId293" Type="http://schemas.openxmlformats.org/officeDocument/2006/relationships/customXml" Target="../customXml/item2.xml"/><Relationship Id="rId88" Type="http://schemas.openxmlformats.org/officeDocument/2006/relationships/hyperlink" Target="https://www.cambridge.org/core/journals/european-constitutional-law-review/article/decriminalising-assisted-suicide-services-bundesverfassungsgericht-26-february-2020-2bvr-234715/AAA6F2B377D82F29340ED0F697BBFA1F" TargetMode="External"/><Relationship Id="rId111" Type="http://schemas.openxmlformats.org/officeDocument/2006/relationships/hyperlink" Target="https://ijlsi.com/wp-content/uploads/Balancing-Personal-Autonomy-and-the-Right-to-Life-in-Euthanasia.pdf" TargetMode="External"/><Relationship Id="rId132" Type="http://schemas.openxmlformats.org/officeDocument/2006/relationships/hyperlink" Target="https://doi.org/10.1038/44565" TargetMode="External"/><Relationship Id="rId153" Type="http://schemas.openxmlformats.org/officeDocument/2006/relationships/hyperlink" Target="https://doi.org/10.1007/s11192-015-1765-5" TargetMode="External"/><Relationship Id="rId174" Type="http://schemas.openxmlformats.org/officeDocument/2006/relationships/hyperlink" Target="https://jme.bmj.com/content/41/2/145.short" TargetMode="External"/><Relationship Id="rId195" Type="http://schemas.openxmlformats.org/officeDocument/2006/relationships/hyperlink" Target="https://pmc.ncbi.nlm.nih.gov/articles/PMC2845507/" TargetMode="External"/><Relationship Id="rId209" Type="http://schemas.openxmlformats.org/officeDocument/2006/relationships/hyperlink" Target="https://derechoamorir.org/wp-content/uploads/2018/07/years30.pdf" TargetMode="External"/><Relationship Id="rId220" Type="http://schemas.openxmlformats.org/officeDocument/2006/relationships/hyperlink" Target="https://www.cambridge.org/core/journals/cambridge-quarterly-of-healthcare-ethics/article/should-the-dutch-law-on-euthanasia-be-expanded-to-include-children/A41751232DBEF2EF8DC32998BB3E2C99" TargetMode="External"/><Relationship Id="rId241" Type="http://schemas.openxmlformats.org/officeDocument/2006/relationships/hyperlink" Target="https://www.ohchr.org/en/instruments-mechanisms/instruments/international-covenant-civil-and-political-rights" TargetMode="External"/><Relationship Id="rId15" Type="http://schemas.openxmlformats.org/officeDocument/2006/relationships/footer" Target="footer1.xml"/><Relationship Id="rId36" Type="http://schemas.openxmlformats.org/officeDocument/2006/relationships/hyperlink" Target="https://www.frontiersin.org/journals/psychiatry/articles/10.3389/fpsyt.2024.1507790/full" TargetMode="External"/><Relationship Id="rId57" Type="http://schemas.openxmlformats.org/officeDocument/2006/relationships/hyperlink" Target="https://www.cambridge.org/core/journals/cambridge-quarterly-of-healthcare-ethics/article/communicating-concerns/5B8D23A699D5519D431EFED7FE342B53" TargetMode="External"/><Relationship Id="rId262" Type="http://schemas.openxmlformats.org/officeDocument/2006/relationships/hyperlink" Target="https://consultativebodies.health.belgium.be/en/advisory-and-consultative-bodies/federal-commission-control-and-evaluation-euthanasia?utm" TargetMode="External"/><Relationship Id="rId283" Type="http://schemas.openxmlformats.org/officeDocument/2006/relationships/hyperlink" Target="https://www.un.org/en/about-us/universal-declaration-of-human-rights" TargetMode="External"/><Relationship Id="rId78" Type="http://schemas.openxmlformats.org/officeDocument/2006/relationships/hyperlink" Target="https://www.sciencedirect.com/science/article/pii/S0168851010001934" TargetMode="External"/><Relationship Id="rId99" Type="http://schemas.openxmlformats.org/officeDocument/2006/relationships/hyperlink" Target="https://books.google.com/books?hl=en&amp;lr=&amp;id=1KcVOUhGDkoC&amp;oi=fnd&amp;pg=PA23&amp;dq=The+philosophical+basis+for+euthanasia+is+in+the+discussions+about+what+human+life+is+and+the+ethics+regarding+the+end+of+life.+&amp;ots=XuFXXX6kss&amp;sig=01RsMgmM2c-hBYonaGraNhcsrFA" TargetMode="External"/><Relationship Id="rId101" Type="http://schemas.openxmlformats.org/officeDocument/2006/relationships/hyperlink" Target="https://doi.org/10.1177/0141076818803452" TargetMode="External"/><Relationship Id="rId122" Type="http://schemas.openxmlformats.org/officeDocument/2006/relationships/hyperlink" Target="https://heinonline.org/hol-cgi-bin/get_pdf.cgi?handle=hein.journals/lwwrld32&amp;section=5" TargetMode="External"/><Relationship Id="rId143" Type="http://schemas.openxmlformats.org/officeDocument/2006/relationships/hyperlink" Target="https://search.ebscohost.com/login.aspx?direct=true&amp;profile=ehost&amp;scope=site&amp;authtype=crawler&amp;jrnl=10189556&amp;AN=183040832&amp;h=9eW%2FxALTjCUPkpb4wOQ7o728eVlpsZQD1%2FkhcLse2mwBq1%2FsxB4M9LarZbMvLAiYH5xSiTJ2G8ppJ83mDsAARg%3D%3D&amp;crl=c" TargetMode="External"/><Relationship Id="rId164" Type="http://schemas.openxmlformats.org/officeDocument/2006/relationships/hyperlink" Target="https://www.taylorfrancis.com/books/mono/10.4324/9781315096766/assisted-suicide-euthanasia-craig-paterson" TargetMode="External"/><Relationship Id="rId185" Type="http://schemas.openxmlformats.org/officeDocument/2006/relationships/hyperlink" Target="https://www.researchgate.net/profile/Rateesh-Sareen/publication/333813941_India_decides_on_Euthanasia_Is_the_debate_over/links/5d89eac1a6fdcc8fd61b3e09/India-decides-on-Euthanasia-Is-the-debate-over.pdf" TargetMode="External"/><Relationship Id="rId9" Type="http://schemas.openxmlformats.org/officeDocument/2006/relationships/image" Target="media/image2.png"/><Relationship Id="rId210" Type="http://schemas.openxmlformats.org/officeDocument/2006/relationships/hyperlink" Target="https://doi.org/10.1177/002580249703700403" TargetMode="External"/><Relationship Id="rId26" Type="http://schemas.openxmlformats.org/officeDocument/2006/relationships/hyperlink" Target="https://www.frontiersin.org/articles/10.3389/frai.2020.00042/full" TargetMode="External"/><Relationship Id="rId231" Type="http://schemas.openxmlformats.org/officeDocument/2006/relationships/hyperlink" Target="https://hudoc.echr.coe.int/eng" TargetMode="External"/><Relationship Id="rId252" Type="http://schemas.openxmlformats.org/officeDocument/2006/relationships/hyperlink" Target="https://laws-lois.justice.gc.ca/eng/acts/c-46/section-241.2.html?utm" TargetMode="External"/><Relationship Id="rId273" Type="http://schemas.openxmlformats.org/officeDocument/2006/relationships/hyperlink" Target="https://www.oregon.gov/oha/PH/PROVIDERPARTNERRESOURCES/EVALUATIONRESEARCH/DEATHWITHDIGNITYACT/Documents/year27.pdf" TargetMode="External"/><Relationship Id="rId294" Type="http://schemas.openxmlformats.org/officeDocument/2006/relationships/customXml" Target="../customXml/item3.xml"/><Relationship Id="rId47" Type="http://schemas.openxmlformats.org/officeDocument/2006/relationships/hyperlink" Target="https://doi.org/10.1007/s00134-006-0426-9" TargetMode="External"/><Relationship Id="rId68" Type="http://schemas.openxmlformats.org/officeDocument/2006/relationships/hyperlink" Target="https://doi.org/10.1007/978-3-031-25315-7" TargetMode="External"/><Relationship Id="rId89" Type="http://schemas.openxmlformats.org/officeDocument/2006/relationships/hyperlink" Target="https://link.springer.com/article/10.1186/s12888-017-1369-0" TargetMode="External"/><Relationship Id="rId112" Type="http://schemas.openxmlformats.org/officeDocument/2006/relationships/hyperlink" Target="https://heinonline.org/hol-cgi-bin/get_pdf.cgi?handle=hein.journals/ilmed10&amp;section=23" TargetMode="External"/><Relationship Id="rId133" Type="http://schemas.openxmlformats.org/officeDocument/2006/relationships/hyperlink" Target="https://ro.uow.edu.au/ndownloader/files/50351955/1" TargetMode="External"/><Relationship Id="rId154" Type="http://schemas.openxmlformats.org/officeDocument/2006/relationships/hyperlink" Target="https://books.google.com/books?hl=en&amp;lr=&amp;id=FUImVpCNoJEC&amp;oi=fnd&amp;pg=PR1&amp;dq=Morrison,+E.+E.+(2009).+Health+care+ethics:+Critical+issues+for+the+21st+century.+Jones+%26+Bartlett+Learning.&amp;ots=Zs6ow1a9xy&amp;sig=rAxEn2KNBW7LWATHi7pTrrZauBM" TargetMode="External"/><Relationship Id="rId175" Type="http://schemas.openxmlformats.org/officeDocument/2006/relationships/hyperlink" Target="https://doi.org/10.1007/s11673-016-9705-5" TargetMode="External"/><Relationship Id="rId196" Type="http://schemas.openxmlformats.org/officeDocument/2006/relationships/hyperlink" Target="https://www.sciencedirect.com/science/article/pii/S0885392410006937" TargetMode="External"/><Relationship Id="rId200" Type="http://schemas.openxmlformats.org/officeDocument/2006/relationships/hyperlink" Target="https://www.cambridge.org/core/journals/cambridge-quarterly-of-healthcare-ethics/article/french-euthanasia-debate/F5B68B7D7A36BE6CC62AD214D69304DE" TargetMode="External"/><Relationship Id="rId16" Type="http://schemas.openxmlformats.org/officeDocument/2006/relationships/image" Target="media/image8.png"/><Relationship Id="rId221" Type="http://schemas.openxmlformats.org/officeDocument/2006/relationships/hyperlink" Target="https://www.sciencedirect.com/science/article/pii/S0160252724000104" TargetMode="External"/><Relationship Id="rId242" Type="http://schemas.openxmlformats.org/officeDocument/2006/relationships/hyperlink" Target="https://raccoltanormativa.consiglio.regione.toscana.it/articolo?urndoc=urn%3Anir%3Aregione.toscana%3Alegge%3A2025-03-14%3B16&amp;utm" TargetMode="External"/><Relationship Id="rId263" Type="http://schemas.openxmlformats.org/officeDocument/2006/relationships/hyperlink" Target="https://www.ccne-ethique.fr/fr/publications/avis-139-questions-ethiques-relatives-aux-situations-de-fin-de-vie-autonomie-et" TargetMode="External"/><Relationship Id="rId284" Type="http://schemas.openxmlformats.org/officeDocument/2006/relationships/hyperlink" Target="https://www.health.wa.gov.au/voluntaryassisteddying?utm" TargetMode="External"/><Relationship Id="rId37" Type="http://schemas.openxmlformats.org/officeDocument/2006/relationships/hyperlink" Target="https://doi.org/10.3390/healthcare12060626" TargetMode="External"/><Relationship Id="rId58" Type="http://schemas.openxmlformats.org/officeDocument/2006/relationships/hyperlink" Target="https://doi.org/10.1186/1742-5581-3-1" TargetMode="External"/><Relationship Id="rId79" Type="http://schemas.openxmlformats.org/officeDocument/2006/relationships/hyperlink" Target="https://www.frontiersin.org/articles/10.3389/fpsyt.2022.933748/full" TargetMode="External"/><Relationship Id="rId102" Type="http://schemas.openxmlformats.org/officeDocument/2006/relationships/hyperlink" Target="https://www.sciencedirect.com/science/article/pii/S2352552525000131" TargetMode="External"/><Relationship Id="rId123" Type="http://schemas.openxmlformats.org/officeDocument/2006/relationships/hyperlink" Target="https://doi.org/10.1111/j.1748-720X.2012.00647.x" TargetMode="External"/><Relationship Id="rId144" Type="http://schemas.openxmlformats.org/officeDocument/2006/relationships/hyperlink" Target="https://academic.oup.com/bmb/article-abstract/52/2/334/403340" TargetMode="External"/><Relationship Id="rId90" Type="http://schemas.openxmlformats.org/officeDocument/2006/relationships/hyperlink" Target="https://academic.oup.com/jmp/article-abstract/22/2/99/935684" TargetMode="External"/><Relationship Id="rId165" Type="http://schemas.openxmlformats.org/officeDocument/2006/relationships/hyperlink" Target="https://jme.bmj.com/content/22/5/309.short" TargetMode="External"/><Relationship Id="rId186" Type="http://schemas.openxmlformats.org/officeDocument/2006/relationships/hyperlink" Target="https://pmc.ncbi.nlm.nih.gov/articles/PMC1636128/" TargetMode="External"/><Relationship Id="rId211" Type="http://schemas.openxmlformats.org/officeDocument/2006/relationships/hyperlink" Target="https://www.sciencedirect.com/science/article/pii/S0168851021001299" TargetMode="External"/><Relationship Id="rId232" Type="http://schemas.openxmlformats.org/officeDocument/2006/relationships/hyperlink" Target="https://www.biodiritto.org/Biolaw-pedia/Giurisprudenza/Belgio-Cour-constitutionnelle-sent.-153-2015-decisione-della-Corte-costituzionale-sulla-legge-che-estende-l-eutanasia-ai-minori" TargetMode="External"/><Relationship Id="rId253" Type="http://schemas.openxmlformats.org/officeDocument/2006/relationships/hyperlink" Target="https://www.britannica.com/procon/MAID-medical-aid-in-dying-debate" TargetMode="External"/><Relationship Id="rId274" Type="http://schemas.openxmlformats.org/officeDocument/2006/relationships/hyperlink" Target="https://www.impo.com.uy/bases/codigo-penal/9155-1933" TargetMode="External"/><Relationship Id="rId295" Type="http://schemas.openxmlformats.org/officeDocument/2006/relationships/customXml" Target="../customXml/item4.xml"/><Relationship Id="rId27" Type="http://schemas.openxmlformats.org/officeDocument/2006/relationships/hyperlink" Target="https://jurnal.iaibafa.ac.id/index.php/minhaj/article/view/minhaj_januari23_05" TargetMode="External"/><Relationship Id="rId48" Type="http://schemas.openxmlformats.org/officeDocument/2006/relationships/hyperlink" Target="https://doi.org/10.1186/s12875-019-1063-z" TargetMode="External"/><Relationship Id="rId69" Type="http://schemas.openxmlformats.org/officeDocument/2006/relationships/hyperlink" Target="https://www.elgaronline.com/view/journals/jqrt/3/2/article-p79.xml" TargetMode="External"/><Relationship Id="rId113" Type="http://schemas.openxmlformats.org/officeDocument/2006/relationships/hyperlink" Target="https://jme.bmj.com/content/38/1/35.short" TargetMode="External"/><Relationship Id="rId134" Type="http://schemas.openxmlformats.org/officeDocument/2006/relationships/hyperlink" Target="https://doi.org/10.1080/15265161.2023.2265265" TargetMode="External"/><Relationship Id="rId80" Type="http://schemas.openxmlformats.org/officeDocument/2006/relationships/hyperlink" Target="https://www.frontiersin.org/articles/10.3389/fpsyt.2022.1050086/full" TargetMode="External"/><Relationship Id="rId155" Type="http://schemas.openxmlformats.org/officeDocument/2006/relationships/hyperlink" Target="https://pmc.ncbi.nlm.nih.gov/articles/PMC10074264/" TargetMode="External"/><Relationship Id="rId176" Type="http://schemas.openxmlformats.org/officeDocument/2006/relationships/hyperlink" Target="https://www.into.ie/app/uploads/2019/10/GDPR_FAQ.pdf" TargetMode="External"/><Relationship Id="rId197" Type="http://schemas.openxmlformats.org/officeDocument/2006/relationships/hyperlink" Target="https://academic.oup.com/eurpub/article-abstract/22/1/19/485407" TargetMode="External"/><Relationship Id="rId201" Type="http://schemas.openxmlformats.org/officeDocument/2006/relationships/hyperlink" Target="https://doi.org/10.1056/nejm200202073460624" TargetMode="External"/><Relationship Id="rId222" Type="http://schemas.openxmlformats.org/officeDocument/2006/relationships/hyperlink" Target="https://www.researchgate.net/profile/Ioannis-Dimoliatis/publication/236837368_Early_European_attitudes_towards_good_death_Eugenios_Voulgaris_Treatise_on_euthanasia_St_Petersburg_1804/links/543e97f60cf2e76f0222d129/Early-European-attitudes-towards-good-death-Eugenios-Voulgaris-Treatise-on-euthanasia-St-Petersburg-1804.pdf?_sg%5B0%5D=started_experiment_milestone&amp;origin=journalDetail&amp;_rtd=e30%3D" TargetMode="External"/><Relationship Id="rId243" Type="http://schemas.openxmlformats.org/officeDocument/2006/relationships/hyperlink" Target="https://www.tribunalconstitucional.pt/tc/imprensa0200-bd8632.html?utm" TargetMode="External"/><Relationship Id="rId264" Type="http://schemas.openxmlformats.org/officeDocument/2006/relationships/hyperlink" Target="https://www.exit.ch/artikel/gesetzliche-regelung-der-suizidhilfe-in-der-schweiz-ein-kurzer-ueberblick/?utm" TargetMode="External"/><Relationship Id="rId285" Type="http://schemas.openxmlformats.org/officeDocument/2006/relationships/hyperlink" Target="https://end-of-life.qut.edu.au/assisteddying?utm" TargetMode="External"/><Relationship Id="rId17" Type="http://schemas.openxmlformats.org/officeDocument/2006/relationships/image" Target="media/image9.png"/><Relationship Id="rId38" Type="http://schemas.openxmlformats.org/officeDocument/2006/relationships/hyperlink" Target="http://www.revistainclusiones.org/index.php/inclu/article/view/369" TargetMode="External"/><Relationship Id="rId59" Type="http://schemas.openxmlformats.org/officeDocument/2006/relationships/hyperlink" Target="https://www.degruyterbrill.com/document/doi/10.7556/jaoa.2001.101.10.616/html" TargetMode="External"/><Relationship Id="rId103" Type="http://schemas.openxmlformats.org/officeDocument/2006/relationships/hyperlink" Target="https://doi.org/10.12775/PBE.2023.029" TargetMode="External"/><Relationship Id="rId124" Type="http://schemas.openxmlformats.org/officeDocument/2006/relationships/hyperlink" Target="https://repository.umi.ac.id/6269/" TargetMode="External"/><Relationship Id="rId70" Type="http://schemas.openxmlformats.org/officeDocument/2006/relationships/hyperlink" Target="https://bjgpopen.org/content/3/4/bjgpopen19X101677.abstract" TargetMode="External"/><Relationship Id="rId91" Type="http://schemas.openxmlformats.org/officeDocument/2006/relationships/hyperlink" Target="https://www.fondapol.org/etude/suicide-assiste-euthanasie-le-choix-de-la-rupture-et-lillusion-dun-progres/" TargetMode="External"/><Relationship Id="rId145" Type="http://schemas.openxmlformats.org/officeDocument/2006/relationships/hyperlink" Target="https://academic.oup.com/sw/article-abstract/56/2/119/1882552" TargetMode="External"/><Relationship Id="rId166" Type="http://schemas.openxmlformats.org/officeDocument/2006/relationships/hyperlink" Target="https://doi.org/10.1186/s12904-021-00869-1" TargetMode="External"/><Relationship Id="rId187" Type="http://schemas.openxmlformats.org/officeDocument/2006/relationships/hyperlink" Target="https://www.cambridge.org/core/journals/social-philosophy-and-policy/article/rethinking-assisted-dying/69362519137C62FDD637E5FDAA49FEF4" TargetMode="External"/><Relationship Id="rId1" Type="http://schemas.openxmlformats.org/officeDocument/2006/relationships/customXml" Target="../customXml/item1.xml"/><Relationship Id="rId212" Type="http://schemas.openxmlformats.org/officeDocument/2006/relationships/hyperlink" Target="https://doi.org/10.1056/NEJMsa071143" TargetMode="External"/><Relationship Id="rId233" Type="http://schemas.openxmlformats.org/officeDocument/2006/relationships/hyperlink" Target="https://decisions.scc-csc.ca/scc-csc/scc-csc/en/item/14637/index.do" TargetMode="External"/><Relationship Id="rId254" Type="http://schemas.openxmlformats.org/officeDocument/2006/relationships/hyperlink" Target="https://www.parlament.gv.at/dokument/XXVII/ME/150/imfname_1006947.pdf" TargetMode="External"/><Relationship Id="rId28" Type="http://schemas.openxmlformats.org/officeDocument/2006/relationships/hyperlink" Target="https://doi.org/10.1159/000551387" TargetMode="External"/><Relationship Id="rId49" Type="http://schemas.openxmlformats.org/officeDocument/2006/relationships/hyperlink" Target="https://search.ebscohost.com/login.aspx?direct=true&amp;profile=ehost&amp;scope=site&amp;authtype=crawler&amp;jrnl=16916077&amp;AN=172264606&amp;h=7%2BWf5r47VrmQQwNrf9mmzN0fP9PWu4901mR3N4PwlB0T1hAKQN%2B0HsdrdtNJFwh0CV3uFz1S13a8Jc2Bp9jSBg%3D%3D&amp;crl=c" TargetMode="External"/><Relationship Id="rId114" Type="http://schemas.openxmlformats.org/officeDocument/2006/relationships/hyperlink" Target="https://philpapers.org/rec/HORTSO-12" TargetMode="External"/><Relationship Id="rId275" Type="http://schemas.openxmlformats.org/officeDocument/2006/relationships/hyperlink" Target="https://www.gazzettaufficiale.it/sommario/codici/codicePenale" TargetMode="External"/><Relationship Id="rId60" Type="http://schemas.openxmlformats.org/officeDocument/2006/relationships/hyperlink" Target="https://jme.bmj.com/content/41/8/657.short" TargetMode="External"/><Relationship Id="rId81" Type="http://schemas.openxmlformats.org/officeDocument/2006/relationships/hyperlink" Target="https://open.uct.ac.za/handle/11427/37406" TargetMode="External"/><Relationship Id="rId135" Type="http://schemas.openxmlformats.org/officeDocument/2006/relationships/hyperlink" Target="https://doi.org/10.1007/s13187-012-0414-4" TargetMode="External"/><Relationship Id="rId156" Type="http://schemas.openxmlformats.org/officeDocument/2006/relationships/hyperlink" Target="https://apm.amegroups.org/article/view/50986/html" TargetMode="External"/><Relationship Id="rId177" Type="http://schemas.openxmlformats.org/officeDocument/2006/relationships/hyperlink" Target="https://doi.org/10.1007/s11673-009-9172-3" TargetMode="External"/><Relationship Id="rId198" Type="http://schemas.openxmlformats.org/officeDocument/2006/relationships/hyperlink" Target="https://doi.org/10.1136/medethics-2016-103405" TargetMode="External"/><Relationship Id="rId202" Type="http://schemas.openxmlformats.org/officeDocument/2006/relationships/hyperlink" Target="https://doi.org/10.1007/s11019-019-09914-6" TargetMode="External"/><Relationship Id="rId223" Type="http://schemas.openxmlformats.org/officeDocument/2006/relationships/hyperlink" Target="https://heinonline.org/hol-cgi-bin/get_pdf.cgi?handle=hein.journals/swales39&amp;section=5" TargetMode="External"/><Relationship Id="rId244" Type="http://schemas.openxmlformats.org/officeDocument/2006/relationships/hyperlink" Target="https://www.un.org/en/about-us/uiversal-declaration-of-human-rights" TargetMode="External"/><Relationship Id="rId18" Type="http://schemas.openxmlformats.org/officeDocument/2006/relationships/image" Target="media/image10.png"/><Relationship Id="rId39" Type="http://schemas.openxmlformats.org/officeDocument/2006/relationships/hyperlink" Target="https://books.google.com/books?hl=en&amp;lr=&amp;id=K5VZEAAAQBAJ&amp;oi=fnd&amp;pg=PA8&amp;dq=Banerjee,+Sourav,+and+Shreya+Sengupta.+Euthanasia-A+Doctrine+of+Death.+Blue+Rose+Publishers,+2022.&amp;ots=pVSKylIQOu&amp;sig=tzwHTLPAogSmLWo8_Qf-94oRelk" TargetMode="External"/><Relationship Id="rId265" Type="http://schemas.openxmlformats.org/officeDocument/2006/relationships/hyperlink" Target="https://aul.org/2024/06/11/ecuadorian-constitutional-court-legalizes-euthanasia/?utm" TargetMode="External"/><Relationship Id="rId286" Type="http://schemas.openxmlformats.org/officeDocument/2006/relationships/hyperlink" Target="https://wfrtds.org/worldmap/" TargetMode="External"/><Relationship Id="rId50" Type="http://schemas.openxmlformats.org/officeDocument/2006/relationships/hyperlink" Target="https://europepmc.org/article/med/34798415" TargetMode="External"/><Relationship Id="rId104" Type="http://schemas.openxmlformats.org/officeDocument/2006/relationships/hyperlink" Target="https://journals.plos.org/plosone/article?id=10.1371/journal.pone.0326142" TargetMode="External"/><Relationship Id="rId125" Type="http://schemas.openxmlformats.org/officeDocument/2006/relationships/hyperlink" Target="https://doi.org/10.1007/978-3-031-04516-5_3" TargetMode="External"/><Relationship Id="rId146" Type="http://schemas.openxmlformats.org/officeDocument/2006/relationships/hyperlink" Target="https://academic.oup.com/jcs/article-abstract/46/4/787/783219" TargetMode="External"/><Relationship Id="rId167" Type="http://schemas.openxmlformats.org/officeDocument/2006/relationships/hyperlink" Target="https://search.proquest.com/openview/66a2df0030254ce8bad2bda97ffa1077/1?pq-origsite=gscholar&amp;cbl=18750&amp;diss=y" TargetMode="External"/><Relationship Id="rId188" Type="http://schemas.openxmlformats.org/officeDocument/2006/relationships/hyperlink" Target="https://ejournals.epublishing.ekt.gr/index.php/bioethica/article/view/40932" TargetMode="External"/><Relationship Id="rId71" Type="http://schemas.openxmlformats.org/officeDocument/2006/relationships/hyperlink" Target="https://books.google.com/books?hl=en&amp;lr=&amp;id=AVcaEQAAQBAJ&amp;oi=fnd&amp;pg=PA51&amp;dq=++Coelho,+R.,+%26+Herx,+L.+(2024).+7+The+rapid+expansion+of+euthanasia+and+assisted+suicide:+the+view+from+Canada.+The+Reality+of+Assisted+Dying:+Understanding+the+Issues,+51.&amp;ots=iHW6FirocU&amp;sig=pNJtAV13FjSebvzEWtQIRR__xFE" TargetMode="External"/><Relationship Id="rId92" Type="http://schemas.openxmlformats.org/officeDocument/2006/relationships/hyperlink" Target="https://books.google.com/books?hl=en&amp;lr=&amp;id=o7YRDAAAQBAJ&amp;oi=fnd&amp;pg=PR7&amp;dq=Dowbiggin,+I.+(2003).+A+merciful+end:+The+euthanasia+movement+in+modern+America.+Oxford+University+Press.&amp;ots=2bFPUAbwRS&amp;sig=rq_VWxRfhyHaAALX5GLiO6vD-q8" TargetMode="External"/><Relationship Id="rId213" Type="http://schemas.openxmlformats.org/officeDocument/2006/relationships/hyperlink" Target="https://doi.org/10.1177/0825859788004001-232" TargetMode="External"/><Relationship Id="rId234" Type="http://schemas.openxmlformats.org/officeDocument/2006/relationships/hyperlink" Target="https://www.minsalud.gov.co/sites/rid/Lists/BibliotecaDigital/RIDE/INEC/IGUB/Sentencia-T-970-14.pdf" TargetMode="External"/><Relationship Id="rId2" Type="http://schemas.openxmlformats.org/officeDocument/2006/relationships/numbering" Target="numbering.xml"/><Relationship Id="rId29" Type="http://schemas.openxmlformats.org/officeDocument/2006/relationships/hyperlink" Target="https://zaguan.unizar.es/record/151472" TargetMode="External"/><Relationship Id="rId255" Type="http://schemas.openxmlformats.org/officeDocument/2006/relationships/hyperlink" Target="https://www.bmj.gv.at/service/Leichter-Lesen/Sterbehilfe.html?utm" TargetMode="External"/><Relationship Id="rId276" Type="http://schemas.openxmlformats.org/officeDocument/2006/relationships/hyperlink" Target="https://www.health.govt.nz/publications/review-of-the-end-of-life-choice-act-2019" TargetMode="External"/><Relationship Id="rId40" Type="http://schemas.openxmlformats.org/officeDocument/2006/relationships/hyperlink" Target="https://doi.org/10.1136/ebnurs-2023-103873" TargetMode="External"/><Relationship Id="rId115" Type="http://schemas.openxmlformats.org/officeDocument/2006/relationships/hyperlink" Target="https://doi.org/10.1111/bioe.12304" TargetMode="External"/><Relationship Id="rId136" Type="http://schemas.openxmlformats.org/officeDocument/2006/relationships/hyperlink" Target="https://doi.org/10.1007/s11192-020-03573-8" TargetMode="External"/><Relationship Id="rId157" Type="http://schemas.openxmlformats.org/officeDocument/2006/relationships/hyperlink" Target="https://dialnet.unirioja.es/servlet/articulo?codigo=9239552" TargetMode="External"/><Relationship Id="rId178" Type="http://schemas.openxmlformats.org/officeDocument/2006/relationships/hyperlink" Target="https://doi.org/10.1186/1472-6939-14-11" TargetMode="External"/><Relationship Id="rId61" Type="http://schemas.openxmlformats.org/officeDocument/2006/relationships/hyperlink" Target="https://www.cmaj.ca/content/182/9/895.short" TargetMode="External"/><Relationship Id="rId82" Type="http://schemas.openxmlformats.org/officeDocument/2006/relationships/hyperlink" Target="https://doi.org/10.1002/(SICI)1097-4571(199009)41:6%3c391::AID-ASI1%3e3.0.CO;2-9" TargetMode="External"/><Relationship Id="rId199" Type="http://schemas.openxmlformats.org/officeDocument/2006/relationships/hyperlink" Target="https://doi.org/10.7326/m17-0938" TargetMode="External"/><Relationship Id="rId203" Type="http://schemas.openxmlformats.org/officeDocument/2006/relationships/hyperlink" Target="https://doi.org/10.1002/jgf2.771" TargetMode="External"/><Relationship Id="rId19" Type="http://schemas.openxmlformats.org/officeDocument/2006/relationships/image" Target="media/image11.png"/><Relationship Id="rId224" Type="http://schemas.openxmlformats.org/officeDocument/2006/relationships/hyperlink" Target="https://journals.lww.com/jhpn/fulltext/2022/08000/Exploring_Hospice_Nurses__Viewpoints_on.8.aspx" TargetMode="External"/><Relationship Id="rId245" Type="http://schemas.openxmlformats.org/officeDocument/2006/relationships/hyperlink" Target="https://www.lrs.lt/home/Konstitucija/Konstitucija20220522.htm" TargetMode="External"/><Relationship Id="rId266" Type="http://schemas.openxmlformats.org/officeDocument/2006/relationships/hyperlink" Target="https://www.justice.gc.ca/eng/cj-jp/ad-am/bk-di.html?utm" TargetMode="External"/><Relationship Id="rId287" Type="http://schemas.openxmlformats.org/officeDocument/2006/relationships/image" Target="media/image16.png"/><Relationship Id="rId30" Type="http://schemas.openxmlformats.org/officeDocument/2006/relationships/hyperlink" Target="https://academic.oup.com/geronj/article-abstract/2/1/18/614828" TargetMode="External"/><Relationship Id="rId105" Type="http://schemas.openxmlformats.org/officeDocument/2006/relationships/hyperlink" Target="https://doi.org/10.1055/s-0038-1636952" TargetMode="External"/><Relationship Id="rId126" Type="http://schemas.openxmlformats.org/officeDocument/2006/relationships/hyperlink" Target="https://books.google.com/books?hl=en&amp;lr=&amp;id=6cHD2swgbUcC&amp;oi=fnd&amp;pg=PR6&amp;dq=The+concept+of+euthanasia,+as+a+merciful+release&amp;ots=MWBINJyHYx&amp;sig=CDaQwG53XZJIqemzZ7MNtfu-Lyg" TargetMode="External"/><Relationship Id="rId147" Type="http://schemas.openxmlformats.org/officeDocument/2006/relationships/hyperlink" Target="https://jme.bmj.com/content/34/8/636.short" TargetMode="External"/><Relationship Id="rId168" Type="http://schemas.openxmlformats.org/officeDocument/2006/relationships/hyperlink" Target="https://gs.elaba.lt/object/elaba:237586966/" TargetMode="External"/><Relationship Id="rId51" Type="http://schemas.openxmlformats.org/officeDocument/2006/relationships/hyperlink" Target="https://journals.library.columbia.edu/index.php/bioethics/article/view/13787" TargetMode="External"/><Relationship Id="rId72" Type="http://schemas.openxmlformats.org/officeDocument/2006/relationships/hyperlink" Target="https://doi.org/10.1186/s12910-024-01111-2" TargetMode="External"/><Relationship Id="rId93" Type="http://schemas.openxmlformats.org/officeDocument/2006/relationships/hyperlink" Target="https://www.jstor.org/stable/44449156" TargetMode="External"/><Relationship Id="rId189" Type="http://schemas.openxmlformats.org/officeDocument/2006/relationships/hyperlink" Target="https://doi.org/10.1177/14777509241283314" TargetMode="External"/><Relationship Id="rId3" Type="http://schemas.openxmlformats.org/officeDocument/2006/relationships/styles" Target="styles.xml"/><Relationship Id="rId214" Type="http://schemas.openxmlformats.org/officeDocument/2006/relationships/hyperlink" Target="https://doi.org/10.1080/13607863.2020.1870205" TargetMode="External"/><Relationship Id="rId235" Type="http://schemas.openxmlformats.org/officeDocument/2006/relationships/hyperlink" Target="https://www.cortecostituzionale.it/actionSchedaPronuncia.do?param_ecli=ECLI%3AIT%3ACOST%3A2019%3A242&amp;utm_source=" TargetMode="External"/><Relationship Id="rId256" Type="http://schemas.openxmlformats.org/officeDocument/2006/relationships/hyperlink" Target="https://www.canada.ca/en/health-canada/services/publications/health-system-services/annual-report-medical-assistance-dying-2023.html?utm" TargetMode="External"/><Relationship Id="rId277" Type="http://schemas.openxmlformats.org/officeDocument/2006/relationships/hyperlink" Target="https://www.biodiritto.org/Biolaw-pedia/Giurisprudenza/Belgio-Cour-constitutionnelle-sent.-153-2015-decisione-della-Corte-costituzionale-sulla-legge-che-estende-l-eutanasia-ai-minori" TargetMode="External"/><Relationship Id="rId116" Type="http://schemas.openxmlformats.org/officeDocument/2006/relationships/hyperlink" Target="https://europepmc.org/article/med/33395663" TargetMode="External"/><Relationship Id="rId137" Type="http://schemas.openxmlformats.org/officeDocument/2006/relationships/hyperlink" Target="https://doi.org/10.1007/s11192-019-03238-1" TargetMode="External"/><Relationship Id="rId158" Type="http://schemas.openxmlformats.org/officeDocument/2006/relationships/hyperlink" Target="https://europepmc.org/article/med/33873137" TargetMode="External"/><Relationship Id="rId20" Type="http://schemas.openxmlformats.org/officeDocument/2006/relationships/image" Target="media/image12.png"/><Relationship Id="rId41" Type="http://schemas.openxmlformats.org/officeDocument/2006/relationships/hyperlink" Target="https://heinonline.org/hol-cgi-bin/get_pdf.cgi?handle=hein.journals/bcic35&amp;section=13" TargetMode="External"/><Relationship Id="rId62" Type="http://schemas.openxmlformats.org/officeDocument/2006/relationships/hyperlink" Target="https://doi.org/10.1177/0272989X10392379" TargetMode="External"/><Relationship Id="rId83" Type="http://schemas.openxmlformats.org/officeDocument/2006/relationships/hyperlink" Target="http://www.paom.pl/National-and-international-legal-issues-of-the-euthanasia,140538,0,2.html" TargetMode="External"/><Relationship Id="rId179" Type="http://schemas.openxmlformats.org/officeDocument/2006/relationships/hyperlink" Target="https://www.sciencedirect.com/science/article/pii/S088539241500158X" TargetMode="External"/><Relationship Id="rId190" Type="http://schemas.openxmlformats.org/officeDocument/2006/relationships/hyperlink" Target="https://jamanetwork.com/journals/jamapsychiatry/article-abstract/2828937" TargetMode="External"/><Relationship Id="rId204" Type="http://schemas.openxmlformats.org/officeDocument/2006/relationships/hyperlink" Target="https://doi.org/10.1198/016214506000000302" TargetMode="External"/><Relationship Id="rId225" Type="http://schemas.openxmlformats.org/officeDocument/2006/relationships/hyperlink" Target="https://www.jstor.org/stable/2108012" TargetMode="External"/><Relationship Id="rId246" Type="http://schemas.openxmlformats.org/officeDocument/2006/relationships/hyperlink" Target="https://www.e-tar.lt/portal/lt/legalAct/TAR.2B866DFF7D43/asr" TargetMode="External"/><Relationship Id="rId267" Type="http://schemas.openxmlformats.org/officeDocument/2006/relationships/hyperlink" Target="https://healthcaredenmark.dk/national-strongholds/digitalisation/digital-infrastructure/" TargetMode="External"/><Relationship Id="rId288" Type="http://schemas.openxmlformats.org/officeDocument/2006/relationships/image" Target="media/image17.png"/><Relationship Id="rId106" Type="http://schemas.openxmlformats.org/officeDocument/2006/relationships/hyperlink" Target="https://doi.org/10.48550/arXiv.2203.05794" TargetMode="External"/><Relationship Id="rId127" Type="http://schemas.openxmlformats.org/officeDocument/2006/relationships/hyperlink" Target="https://books.google.com/books?hl=en&amp;lr=&amp;id=2r9tDwAAQBAJ&amp;oi=fnd&amp;pg=PR9&amp;dq=Keown,+J.+(2018).+Euthanasia,+ethics+and+public+policy:+an+argument+against+legalisation.+Cambridge+University+Press.&amp;ots=_hMRY4rBoD&amp;sig=BjW1wJ-IjWOmt6D4eEl_HU-LkOw" TargetMode="External"/><Relationship Id="rId10" Type="http://schemas.openxmlformats.org/officeDocument/2006/relationships/image" Target="media/image3.png"/><Relationship Id="rId31" Type="http://schemas.openxmlformats.org/officeDocument/2006/relationships/hyperlink" Target="https://doi.org/10.1177/00302228231221839" TargetMode="External"/><Relationship Id="rId52" Type="http://schemas.openxmlformats.org/officeDocument/2006/relationships/hyperlink" Target="https://books.google.com/books?hl=en&amp;lr=&amp;id=E3asTXxKps4C&amp;oi=fnd&amp;pg=PR1&amp;dq=Biggs,+H.+(2001).+Euthanasia,+death+with+dignity+and+the+Law.+Hart+Publishing.&amp;ots=UNDOY1tFBs&amp;sig=y3IP1yX_3vg1k-xj9WNU-VDn9i4" TargetMode="External"/><Relationship Id="rId73" Type="http://schemas.openxmlformats.org/officeDocument/2006/relationships/hyperlink" Target="https://academic.oup.com/eurpub/article-abstract/16/6/663/587667" TargetMode="External"/><Relationship Id="rId94" Type="http://schemas.openxmlformats.org/officeDocument/2006/relationships/hyperlink" Target="https://doi.org/10.3389/fsoc.2022.886498" TargetMode="External"/><Relationship Id="rId148" Type="http://schemas.openxmlformats.org/officeDocument/2006/relationships/hyperlink" Target="https://doi.org/10.3390/informatics11010008" TargetMode="External"/><Relationship Id="rId169" Type="http://schemas.openxmlformats.org/officeDocument/2006/relationships/hyperlink" Target="https://doi.org/10.1007/s11673-016-9718-0" TargetMode="External"/><Relationship Id="rId4" Type="http://schemas.openxmlformats.org/officeDocument/2006/relationships/settings" Target="settings.xml"/><Relationship Id="rId180" Type="http://schemas.openxmlformats.org/officeDocument/2006/relationships/hyperlink" Target="https://doi.org/10.1177/14777509231182003" TargetMode="External"/><Relationship Id="rId215" Type="http://schemas.openxmlformats.org/officeDocument/2006/relationships/hyperlink" Target="https://www.sciencedirect.com/science/article/pii/S0738399123002628" TargetMode="External"/><Relationship Id="rId236" Type="http://schemas.openxmlformats.org/officeDocument/2006/relationships/hyperlink" Target="https://www.ohchr.org/en/instruments-mechanisms/instruments/convention-rights-child" TargetMode="External"/><Relationship Id="rId257" Type="http://schemas.openxmlformats.org/officeDocument/2006/relationships/hyperlink" Target="https://www.reuters.com/world/americas/canada-delay-assisted-death-solely-mental-illness-until-2027-2024-02-01/?utm" TargetMode="External"/><Relationship Id="rId278" Type="http://schemas.openxmlformats.org/officeDocument/2006/relationships/hyperlink" Target="https://zenit.org/2024/11/27/colombian-constitutional-court-expands-euthanasia-access-amid-growing-controversy/?utm" TargetMode="External"/><Relationship Id="rId42" Type="http://schemas.openxmlformats.org/officeDocument/2006/relationships/hyperlink" Target="http://clinicaterapeutica.it/ojs/index.php/1/article/view/713" TargetMode="External"/><Relationship Id="rId84" Type="http://schemas.openxmlformats.org/officeDocument/2006/relationships/hyperlink" Target="https://academic.oup.com/medlaw/article-abstract/33/3/fwaf025/8212034" TargetMode="External"/><Relationship Id="rId138" Type="http://schemas.openxmlformats.org/officeDocument/2006/relationships/hyperlink" Target="https://doi.org/10.1007/s11192-020-03697-x" TargetMode="External"/><Relationship Id="rId191" Type="http://schemas.openxmlformats.org/officeDocument/2006/relationships/hyperlink" Target="https://jme.bmj.com/content/38/5/274.short" TargetMode="External"/><Relationship Id="rId205" Type="http://schemas.openxmlformats.org/officeDocument/2006/relationships/hyperlink" Target="https://doi.org/10.1177/0969733017720850" TargetMode="External"/><Relationship Id="rId247" Type="http://schemas.openxmlformats.org/officeDocument/2006/relationships/hyperlink" Target="https://e-seimas.lrs.lt/portal/legalAct/lt/TAP/447e4060bb5011e4a939cd67303e5a1f?positionInSearchResults=0&amp;searchModelUUID=c9f16a4b-903e-48bd-a23d-c616e0e1b6da" TargetMode="External"/><Relationship Id="rId107" Type="http://schemas.openxmlformats.org/officeDocument/2006/relationships/hyperlink" Target="https://spcare.bmj.com/content/15/4/423.abstract" TargetMode="External"/><Relationship Id="rId289" Type="http://schemas.openxmlformats.org/officeDocument/2006/relationships/image" Target="media/image18.png"/><Relationship Id="rId11" Type="http://schemas.openxmlformats.org/officeDocument/2006/relationships/image" Target="media/image4.png"/><Relationship Id="rId53" Type="http://schemas.openxmlformats.org/officeDocument/2006/relationships/hyperlink" Target="https://doi.org/10.1214/07-AOAS114" TargetMode="External"/><Relationship Id="rId149" Type="http://schemas.openxmlformats.org/officeDocument/2006/relationships/hyperlink" Target="https://heinonline.org/hol-cgi-bin/get_pdf.cgi?handle=hein.journals/bialspw28&amp;section=44" TargetMode="External"/><Relationship Id="rId95" Type="http://schemas.openxmlformats.org/officeDocument/2006/relationships/hyperlink" Target="https://jamanetwork.com/journals/jamainternalmedicine/article-abstract/619263" TargetMode="External"/><Relationship Id="rId160" Type="http://schemas.openxmlformats.org/officeDocument/2006/relationships/hyperlink" Target="https://doi.org/10.1177/00243639251356676" TargetMode="External"/><Relationship Id="rId216" Type="http://schemas.openxmlformats.org/officeDocument/2006/relationships/hyperlink" Target="https://www.sciencedirect.com/science/article/pii/S0885392411001540" TargetMode="External"/><Relationship Id="rId258" Type="http://schemas.openxmlformats.org/officeDocument/2006/relationships/hyperlink" Target="https://legislationline.org/Netherlands" TargetMode="External"/><Relationship Id="rId22" Type="http://schemas.openxmlformats.org/officeDocument/2006/relationships/image" Target="media/image14.png"/><Relationship Id="rId64" Type="http://schemas.openxmlformats.org/officeDocument/2006/relationships/hyperlink" Target="https://doi.org/10.1186/1471-2458-12-447" TargetMode="External"/><Relationship Id="rId118" Type="http://schemas.openxmlformats.org/officeDocument/2006/relationships/hyperlink" Target="http://research.stmarys.ac.uk/id/eprint/3664/" TargetMode="External"/><Relationship Id="rId171" Type="http://schemas.openxmlformats.org/officeDocument/2006/relationships/hyperlink" Target="https://ruor.uottawa.ca/items/c60b954e-3317-4a6a-a41d-d2d1c06f9ccd" TargetMode="External"/><Relationship Id="rId227" Type="http://schemas.openxmlformats.org/officeDocument/2006/relationships/hyperlink" Target="https://hudoc.echr.coe.int/eng" TargetMode="External"/><Relationship Id="rId269" Type="http://schemas.openxmlformats.org/officeDocument/2006/relationships/hyperlink" Target="https://legilux.public.lu/eli/etat/leg/loi/2009/03/16/n2/jo"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academic.oup.com/sw/article-abstract/56/2/119/1882552" TargetMode="External"/><Relationship Id="rId299" Type="http://schemas.openxmlformats.org/officeDocument/2006/relationships/hyperlink" Target="https://link.springer.com/article/10.1186/s12888-017-1369-0" TargetMode="External"/><Relationship Id="rId21" Type="http://schemas.openxmlformats.org/officeDocument/2006/relationships/hyperlink" Target="https://academic.oup.com/jmp/article-abstract/22/2/99/935684" TargetMode="External"/><Relationship Id="rId63" Type="http://schemas.openxmlformats.org/officeDocument/2006/relationships/hyperlink" Target="https://jamanetwork.com/journals/jamainternalmedicine/article-abstract/619263" TargetMode="External"/><Relationship Id="rId159" Type="http://schemas.openxmlformats.org/officeDocument/2006/relationships/hyperlink" Target="https://jme.bmj.com/content/45/2/84.abstract" TargetMode="External"/><Relationship Id="rId324" Type="http://schemas.openxmlformats.org/officeDocument/2006/relationships/hyperlink" Target="https://europepmc.org/article/med/33873137" TargetMode="External"/><Relationship Id="rId366" Type="http://schemas.openxmlformats.org/officeDocument/2006/relationships/hyperlink" Target="https://adc.bmj.com/content/96/10/948" TargetMode="External"/><Relationship Id="rId170" Type="http://schemas.openxmlformats.org/officeDocument/2006/relationships/hyperlink" Target="https://doi.org/10.1177/14777509241283314" TargetMode="External"/><Relationship Id="rId226" Type="http://schemas.openxmlformats.org/officeDocument/2006/relationships/hyperlink" Target="https://wfrtds.org/worldmap/" TargetMode="External"/><Relationship Id="rId268" Type="http://schemas.openxmlformats.org/officeDocument/2006/relationships/hyperlink" Target="https://hudoc.echr.coe.int/eng" TargetMode="External"/><Relationship Id="rId32" Type="http://schemas.openxmlformats.org/officeDocument/2006/relationships/hyperlink" Target="https://www.cambridge.org/core/journals/american-journal-of-international-law/article/pretty-v-united-kingdom/89701F3BCCFA5BB3769478FC99814057" TargetMode="External"/><Relationship Id="rId74" Type="http://schemas.openxmlformats.org/officeDocument/2006/relationships/hyperlink" Target="https://doi.org/10.1177/14777509231182003" TargetMode="External"/><Relationship Id="rId128" Type="http://schemas.openxmlformats.org/officeDocument/2006/relationships/hyperlink" Target="https://doi.org/10.1214/07-AOAS114" TargetMode="External"/><Relationship Id="rId335" Type="http://schemas.openxmlformats.org/officeDocument/2006/relationships/hyperlink" Target="https://doi.org/10.1007/s11673-016-9718-0" TargetMode="External"/><Relationship Id="rId377" Type="http://schemas.openxmlformats.org/officeDocument/2006/relationships/hyperlink" Target="https://www.sciencedirect.com/science/article/pii/S0160252724000104" TargetMode="External"/><Relationship Id="rId5" Type="http://schemas.openxmlformats.org/officeDocument/2006/relationships/hyperlink" Target="https://www.e-tar.lt/portal/lt/legalAct/TAR.2B866DFF7D43/asr" TargetMode="External"/><Relationship Id="rId181" Type="http://schemas.openxmlformats.org/officeDocument/2006/relationships/hyperlink" Target="https://www.thelancet.com/journals/lancet/article/PIIS0140-6736(12)61034-4/abstract" TargetMode="External"/><Relationship Id="rId237" Type="http://schemas.openxmlformats.org/officeDocument/2006/relationships/hyperlink" Target="https://www.parlament.gv.at/dokument/XXVII/ME/150/imfname_1006947.pdf" TargetMode="External"/><Relationship Id="rId402" Type="http://schemas.openxmlformats.org/officeDocument/2006/relationships/hyperlink" Target="https://www.sciencedirect.com/science/article/pii/S2352552525000131" TargetMode="External"/><Relationship Id="rId279" Type="http://schemas.openxmlformats.org/officeDocument/2006/relationships/hyperlink" Target="https://doi.org/10.12775/PBE.2023.029" TargetMode="External"/><Relationship Id="rId43" Type="http://schemas.openxmlformats.org/officeDocument/2006/relationships/hyperlink" Target="http://research.stmarys.ac.uk/id/eprint/3664/" TargetMode="External"/><Relationship Id="rId139" Type="http://schemas.openxmlformats.org/officeDocument/2006/relationships/hyperlink" Target="https://doi.org/10.1007/s11192-020-03697-x" TargetMode="External"/><Relationship Id="rId290" Type="http://schemas.openxmlformats.org/officeDocument/2006/relationships/hyperlink" Target="https://www.sciencedirect.com/science/article/pii/S0168851010001934" TargetMode="External"/><Relationship Id="rId304" Type="http://schemas.openxmlformats.org/officeDocument/2006/relationships/hyperlink" Target="https://doi.org/10.1136/medethics-2016-103405" TargetMode="External"/><Relationship Id="rId346" Type="http://schemas.openxmlformats.org/officeDocument/2006/relationships/hyperlink" Target="https://journals.lww.com/lww-medicalcare/fulltext/2010/02000/The_Work_Limitations_Questionnaire.15.aspx" TargetMode="External"/><Relationship Id="rId388" Type="http://schemas.openxmlformats.org/officeDocument/2006/relationships/hyperlink" Target="https://doi.org/10.1007/s11673-016-9718-0" TargetMode="External"/><Relationship Id="rId85" Type="http://schemas.openxmlformats.org/officeDocument/2006/relationships/hyperlink" Target="https://heinonline.org/hol-cgi-bin/get_pdf.cgi?handle=hein.journals/ilmed10&amp;section=23" TargetMode="External"/><Relationship Id="rId150" Type="http://schemas.openxmlformats.org/officeDocument/2006/relationships/hyperlink" Target="https://doi.org/10.1007/s11673-016-9718-0" TargetMode="External"/><Relationship Id="rId192" Type="http://schemas.openxmlformats.org/officeDocument/2006/relationships/hyperlink" Target="https://dialnet.unirioja.es/servlet/articulo?codigo=9239552" TargetMode="External"/><Relationship Id="rId206" Type="http://schemas.openxmlformats.org/officeDocument/2006/relationships/hyperlink" Target="https://www.cambridge.org/core/journals/cambridge-quarterly-of-healthcare-ethics/article/communicating-concerns/5B8D23A699D5519D431EFED7FE342B53" TargetMode="External"/><Relationship Id="rId413" Type="http://schemas.openxmlformats.org/officeDocument/2006/relationships/hyperlink" Target="https://zaguan.unizar.es/record/151472" TargetMode="External"/><Relationship Id="rId248" Type="http://schemas.openxmlformats.org/officeDocument/2006/relationships/hyperlink" Target="https://www.health.wa.gov.au/voluntaryassisteddying?utm" TargetMode="External"/><Relationship Id="rId12" Type="http://schemas.openxmlformats.org/officeDocument/2006/relationships/hyperlink" Target="https://ruor.uottawa.ca/items/c60b954e-3317-4a6a-a41d-d2d1c06f9ccd" TargetMode="External"/><Relationship Id="rId108" Type="http://schemas.openxmlformats.org/officeDocument/2006/relationships/hyperlink" Target="https://doi.org/10.1177/002580249703700403" TargetMode="External"/><Relationship Id="rId315" Type="http://schemas.openxmlformats.org/officeDocument/2006/relationships/hyperlink" Target="https://europepmc.org/article/med/34798415" TargetMode="External"/><Relationship Id="rId357" Type="http://schemas.openxmlformats.org/officeDocument/2006/relationships/hyperlink" Target="https://hrcak.srce.hr/237864" TargetMode="External"/><Relationship Id="rId54" Type="http://schemas.openxmlformats.org/officeDocument/2006/relationships/hyperlink" Target="https://jamanetwork.com/journals/jama/article-abstract/187873" TargetMode="External"/><Relationship Id="rId96" Type="http://schemas.openxmlformats.org/officeDocument/2006/relationships/hyperlink" Target="https://www.ohchr.org/en/instruments-mechanisms/instruments/convention-rights-child" TargetMode="External"/><Relationship Id="rId161" Type="http://schemas.openxmlformats.org/officeDocument/2006/relationships/hyperlink" Target="https://doi.org/10.1055/s-0038-1636952" TargetMode="External"/><Relationship Id="rId217" Type="http://schemas.openxmlformats.org/officeDocument/2006/relationships/hyperlink" Target="https://www.e-tar.lt/portal/lt/legalAct/TAR.2B866DFF7D43/asr" TargetMode="External"/><Relationship Id="rId399" Type="http://schemas.openxmlformats.org/officeDocument/2006/relationships/hyperlink" Target="https://jme.bmj.com/content/38/5/274.short" TargetMode="External"/><Relationship Id="rId259" Type="http://schemas.openxmlformats.org/officeDocument/2006/relationships/hyperlink" Target="https://doi.org/10.1111/bioe.13439" TargetMode="External"/><Relationship Id="rId424" Type="http://schemas.openxmlformats.org/officeDocument/2006/relationships/hyperlink" Target="https://journals.plos.org/plosone/article?id=10.1371/journal.pone.0299049" TargetMode="External"/><Relationship Id="rId23" Type="http://schemas.openxmlformats.org/officeDocument/2006/relationships/hyperlink" Target="https://academic.oup.com/geronj/article-abstract/2/1/18/614828" TargetMode="External"/><Relationship Id="rId119" Type="http://schemas.openxmlformats.org/officeDocument/2006/relationships/hyperlink" Target="https://heinonline.org/hol-cgi-bin/get_pdf.cgi?handle=hein.journals/ijlmhs27&amp;section=39" TargetMode="External"/><Relationship Id="rId270" Type="http://schemas.openxmlformats.org/officeDocument/2006/relationships/hyperlink" Target="https://link.springer.com/book/10.1007/978-3-030-86442-2" TargetMode="External"/><Relationship Id="rId326" Type="http://schemas.openxmlformats.org/officeDocument/2006/relationships/hyperlink" Target="https://www.sciencedirect.com/science/article/pii/S0885392411001540" TargetMode="External"/><Relationship Id="rId65" Type="http://schemas.openxmlformats.org/officeDocument/2006/relationships/hyperlink" Target="https://www.jstor.org/stable/2108012" TargetMode="External"/><Relationship Id="rId130" Type="http://schemas.openxmlformats.org/officeDocument/2006/relationships/hyperlink" Target="https://doi.org/10.1007/978-3-030-75015-2_10" TargetMode="External"/><Relationship Id="rId368" Type="http://schemas.openxmlformats.org/officeDocument/2006/relationships/hyperlink" Target="https://www.frontiersin.org/articles/10.3389/fpsyt.2022.1050086/full" TargetMode="External"/><Relationship Id="rId172" Type="http://schemas.openxmlformats.org/officeDocument/2006/relationships/hyperlink" Target="https://doi.org/10.1186/1472-6939-14-11" TargetMode="External"/><Relationship Id="rId228" Type="http://schemas.openxmlformats.org/officeDocument/2006/relationships/hyperlink" Target="https://legislationline.org/Netherlands" TargetMode="External"/><Relationship Id="rId281" Type="http://schemas.openxmlformats.org/officeDocument/2006/relationships/hyperlink" Target="https://www.researchgate.net/profile/Esezi-Obilor/publication/398681103_Convenience_and_Purposive_Sampling_Techniques_Are_they_the_Same/links/693fe9e8a1fd01798907e406/Convenience-and-Purposive-Sampling-Techniques-Are-they-the-Same.pdf" TargetMode="External"/><Relationship Id="rId337" Type="http://schemas.openxmlformats.org/officeDocument/2006/relationships/hyperlink" Target="https://doi.org/10.1177/0969733017720850" TargetMode="External"/><Relationship Id="rId34" Type="http://schemas.openxmlformats.org/officeDocument/2006/relationships/hyperlink" Target="https://www.fondapol.org/etude/suicide-assiste-euthanasie-le-choix-de-la-rupture-et-lillusion-dun-progres/" TargetMode="External"/><Relationship Id="rId76" Type="http://schemas.openxmlformats.org/officeDocument/2006/relationships/hyperlink" Target="https://www.frontiersin.org/journals/psychiatry/articles/10.3389/fpsyt.2024.1452835/full" TargetMode="External"/><Relationship Id="rId141" Type="http://schemas.openxmlformats.org/officeDocument/2006/relationships/hyperlink" Target="https://doi.org/10.1007/s11192-020-03573-8" TargetMode="External"/><Relationship Id="rId379" Type="http://schemas.openxmlformats.org/officeDocument/2006/relationships/hyperlink" Target="https://heinonline.org/hol-cgi-bin/get_pdf.cgi?handle=hein.journals/rebiod58&amp;section=11" TargetMode="External"/><Relationship Id="rId7" Type="http://schemas.openxmlformats.org/officeDocument/2006/relationships/hyperlink" Target="https://doi.org/10.1007/978-3-031-25315-7" TargetMode="External"/><Relationship Id="rId183" Type="http://schemas.openxmlformats.org/officeDocument/2006/relationships/hyperlink" Target="https://ejurnal.ung.ac.id/index.php/jalrev/article/download/7111/3478" TargetMode="External"/><Relationship Id="rId239" Type="http://schemas.openxmlformats.org/officeDocument/2006/relationships/hyperlink" Target="https://www.gazzettaufficiale.it/sommario/codici/codicePenale" TargetMode="External"/><Relationship Id="rId390" Type="http://schemas.openxmlformats.org/officeDocument/2006/relationships/hyperlink" Target="https://www.sciencedirect.com/science/article/pii/S0885392410006937" TargetMode="External"/><Relationship Id="rId404" Type="http://schemas.openxmlformats.org/officeDocument/2006/relationships/hyperlink" Target="https://www.frontiersin.org/articles/10.3389/fpsyt.2022.933748/full" TargetMode="External"/><Relationship Id="rId250" Type="http://schemas.openxmlformats.org/officeDocument/2006/relationships/hyperlink" Target="https://www.health.govt.nz/publications/review-of-the-end-of-life-choice-act-2019" TargetMode="External"/><Relationship Id="rId292" Type="http://schemas.openxmlformats.org/officeDocument/2006/relationships/hyperlink" Target="https://www.cmaj.ca/content/182/9/895.short" TargetMode="External"/><Relationship Id="rId306" Type="http://schemas.openxmlformats.org/officeDocument/2006/relationships/hyperlink" Target="https://doi.org/10.1007/s11673-016-9705-5" TargetMode="External"/><Relationship Id="rId45" Type="http://schemas.openxmlformats.org/officeDocument/2006/relationships/hyperlink" Target="https://www.degruyterbrill.com/document/doi/10.7556/jaoa.2001.101.10.616/html" TargetMode="External"/><Relationship Id="rId87" Type="http://schemas.openxmlformats.org/officeDocument/2006/relationships/hyperlink" Target="https://doi.org/10.1007/s11673-009-9172-3" TargetMode="External"/><Relationship Id="rId110" Type="http://schemas.openxmlformats.org/officeDocument/2006/relationships/hyperlink" Target="https://doi.org/10.1111/bioe.12304" TargetMode="External"/><Relationship Id="rId348" Type="http://schemas.openxmlformats.org/officeDocument/2006/relationships/hyperlink" Target="https://heinonline.org/hol-cgi-bin/get_pdf.cgi?handle=hein.journals/rebiod58&amp;section=11" TargetMode="External"/><Relationship Id="rId152" Type="http://schemas.openxmlformats.org/officeDocument/2006/relationships/hyperlink" Target="https://adc.bmj.com/content/96/10/948" TargetMode="External"/><Relationship Id="rId194" Type="http://schemas.openxmlformats.org/officeDocument/2006/relationships/hyperlink" Target="https://doi.org/10.1136/medethics-2016-103405" TargetMode="External"/><Relationship Id="rId208" Type="http://schemas.openxmlformats.org/officeDocument/2006/relationships/hyperlink" Target="https://journals.lww.com/lww-medicalcare/fulltext/2010/02000/The_Work_Limitations_Questionnaire.15.aspx" TargetMode="External"/><Relationship Id="rId415" Type="http://schemas.openxmlformats.org/officeDocument/2006/relationships/hyperlink" Target="https://doi.org/10.1177/26323524251318044" TargetMode="External"/><Relationship Id="rId261" Type="http://schemas.openxmlformats.org/officeDocument/2006/relationships/hyperlink" Target="https://www.fedlex.admin.ch/eli/cc/54/757_781_799/en?utm" TargetMode="External"/><Relationship Id="rId14" Type="http://schemas.openxmlformats.org/officeDocument/2006/relationships/hyperlink" Target="http://www.revistainclusiones.org/index.php/inclu/article/view/369" TargetMode="External"/><Relationship Id="rId56" Type="http://schemas.openxmlformats.org/officeDocument/2006/relationships/hyperlink" Target="https://doi.org/10.1162/152651601300168834" TargetMode="External"/><Relationship Id="rId317" Type="http://schemas.openxmlformats.org/officeDocument/2006/relationships/hyperlink" Target="https://academic.oup.com/eurpub/article-abstract/22/1/19/485407" TargetMode="External"/><Relationship Id="rId359" Type="http://schemas.openxmlformats.org/officeDocument/2006/relationships/hyperlink" Target="https://journals.lww.com/jhpn/fulltext/2022/08000/Exploring_Hospice_Nurses__Viewpoints_on.8.aspx" TargetMode="External"/><Relationship Id="rId98" Type="http://schemas.openxmlformats.org/officeDocument/2006/relationships/hyperlink" Target="https://doi.org/10.1177/002580249703700403" TargetMode="External"/><Relationship Id="rId121" Type="http://schemas.openxmlformats.org/officeDocument/2006/relationships/hyperlink" Target="https://doi.org/10.1177/0141076818803452" TargetMode="External"/><Relationship Id="rId163" Type="http://schemas.openxmlformats.org/officeDocument/2006/relationships/hyperlink" Target="https://academic.oup.com/eurpub/article-abstract/22/1/19/485407" TargetMode="External"/><Relationship Id="rId219" Type="http://schemas.openxmlformats.org/officeDocument/2006/relationships/hyperlink" Target="https://gs.elaba.lt/object/elaba:237586966/" TargetMode="External"/><Relationship Id="rId370" Type="http://schemas.openxmlformats.org/officeDocument/2006/relationships/hyperlink" Target="https://europepmc.org/article/med/34798415" TargetMode="External"/><Relationship Id="rId426" Type="http://schemas.openxmlformats.org/officeDocument/2006/relationships/hyperlink" Target="https://doi.org/10.1177/09697330241238342" TargetMode="External"/><Relationship Id="rId230" Type="http://schemas.openxmlformats.org/officeDocument/2006/relationships/hyperlink" Target="https://doi.org/10.3390/healthcare13020130" TargetMode="External"/><Relationship Id="rId25" Type="http://schemas.openxmlformats.org/officeDocument/2006/relationships/hyperlink" Target="https://heinonline.org/hol-cgi-bin/get_pdf.cgi?handle=hein.journals/stlpl15&amp;section=28" TargetMode="External"/><Relationship Id="rId67" Type="http://schemas.openxmlformats.org/officeDocument/2006/relationships/hyperlink" Target="https://heinonline.org/hol-cgi-bin/get_pdf.cgi?handle=hein.journals/ijlmhs27&amp;section=161" TargetMode="External"/><Relationship Id="rId272" Type="http://schemas.openxmlformats.org/officeDocument/2006/relationships/hyperlink" Target="https://zaguan.unizar.es/record/151472" TargetMode="External"/><Relationship Id="rId328" Type="http://schemas.openxmlformats.org/officeDocument/2006/relationships/hyperlink" Target="https://doi.org/10.1186/1472-6939-14-11" TargetMode="External"/><Relationship Id="rId132" Type="http://schemas.openxmlformats.org/officeDocument/2006/relationships/hyperlink" Target="https://doi.org/10.1007/s10778-009-0189-4" TargetMode="External"/><Relationship Id="rId174" Type="http://schemas.openxmlformats.org/officeDocument/2006/relationships/hyperlink" Target="https://doi.org/10.1186/1471-2458-12-447" TargetMode="External"/><Relationship Id="rId381" Type="http://schemas.openxmlformats.org/officeDocument/2006/relationships/hyperlink" Target="https://www.sciencedirect.com/science/article/pii/S0885392410006937" TargetMode="External"/><Relationship Id="rId241" Type="http://schemas.openxmlformats.org/officeDocument/2006/relationships/hyperlink" Target="https://raccoltanormativa.consiglio.regione.toscana.it/articolo?urndoc=urn%3Anir%3Aregione.toscana%3Alegge%3A2025-03-14%3B16&amp;utm_source=" TargetMode="External"/><Relationship Id="rId36" Type="http://schemas.openxmlformats.org/officeDocument/2006/relationships/hyperlink" Target="https://doi.org/10.1007/s00134-006-0426-9" TargetMode="External"/><Relationship Id="rId283" Type="http://schemas.openxmlformats.org/officeDocument/2006/relationships/hyperlink" Target="https://www.elgaronline.com/view/journals/jqrt/3/2/article-p79.xml" TargetMode="External"/><Relationship Id="rId339" Type="http://schemas.openxmlformats.org/officeDocument/2006/relationships/hyperlink" Target="https://doi.org/10.1186/1472-6939-14-11" TargetMode="External"/><Relationship Id="rId78" Type="http://schemas.openxmlformats.org/officeDocument/2006/relationships/hyperlink" Target="https://doi.org/10.1007/s11673-009-9172-3" TargetMode="External"/><Relationship Id="rId101" Type="http://schemas.openxmlformats.org/officeDocument/2006/relationships/hyperlink" Target="http://www.paom.pl/National-and-international-legal-issues-of-the-euthanasia,140538,0,2.html" TargetMode="External"/><Relationship Id="rId143" Type="http://schemas.openxmlformats.org/officeDocument/2006/relationships/hyperlink" Target="https://doi.org/10.1007/s11192-019-03264-z" TargetMode="External"/><Relationship Id="rId185" Type="http://schemas.openxmlformats.org/officeDocument/2006/relationships/hyperlink" Target="https://pmc.ncbi.nlm.nih.gov/articles/PMC2845507/" TargetMode="External"/><Relationship Id="rId350" Type="http://schemas.openxmlformats.org/officeDocument/2006/relationships/hyperlink" Target="https://www.thelancet.com/journals/lancet/article/PIIS0140-6736(12)61034-4/abstract" TargetMode="External"/><Relationship Id="rId406" Type="http://schemas.openxmlformats.org/officeDocument/2006/relationships/hyperlink" Target="https://doi.org/10.1007/s11019-010-9265-0" TargetMode="External"/><Relationship Id="rId9" Type="http://schemas.openxmlformats.org/officeDocument/2006/relationships/hyperlink" Target="https://heinonline.org/hol-cgi-bin/get_pdf.cgi?handle=hein.journals/ilmed24&amp;section=20" TargetMode="External"/><Relationship Id="rId210" Type="http://schemas.openxmlformats.org/officeDocument/2006/relationships/hyperlink" Target="https://www.sciencedirect.com/science/article/pii/S0160252724000104" TargetMode="External"/><Relationship Id="rId392" Type="http://schemas.openxmlformats.org/officeDocument/2006/relationships/hyperlink" Target="https://doi.org/10.1007/s11673-016-9705-5" TargetMode="External"/><Relationship Id="rId252" Type="http://schemas.openxmlformats.org/officeDocument/2006/relationships/hyperlink" Target="https://aul.org/2024/06/11/ecuadorian-constitutional-court-legalizes-euthanasia/?utm" TargetMode="External"/><Relationship Id="rId294" Type="http://schemas.openxmlformats.org/officeDocument/2006/relationships/hyperlink" Target="https://doi.org/10.1186/1471-2458-12-447" TargetMode="External"/><Relationship Id="rId308" Type="http://schemas.openxmlformats.org/officeDocument/2006/relationships/hyperlink" Target="https://www.sciencedirect.com/science/article/pii/S0738399123002628" TargetMode="External"/><Relationship Id="rId47" Type="http://schemas.openxmlformats.org/officeDocument/2006/relationships/hyperlink" Target="https://philpapers.org/rec/RACTEO" TargetMode="External"/><Relationship Id="rId89" Type="http://schemas.openxmlformats.org/officeDocument/2006/relationships/hyperlink" Target="https://academic.oup.com/bmb/article-abstract/52/2/334/403340" TargetMode="External"/><Relationship Id="rId112" Type="http://schemas.openxmlformats.org/officeDocument/2006/relationships/hyperlink" Target="https://www.researchgate.net/profile/Rateesh-Sareen/publication/333813941_India_decides_on_Euthanasia_Is_the_debate_over/links/5d89eac1a6fdcc8fd61b3e09/India-decides-on-Euthanasia-Is-the-debate-over.pdf" TargetMode="External"/><Relationship Id="rId154" Type="http://schemas.openxmlformats.org/officeDocument/2006/relationships/hyperlink" Target="https://www.sciencedirect.com/science/article/pii/S0885392411001540" TargetMode="External"/><Relationship Id="rId361" Type="http://schemas.openxmlformats.org/officeDocument/2006/relationships/hyperlink" Target="https://jme.bmj.com/content/38/5/274.short" TargetMode="External"/><Relationship Id="rId196" Type="http://schemas.openxmlformats.org/officeDocument/2006/relationships/hyperlink" Target="https://doi.org/10.1007/s13187-012-0414-4" TargetMode="External"/><Relationship Id="rId417" Type="http://schemas.openxmlformats.org/officeDocument/2006/relationships/hyperlink" Target="https://dialnet.unirioja.es/servlet/articulo?codigo=9239552" TargetMode="External"/><Relationship Id="rId16" Type="http://schemas.openxmlformats.org/officeDocument/2006/relationships/hyperlink" Target="https://www.ohchr.org/en/instruments-mechanisms/instruments/international-covenant-civil-and-political-rights" TargetMode="External"/><Relationship Id="rId221" Type="http://schemas.openxmlformats.org/officeDocument/2006/relationships/hyperlink" Target="https://e-seimas.lrs.lt/portal/legalAct/lt/TAK/883dd950bb5011e4a939cd67303e5a1f?jfwid=-txjh8zt0q" TargetMode="External"/><Relationship Id="rId263" Type="http://schemas.openxmlformats.org/officeDocument/2006/relationships/hyperlink" Target="https://www.samw.ch/en/Ethics/Topics-A-to-Z/Dying-and-death/Assisted-suicide.html?utm" TargetMode="External"/><Relationship Id="rId319" Type="http://schemas.openxmlformats.org/officeDocument/2006/relationships/hyperlink" Target="https://doi.org/10.1136/medethics-2016-103405" TargetMode="External"/><Relationship Id="rId58" Type="http://schemas.openxmlformats.org/officeDocument/2006/relationships/hyperlink" Target="https://eprints.nuim.ie/id/eprint/5193/" TargetMode="External"/><Relationship Id="rId123" Type="http://schemas.openxmlformats.org/officeDocument/2006/relationships/hyperlink" Target="https://doi.org/10.1016/j.jtemin.2026.100289" TargetMode="External"/><Relationship Id="rId330" Type="http://schemas.openxmlformats.org/officeDocument/2006/relationships/hyperlink" Target="https://europepmc.org/article/med/34798415" TargetMode="External"/><Relationship Id="rId165" Type="http://schemas.openxmlformats.org/officeDocument/2006/relationships/hyperlink" Target="https://www.sciencedirect.com/science/article/pii/S0160252724000104" TargetMode="External"/><Relationship Id="rId372" Type="http://schemas.openxmlformats.org/officeDocument/2006/relationships/hyperlink" Target="https://journals.lww.com/lww-medicalcare/fulltext/2010/02000/The_Work_Limitations_Questionnaire.15.aspx" TargetMode="External"/><Relationship Id="rId428" Type="http://schemas.openxmlformats.org/officeDocument/2006/relationships/hyperlink" Target="https://doi.org/10.1186/s12910-024-01111-2" TargetMode="External"/><Relationship Id="rId232" Type="http://schemas.openxmlformats.org/officeDocument/2006/relationships/hyperlink" Target="https://www.lemonde.fr/en/france/article/2022/12/13/northern-french-seeking-euthanasia-find-legal-option-in-belgium_6007595_7.html" TargetMode="External"/><Relationship Id="rId274" Type="http://schemas.openxmlformats.org/officeDocument/2006/relationships/hyperlink" Target="https://doi.org/10.1136/ebnurs-2023-103873" TargetMode="External"/><Relationship Id="rId27" Type="http://schemas.openxmlformats.org/officeDocument/2006/relationships/hyperlink" Target="https://ijlsi.com/wp-content/uploads/Balancing-Personal-Autonomy-and-the-Right-to-Life-in-Euthanasia.pdf" TargetMode="External"/><Relationship Id="rId69" Type="http://schemas.openxmlformats.org/officeDocument/2006/relationships/hyperlink" Target="https://doi.org/10.1007/s11019-019-09914-6" TargetMode="External"/><Relationship Id="rId134" Type="http://schemas.openxmlformats.org/officeDocument/2006/relationships/hyperlink" Target="https://doi.org/10.1007/s11192-018-2820-9" TargetMode="External"/><Relationship Id="rId80" Type="http://schemas.openxmlformats.org/officeDocument/2006/relationships/hyperlink" Target="https://www.sciencedirect.com/science/article/pii/S088539241500158X" TargetMode="External"/><Relationship Id="rId176" Type="http://schemas.openxmlformats.org/officeDocument/2006/relationships/hyperlink" Target="https://doi.org/10.1177/0272989X10392379" TargetMode="External"/><Relationship Id="rId341" Type="http://schemas.openxmlformats.org/officeDocument/2006/relationships/hyperlink" Target="https://jme.bmj.com/content/38/5/274.short" TargetMode="External"/><Relationship Id="rId383" Type="http://schemas.openxmlformats.org/officeDocument/2006/relationships/hyperlink" Target="https://europepmc.org/article/med/34798415" TargetMode="External"/><Relationship Id="rId201" Type="http://schemas.openxmlformats.org/officeDocument/2006/relationships/hyperlink" Target="https://bjgpopen.org/content/3/4/bjgpopen19X101677.abstract" TargetMode="External"/><Relationship Id="rId243" Type="http://schemas.openxmlformats.org/officeDocument/2006/relationships/hyperlink" Target="https://www.justice.gc.ca/eng/cj-jp/ad-am/bk-di.html?utm" TargetMode="External"/><Relationship Id="rId285" Type="http://schemas.openxmlformats.org/officeDocument/2006/relationships/hyperlink" Target="https://www.thelancet.com/journals/lancet/article/PIIS0140-6736(12)61034-4/abstract" TargetMode="External"/><Relationship Id="rId38" Type="http://schemas.openxmlformats.org/officeDocument/2006/relationships/hyperlink" Target="https://doi.org/10.1007/978-3-031-04516-5_3" TargetMode="External"/><Relationship Id="rId103" Type="http://schemas.openxmlformats.org/officeDocument/2006/relationships/hyperlink" Target="https://www.un.org/en/about-us/universal-declaration-of-human-rights" TargetMode="External"/><Relationship Id="rId310" Type="http://schemas.openxmlformats.org/officeDocument/2006/relationships/hyperlink" Target="https://europepmc.org/article/med/33873137" TargetMode="External"/><Relationship Id="rId91" Type="http://schemas.openxmlformats.org/officeDocument/2006/relationships/hyperlink" Target="https://www.ohchr.org/en/instruments-mechanisms/instruments/international-covenant-civil-and-political-rights" TargetMode="External"/><Relationship Id="rId145" Type="http://schemas.openxmlformats.org/officeDocument/2006/relationships/hyperlink" Target="https://www.thelancet.com/journals/lancet/article/PIIS0140-6736(12)61034-4/abstract" TargetMode="External"/><Relationship Id="rId187" Type="http://schemas.openxmlformats.org/officeDocument/2006/relationships/hyperlink" Target="https://doi.org/10.1080/13607863.2020.1870205" TargetMode="External"/><Relationship Id="rId352" Type="http://schemas.openxmlformats.org/officeDocument/2006/relationships/hyperlink" Target="https://www.sciencedirect.com/science/article/pii/S0738399123002628" TargetMode="External"/><Relationship Id="rId394" Type="http://schemas.openxmlformats.org/officeDocument/2006/relationships/hyperlink" Target="https://jme.bmj.com/content/45/2/84.abstract" TargetMode="External"/><Relationship Id="rId408" Type="http://schemas.openxmlformats.org/officeDocument/2006/relationships/hyperlink" Target="https://www.sciencedirect.com/science/article/pii/S088539241500158X" TargetMode="External"/><Relationship Id="rId1" Type="http://schemas.openxmlformats.org/officeDocument/2006/relationships/hyperlink" Target="https://www.cambridge.org/core/journals/social-philosophy-and-policy/article/rethinking-assisted-dying/69362519137C62FDD637E5FDAA49FEF4" TargetMode="External"/><Relationship Id="rId212" Type="http://schemas.openxmlformats.org/officeDocument/2006/relationships/hyperlink" Target="https://doi.org/10.1177/09697330241238342" TargetMode="External"/><Relationship Id="rId233" Type="http://schemas.openxmlformats.org/officeDocument/2006/relationships/hyperlink" Target="https://legilux.public.lu/eli/etat/leg/loi/2009/03/16/n2/jo" TargetMode="External"/><Relationship Id="rId254" Type="http://schemas.openxmlformats.org/officeDocument/2006/relationships/hyperlink" Target="https://www.impo.com.uy/bases/codigo-penal/9155-1933" TargetMode="External"/><Relationship Id="rId28" Type="http://schemas.openxmlformats.org/officeDocument/2006/relationships/hyperlink" Target="https://jamanetwork.com/journals/jamainternalmedicine/article-abstract/619263" TargetMode="External"/><Relationship Id="rId49" Type="http://schemas.openxmlformats.org/officeDocument/2006/relationships/hyperlink" Target="https://jamanetwork.com/journals/jama/article-abstract/187873" TargetMode="External"/><Relationship Id="rId114" Type="http://schemas.openxmlformats.org/officeDocument/2006/relationships/hyperlink" Target="https://heinonline.org/hol-cgi-bin/get_pdf.cgi?handle=hein.journals/bcic35&amp;section=13" TargetMode="External"/><Relationship Id="rId275" Type="http://schemas.openxmlformats.org/officeDocument/2006/relationships/hyperlink" Target="https://books.google.de/books?hl=en&amp;lr=&amp;id=5OYvBAAAQBAJ&amp;oi=fnd&amp;pg=PP6&amp;dq=Theory+Construction+in+Qualitative+Research:+From+Grounded+Theory+to+Abductive+Analysis.+&amp;ots=7ICMOceuuK&amp;sig=rtqfH38IStblBI5i2qD3Yek7c5Q&amp;redir_esc=y" TargetMode="External"/><Relationship Id="rId296" Type="http://schemas.openxmlformats.org/officeDocument/2006/relationships/hyperlink" Target="https://ejurnal.ung.ac.id/index.php/jalrev/article/download/7111/3478" TargetMode="External"/><Relationship Id="rId300" Type="http://schemas.openxmlformats.org/officeDocument/2006/relationships/hyperlink" Target="https://jme.bmj.com/content/45/2/84.abstract" TargetMode="External"/><Relationship Id="rId60" Type="http://schemas.openxmlformats.org/officeDocument/2006/relationships/hyperlink" Target="https://jamanetwork.com/journals/jama/article-abstract/187873" TargetMode="External"/><Relationship Id="rId81" Type="http://schemas.openxmlformats.org/officeDocument/2006/relationships/hyperlink" Target="https://doi.org/10.1056/NEJMc1414527" TargetMode="External"/><Relationship Id="rId135" Type="http://schemas.openxmlformats.org/officeDocument/2006/relationships/hyperlink" Target="https://direct.mit.edu/qss/article-abstract/1/1/363/15569" TargetMode="External"/><Relationship Id="rId156" Type="http://schemas.openxmlformats.org/officeDocument/2006/relationships/hyperlink" Target="https://bjgpopen.org/content/3/4/bjgpopen19X101677.abstract" TargetMode="External"/><Relationship Id="rId177" Type="http://schemas.openxmlformats.org/officeDocument/2006/relationships/hyperlink" Target="http://clinicaterapeutica.it/ojs/index.php/1/article/view/713" TargetMode="External"/><Relationship Id="rId198" Type="http://schemas.openxmlformats.org/officeDocument/2006/relationships/hyperlink" Target="https://journals.lww.com/jhpn/fulltext/2022/08000/Exploring_Hospice_Nurses__Viewpoints_on.8.aspx" TargetMode="External"/><Relationship Id="rId321" Type="http://schemas.openxmlformats.org/officeDocument/2006/relationships/hyperlink" Target="https://www.thelancet.com/journals/lancet/article/PIIS0140-6736(12)61034-4/abstract" TargetMode="External"/><Relationship Id="rId342" Type="http://schemas.openxmlformats.org/officeDocument/2006/relationships/hyperlink" Target="https://adc.bmj.com/content/96/10/948" TargetMode="External"/><Relationship Id="rId363" Type="http://schemas.openxmlformats.org/officeDocument/2006/relationships/hyperlink" Target="https://heinonline.org/hol-cgi-bin/get_pdf.cgi?handle=hein.journals/rebiod58&amp;section=11" TargetMode="External"/><Relationship Id="rId384" Type="http://schemas.openxmlformats.org/officeDocument/2006/relationships/hyperlink" Target="https://www.frontiersin.org/articles/10.3389/fpsyt.2022.933748/full" TargetMode="External"/><Relationship Id="rId419" Type="http://schemas.openxmlformats.org/officeDocument/2006/relationships/hyperlink" Target="https://doi.org/10.1136/medethics-2016-103405" TargetMode="External"/><Relationship Id="rId202" Type="http://schemas.openxmlformats.org/officeDocument/2006/relationships/hyperlink" Target="https://www.sciencedirect.com/science/article/pii/S0738399123002628" TargetMode="External"/><Relationship Id="rId223" Type="http://schemas.openxmlformats.org/officeDocument/2006/relationships/hyperlink" Target="https://e-seimas.lrs.lt/portal/legalAct/lt/TAP/447e4060bb5011e4a939cd67303e5a1f?positionInSearchResults=0&amp;searchModelUUID=c9f16a4b-903e-48bd-a23d-c616e0e1b6da" TargetMode="External"/><Relationship Id="rId244" Type="http://schemas.openxmlformats.org/officeDocument/2006/relationships/hyperlink" Target="https://laws-lois.justice.gc.ca/eng/acts/c-46/section-241.2.html?utm" TargetMode="External"/><Relationship Id="rId18" Type="http://schemas.openxmlformats.org/officeDocument/2006/relationships/hyperlink" Target="https://doi.org/10.1007/978-3-031-17299-1_104661" TargetMode="External"/><Relationship Id="rId39" Type="http://schemas.openxmlformats.org/officeDocument/2006/relationships/hyperlink" Target="https://doi.org/10.1056/NEJMsa071143" TargetMode="External"/><Relationship Id="rId265" Type="http://schemas.openxmlformats.org/officeDocument/2006/relationships/hyperlink" Target="https://consultativebodies.health.belgium.be/en/advisory-and-consultative-bodies/federal-commission-control-and-evaluation-euthanasia?utm" TargetMode="External"/><Relationship Id="rId286" Type="http://schemas.openxmlformats.org/officeDocument/2006/relationships/hyperlink" Target="https://europepmc.org/article/med/34798415" TargetMode="External"/><Relationship Id="rId50" Type="http://schemas.openxmlformats.org/officeDocument/2006/relationships/hyperlink" Target="https://doi.org/10.1080/07481187.2020.1800863" TargetMode="External"/><Relationship Id="rId104" Type="http://schemas.openxmlformats.org/officeDocument/2006/relationships/hyperlink" Target="https://www.ohchr.org/en/instruments-mechanisms/instruments/international-covenant-civil-and-political-rights" TargetMode="External"/><Relationship Id="rId125" Type="http://schemas.openxmlformats.org/officeDocument/2006/relationships/hyperlink" Target="https://www.frontiersin.org/articles/10.3389/frai.2020.00042/full" TargetMode="External"/><Relationship Id="rId146" Type="http://schemas.openxmlformats.org/officeDocument/2006/relationships/hyperlink" Target="https://www.sciencedirect.com/science/article/pii/S0168851021001299" TargetMode="External"/><Relationship Id="rId167" Type="http://schemas.openxmlformats.org/officeDocument/2006/relationships/hyperlink" Target="https://www.sciencedirect.com/science/article/pii/S2352552525000131" TargetMode="External"/><Relationship Id="rId188" Type="http://schemas.openxmlformats.org/officeDocument/2006/relationships/hyperlink" Target="https://zaguan.unizar.es/record/151472" TargetMode="External"/><Relationship Id="rId311" Type="http://schemas.openxmlformats.org/officeDocument/2006/relationships/hyperlink" Target="https://ejurnal.ung.ac.id/index.php/jalrev/article/download/7111/3478" TargetMode="External"/><Relationship Id="rId332" Type="http://schemas.openxmlformats.org/officeDocument/2006/relationships/hyperlink" Target="https://journals.lww.com/lww-medicalcare/fulltext/2010/02000/The_Work_Limitations_Questionnaire.15.aspx" TargetMode="External"/><Relationship Id="rId353" Type="http://schemas.openxmlformats.org/officeDocument/2006/relationships/hyperlink" Target="https://doi.org/10.1007/s11673-016-9705-5" TargetMode="External"/><Relationship Id="rId374" Type="http://schemas.openxmlformats.org/officeDocument/2006/relationships/hyperlink" Target="https://doi.org/10.1177/0272989X10392379" TargetMode="External"/><Relationship Id="rId395" Type="http://schemas.openxmlformats.org/officeDocument/2006/relationships/hyperlink" Target="https://www.cambridge.org/core/journals/cambridge-quarterly-of-healthcare-ethics/article/should-the-dutch-law-on-euthanasia-be-expanded-to-include-children/A41751232DBEF2EF8DC32998BB3E2C99" TargetMode="External"/><Relationship Id="rId409" Type="http://schemas.openxmlformats.org/officeDocument/2006/relationships/hyperlink" Target="https://www.cmaj.ca/content/182/9/895.short" TargetMode="External"/><Relationship Id="rId71" Type="http://schemas.openxmlformats.org/officeDocument/2006/relationships/hyperlink" Target="https://www.un.org/en/about-us/universal-declaration-of-human-rights" TargetMode="External"/><Relationship Id="rId92" Type="http://schemas.openxmlformats.org/officeDocument/2006/relationships/hyperlink" Target="https://social.desa.un.org/issues/disability/crpd/convention-on-the-rights-of-persons-with-disabilities-crpd" TargetMode="External"/><Relationship Id="rId213" Type="http://schemas.openxmlformats.org/officeDocument/2006/relationships/hyperlink" Target="https://jme.bmj.com/content/38/1/35.short" TargetMode="External"/><Relationship Id="rId234" Type="http://schemas.openxmlformats.org/officeDocument/2006/relationships/hyperlink" Target="https://doi.org/10.12681/bioeth.40932" TargetMode="External"/><Relationship Id="rId420" Type="http://schemas.openxmlformats.org/officeDocument/2006/relationships/hyperlink" Target="https://www.cambridge.org/core/journals/cambridge-quarterly-of-healthcare-ethics/article/communicating-concerns/5B8D23A699D5519D431EFED7FE342B53" TargetMode="External"/><Relationship Id="rId2" Type="http://schemas.openxmlformats.org/officeDocument/2006/relationships/hyperlink" Target="https://heinonline.org/hol-cgi-bin/get_pdf.cgi?handle=hein.journals/bialspw28&amp;section=44" TargetMode="External"/><Relationship Id="rId29" Type="http://schemas.openxmlformats.org/officeDocument/2006/relationships/hyperlink" Target="https://philpapers.org/rec/RACTEO" TargetMode="External"/><Relationship Id="rId255" Type="http://schemas.openxmlformats.org/officeDocument/2006/relationships/hyperlink" Target="https://doi.org/10.1002/jgf2.771" TargetMode="External"/><Relationship Id="rId276" Type="http://schemas.openxmlformats.org/officeDocument/2006/relationships/hyperlink" Target="https://doi.org/10.1002/jac5.1441" TargetMode="External"/><Relationship Id="rId297" Type="http://schemas.openxmlformats.org/officeDocument/2006/relationships/hyperlink" Target="https://repository.umi.ac.id/6269/" TargetMode="External"/><Relationship Id="rId40" Type="http://schemas.openxmlformats.org/officeDocument/2006/relationships/hyperlink" Target="https://academic.oup.com/jmp/article-abstract/41/1/74/2563132" TargetMode="External"/><Relationship Id="rId115" Type="http://schemas.openxmlformats.org/officeDocument/2006/relationships/hyperlink" Target="https://pdfs.semanticscholar.org/11e2/3c13aaf9165f6eedb520750e79fcef6f714d.pdf" TargetMode="External"/><Relationship Id="rId136" Type="http://schemas.openxmlformats.org/officeDocument/2006/relationships/hyperlink" Target="https://doi.org/10.1007/s11192-022-04475-7" TargetMode="External"/><Relationship Id="rId157" Type="http://schemas.openxmlformats.org/officeDocument/2006/relationships/hyperlink" Target="https://link.springer.com/article/10.1186/s12888-017-1369-0" TargetMode="External"/><Relationship Id="rId178" Type="http://schemas.openxmlformats.org/officeDocument/2006/relationships/hyperlink" Target="https://jurnal.iaibafa.ac.id/index.php/minhaj/article/view/minhaj_januari23_05" TargetMode="External"/><Relationship Id="rId301" Type="http://schemas.openxmlformats.org/officeDocument/2006/relationships/hyperlink" Target="https://pmc.ncbi.nlm.nih.gov/articles/PMC2845507/" TargetMode="External"/><Relationship Id="rId322" Type="http://schemas.openxmlformats.org/officeDocument/2006/relationships/hyperlink" Target="https://pmc.ncbi.nlm.nih.gov/articles/PMC2845507/" TargetMode="External"/><Relationship Id="rId343" Type="http://schemas.openxmlformats.org/officeDocument/2006/relationships/hyperlink" Target="https://www.sciencedirect.com/science/article/pii/S0168851010001934" TargetMode="External"/><Relationship Id="rId364" Type="http://schemas.openxmlformats.org/officeDocument/2006/relationships/hyperlink" Target="https://europepmc.org/article/med/33873137" TargetMode="External"/><Relationship Id="rId61" Type="http://schemas.openxmlformats.org/officeDocument/2006/relationships/hyperlink" Target="https://www.degruyterbrill.com/document/doi/10.7556/jaoa.2001.101.10.616/html" TargetMode="External"/><Relationship Id="rId82" Type="http://schemas.openxmlformats.org/officeDocument/2006/relationships/hyperlink" Target="https://decisions.scc-csc.ca/scc-csc/scc-csc/en/item/14637/index.do" TargetMode="External"/><Relationship Id="rId199" Type="http://schemas.openxmlformats.org/officeDocument/2006/relationships/hyperlink" Target="https://adc.bmj.com/content/96/10/948" TargetMode="External"/><Relationship Id="rId203" Type="http://schemas.openxmlformats.org/officeDocument/2006/relationships/hyperlink" Target="https://www.sciencedirect.com/science/article/pii/S0168851010001934" TargetMode="External"/><Relationship Id="rId385" Type="http://schemas.openxmlformats.org/officeDocument/2006/relationships/hyperlink" Target="https://www.thelancet.com/journals/lancet/article/PIIS0140-6736(12)61034-4/abstract" TargetMode="External"/><Relationship Id="rId19" Type="http://schemas.openxmlformats.org/officeDocument/2006/relationships/hyperlink" Target="https://doi.org/10.3390/healthcare12060626" TargetMode="External"/><Relationship Id="rId224" Type="http://schemas.openxmlformats.org/officeDocument/2006/relationships/hyperlink" Target="https://e-seimas.lrs.lt/portal/legalAct/lt/TAD/TAIS.291106/asr" TargetMode="External"/><Relationship Id="rId245" Type="http://schemas.openxmlformats.org/officeDocument/2006/relationships/hyperlink" Target="https://www.canada.ca/en/health-canada/services/publications/health-system-services/annual-report-medical-assistance-dying-2023.html?utm" TargetMode="External"/><Relationship Id="rId266" Type="http://schemas.openxmlformats.org/officeDocument/2006/relationships/hyperlink" Target="https://hudoc.echr.coe.int/eng" TargetMode="External"/><Relationship Id="rId287" Type="http://schemas.openxmlformats.org/officeDocument/2006/relationships/hyperlink" Target="https://doi.org/10.1007/s11673-016-9705-5" TargetMode="External"/><Relationship Id="rId410" Type="http://schemas.openxmlformats.org/officeDocument/2006/relationships/hyperlink" Target="https://doi.org/10.1177/0272989X10392379" TargetMode="External"/><Relationship Id="rId30" Type="http://schemas.openxmlformats.org/officeDocument/2006/relationships/hyperlink" Target="https://doi.org/10.7326/0003-4819-121-10-199411150-00010" TargetMode="External"/><Relationship Id="rId105" Type="http://schemas.openxmlformats.org/officeDocument/2006/relationships/hyperlink" Target="http://www.paom.pl/National-and-international-legal-issues-of-the-euthanasia,140538,0,2.html" TargetMode="External"/><Relationship Id="rId126" Type="http://schemas.openxmlformats.org/officeDocument/2006/relationships/hyperlink" Target="https://doi.org/10.1002/(SICI)1097-4571(199009)41:6%3c391::AID-ASI1%3e3.0.CO;2-9" TargetMode="External"/><Relationship Id="rId147" Type="http://schemas.openxmlformats.org/officeDocument/2006/relationships/hyperlink" Target="https://europepmc.org/article/med/34798415" TargetMode="External"/><Relationship Id="rId168" Type="http://schemas.openxmlformats.org/officeDocument/2006/relationships/hyperlink" Target="https://doi.org/10.1163/25892525-bja10030" TargetMode="External"/><Relationship Id="rId312" Type="http://schemas.openxmlformats.org/officeDocument/2006/relationships/hyperlink" Target="https://repository.umi.ac.id/6269/" TargetMode="External"/><Relationship Id="rId333" Type="http://schemas.openxmlformats.org/officeDocument/2006/relationships/hyperlink" Target="https://heinonline.org/hol-cgi-bin/get_pdf.cgi?handle=hein.journals/rebiod58&amp;section=11" TargetMode="External"/><Relationship Id="rId354" Type="http://schemas.openxmlformats.org/officeDocument/2006/relationships/hyperlink" Target="https://doi.org/10.1007/s11673-016-9718-0" TargetMode="External"/><Relationship Id="rId51" Type="http://schemas.openxmlformats.org/officeDocument/2006/relationships/hyperlink" Target="https://academic.oup.com/eurpub/article-abstract/16/6/663/587667" TargetMode="External"/><Relationship Id="rId72" Type="http://schemas.openxmlformats.org/officeDocument/2006/relationships/hyperlink" Target="https://doi.org/10.1177/14777509231182003" TargetMode="External"/><Relationship Id="rId93" Type="http://schemas.openxmlformats.org/officeDocument/2006/relationships/hyperlink" Target="https://pmc.ncbi.nlm.nih.gov/articles/PMC1636128/" TargetMode="External"/><Relationship Id="rId189" Type="http://schemas.openxmlformats.org/officeDocument/2006/relationships/hyperlink" Target="https://europepmc.org/article/med/33873137" TargetMode="External"/><Relationship Id="rId375" Type="http://schemas.openxmlformats.org/officeDocument/2006/relationships/hyperlink" Target="https://doi.org/10.1186/1471-2458-12-447" TargetMode="External"/><Relationship Id="rId396" Type="http://schemas.openxmlformats.org/officeDocument/2006/relationships/hyperlink" Target="https://doi.org/10.1055/s-0038-1636952" TargetMode="External"/><Relationship Id="rId3" Type="http://schemas.openxmlformats.org/officeDocument/2006/relationships/hyperlink" Target="https://www.academia.edu/download/87065460/wlek201904136.pdf" TargetMode="External"/><Relationship Id="rId214" Type="http://schemas.openxmlformats.org/officeDocument/2006/relationships/hyperlink" Target="https://doi.org/10.1111/apa.13620" TargetMode="External"/><Relationship Id="rId235" Type="http://schemas.openxmlformats.org/officeDocument/2006/relationships/hyperlink" Target="https://doi.org/10.52214/vib.v11i.13787" TargetMode="External"/><Relationship Id="rId256" Type="http://schemas.openxmlformats.org/officeDocument/2006/relationships/hyperlink" Target="https://www.proquest.com/openview/66a2df0030254ce8bad2bda97ffa1077/1?pq-origsite=gscholar&amp;cbl=18750&amp;diss=y" TargetMode="External"/><Relationship Id="rId277" Type="http://schemas.openxmlformats.org/officeDocument/2006/relationships/hyperlink" Target="https://doi.org/10.3390/bs15040469" TargetMode="External"/><Relationship Id="rId298" Type="http://schemas.openxmlformats.org/officeDocument/2006/relationships/hyperlink" Target="https://doi.org/10.5117/FEP2024.1.008.WEYE" TargetMode="External"/><Relationship Id="rId400" Type="http://schemas.openxmlformats.org/officeDocument/2006/relationships/hyperlink" Target="https://www.sciencedirect.com/science/article/pii/S0160252724000104" TargetMode="External"/><Relationship Id="rId421" Type="http://schemas.openxmlformats.org/officeDocument/2006/relationships/hyperlink" Target="https://doi.org/10.1007/s13187-012-0414-4" TargetMode="External"/><Relationship Id="rId116" Type="http://schemas.openxmlformats.org/officeDocument/2006/relationships/hyperlink" Target="https://doi.org/10.1177/0141076818803452" TargetMode="External"/><Relationship Id="rId137" Type="http://schemas.openxmlformats.org/officeDocument/2006/relationships/hyperlink" Target="https://doi.org/10.1007/s11192-019-03264-z" TargetMode="External"/><Relationship Id="rId158" Type="http://schemas.openxmlformats.org/officeDocument/2006/relationships/hyperlink" Target="https://www.sciencedirect.com/science/article/pii/S0168851010001934" TargetMode="External"/><Relationship Id="rId302" Type="http://schemas.openxmlformats.org/officeDocument/2006/relationships/hyperlink" Target="https://doi.org/10.1177/26323524251318044" TargetMode="External"/><Relationship Id="rId323" Type="http://schemas.openxmlformats.org/officeDocument/2006/relationships/hyperlink" Target="https://www.cambridge.org/core/journals/cambridge-quarterly-of-healthcare-ethics/article/communicating-concerns/5B8D23A699D5519D431EFED7FE342B53" TargetMode="External"/><Relationship Id="rId344" Type="http://schemas.openxmlformats.org/officeDocument/2006/relationships/hyperlink" Target="https://www.thelancet.com/journals/lancet/article/PIIS0140-6736(12)61034-4/abstract" TargetMode="External"/><Relationship Id="rId20" Type="http://schemas.openxmlformats.org/officeDocument/2006/relationships/hyperlink" Target="https://www.jstor.org/stable/44449156" TargetMode="External"/><Relationship Id="rId41" Type="http://schemas.openxmlformats.org/officeDocument/2006/relationships/hyperlink" Target="https://jme.bmj.com/content/41/8/657.short" TargetMode="External"/><Relationship Id="rId62" Type="http://schemas.openxmlformats.org/officeDocument/2006/relationships/hyperlink" Target="https://academic.oup.com/jmp/article-abstract/4/3/294/899452" TargetMode="External"/><Relationship Id="rId83" Type="http://schemas.openxmlformats.org/officeDocument/2006/relationships/hyperlink" Target="https://ijlsi.com/wp-content/uploads/Balancing-Personal-Autonomy-and-the-Right-to-Life-in-Euthanasia.pdf" TargetMode="External"/><Relationship Id="rId179" Type="http://schemas.openxmlformats.org/officeDocument/2006/relationships/hyperlink" Target="https://www.ceeol.com/search/article-detail?id=1161716" TargetMode="External"/><Relationship Id="rId365" Type="http://schemas.openxmlformats.org/officeDocument/2006/relationships/hyperlink" Target="https://heinonline.org/hol-cgi-bin/get_pdf.cgi?handle=hein.journals/swales39&amp;section=5" TargetMode="External"/><Relationship Id="rId386" Type="http://schemas.openxmlformats.org/officeDocument/2006/relationships/hyperlink" Target="https://www.sciencedirect.com/science/article/pii/S0168851021001299" TargetMode="External"/><Relationship Id="rId190" Type="http://schemas.openxmlformats.org/officeDocument/2006/relationships/hyperlink" Target="https://doi.org/10.1177/26323524251318044" TargetMode="External"/><Relationship Id="rId204" Type="http://schemas.openxmlformats.org/officeDocument/2006/relationships/hyperlink" Target="https://jme.bmj.com/content/45/2/84.abstract" TargetMode="External"/><Relationship Id="rId225" Type="http://schemas.openxmlformats.org/officeDocument/2006/relationships/hyperlink" Target="https://doi.org/10.7220/" TargetMode="External"/><Relationship Id="rId246" Type="http://schemas.openxmlformats.org/officeDocument/2006/relationships/hyperlink" Target="https://www.reuters.com/world/americas/canada-delay-assisted-death-solely-mental-illness-until-2027-2024-02-01/?utm" TargetMode="External"/><Relationship Id="rId267" Type="http://schemas.openxmlformats.org/officeDocument/2006/relationships/hyperlink" Target="https://hudoc.echr.coe.int/fre" TargetMode="External"/><Relationship Id="rId288" Type="http://schemas.openxmlformats.org/officeDocument/2006/relationships/hyperlink" Target="https://www.sciencedirect.com/science/article/pii/S0885392410006937" TargetMode="External"/><Relationship Id="rId411" Type="http://schemas.openxmlformats.org/officeDocument/2006/relationships/hyperlink" Target="https://journals.lww.com/lww-medicalcare/fulltext/2010/02000/The_Work_Limitations_Questionnaire.15.aspx" TargetMode="External"/><Relationship Id="rId106" Type="http://schemas.openxmlformats.org/officeDocument/2006/relationships/hyperlink" Target="https://www.ohchr.org/en/instruments-mechanisms/instruments/international-covenant-civil-and-political-rights" TargetMode="External"/><Relationship Id="rId127" Type="http://schemas.openxmlformats.org/officeDocument/2006/relationships/hyperlink" Target="https://doi.org/10.1198/016214506000000302" TargetMode="External"/><Relationship Id="rId313" Type="http://schemas.openxmlformats.org/officeDocument/2006/relationships/hyperlink" Target="https://doi.org/10.1016/j.gaceta.2024.102373" TargetMode="External"/><Relationship Id="rId10" Type="http://schemas.openxmlformats.org/officeDocument/2006/relationships/hyperlink" Target="https://doi.org/10.1177/0141076818803452" TargetMode="External"/><Relationship Id="rId31" Type="http://schemas.openxmlformats.org/officeDocument/2006/relationships/hyperlink" Target="https://www.ceeol.com/search/article-detail?id=1131037" TargetMode="External"/><Relationship Id="rId52" Type="http://schemas.openxmlformats.org/officeDocument/2006/relationships/hyperlink" Target="https://www.sciencedirect.com/science/article/pii/S2352552519300945" TargetMode="External"/><Relationship Id="rId73" Type="http://schemas.openxmlformats.org/officeDocument/2006/relationships/hyperlink" Target="https://www.ohchr.org/en/instruments-mechanisms/instruments/international-covenant-civil-and-political-rights" TargetMode="External"/><Relationship Id="rId94" Type="http://schemas.openxmlformats.org/officeDocument/2006/relationships/hyperlink" Target="https://www.un.org/en/about-us/universal-declaration-of-human-rights" TargetMode="External"/><Relationship Id="rId148" Type="http://schemas.openxmlformats.org/officeDocument/2006/relationships/hyperlink" Target="https://ejurnal.ung.ac.id/index.php/jalrev/article/download/7111/3478" TargetMode="External"/><Relationship Id="rId169" Type="http://schemas.openxmlformats.org/officeDocument/2006/relationships/hyperlink" Target="https://www.frontiersin.org/articles/10.3389/fpsyt.2022.1050086/full" TargetMode="External"/><Relationship Id="rId334" Type="http://schemas.openxmlformats.org/officeDocument/2006/relationships/hyperlink" Target="https://europepmc.org/article/med/33873137" TargetMode="External"/><Relationship Id="rId355" Type="http://schemas.openxmlformats.org/officeDocument/2006/relationships/hyperlink" Target="https://www.sciencedirect.com/science/article/pii/S0168851010001934" TargetMode="External"/><Relationship Id="rId376" Type="http://schemas.openxmlformats.org/officeDocument/2006/relationships/hyperlink" Target="https://jme.bmj.com/content/38/5/274.short" TargetMode="External"/><Relationship Id="rId397" Type="http://schemas.openxmlformats.org/officeDocument/2006/relationships/hyperlink" Target="https://jme.bmj.com/content/41/2/145.short" TargetMode="External"/><Relationship Id="rId4" Type="http://schemas.openxmlformats.org/officeDocument/2006/relationships/hyperlink" Target="https://open.uct.ac.za/handle/11427/37406" TargetMode="External"/><Relationship Id="rId180" Type="http://schemas.openxmlformats.org/officeDocument/2006/relationships/hyperlink" Target="https://link.springer.com/article/10.1186/s12888-017-1369-0" TargetMode="External"/><Relationship Id="rId215" Type="http://schemas.openxmlformats.org/officeDocument/2006/relationships/hyperlink" Target="https://doi.org/10.1186/s12910-024-01111-2" TargetMode="External"/><Relationship Id="rId236" Type="http://schemas.openxmlformats.org/officeDocument/2006/relationships/hyperlink" Target="https://www.bmj.gv.at/service/Leichter-Lesen/Sterbehilfe.html?utm_source=" TargetMode="External"/><Relationship Id="rId257" Type="http://schemas.openxmlformats.org/officeDocument/2006/relationships/hyperlink" Target="https://doi.org/10.1093/medlaw/fwaf025" TargetMode="External"/><Relationship Id="rId278" Type="http://schemas.openxmlformats.org/officeDocument/2006/relationships/hyperlink" Target="https://doi.org/10.22034/ijels.2025.490681.1029" TargetMode="External"/><Relationship Id="rId401" Type="http://schemas.openxmlformats.org/officeDocument/2006/relationships/hyperlink" Target="https://www.frontiersin.org/articles/10.3389/fpsyt.2022.1050086/full" TargetMode="External"/><Relationship Id="rId422" Type="http://schemas.openxmlformats.org/officeDocument/2006/relationships/hyperlink" Target="https://doi.org/10.1177/0969733017720850" TargetMode="External"/><Relationship Id="rId303" Type="http://schemas.openxmlformats.org/officeDocument/2006/relationships/hyperlink" Target="https://doi.org/10.1016/j.gaceta.2024.102373" TargetMode="External"/><Relationship Id="rId42" Type="http://schemas.openxmlformats.org/officeDocument/2006/relationships/hyperlink" Target="https://doi.org/10.1177/00302228231221839" TargetMode="External"/><Relationship Id="rId84" Type="http://schemas.openxmlformats.org/officeDocument/2006/relationships/hyperlink" Target="https://heinonline.org/hol-cgi-bin/get_pdf.cgi?handle=hein.journals/ijlmhs27&amp;section=161" TargetMode="External"/><Relationship Id="rId138" Type="http://schemas.openxmlformats.org/officeDocument/2006/relationships/hyperlink" Target="https://doi.org/10.1007/s11192-019-03238-1" TargetMode="External"/><Relationship Id="rId345" Type="http://schemas.openxmlformats.org/officeDocument/2006/relationships/hyperlink" Target="https://pmc.ncbi.nlm.nih.gov/articles/PMC2845507/" TargetMode="External"/><Relationship Id="rId387" Type="http://schemas.openxmlformats.org/officeDocument/2006/relationships/hyperlink" Target="https://europepmc.org/article/med/34798415" TargetMode="External"/><Relationship Id="rId191" Type="http://schemas.openxmlformats.org/officeDocument/2006/relationships/hyperlink" Target="https://heinonline.org/hol-cgi-bin/get_pdf.cgi?handle=hein.journals/swales39&amp;section=5" TargetMode="External"/><Relationship Id="rId205" Type="http://schemas.openxmlformats.org/officeDocument/2006/relationships/hyperlink" Target="https://doi.org/10.1007/s11673-016-9718-0" TargetMode="External"/><Relationship Id="rId247" Type="http://schemas.openxmlformats.org/officeDocument/2006/relationships/hyperlink" Target="https://www.oregon.gov/oha/PH/PROVIDERPARTNERRESOURCES/EVALUATIONRESEARCH/DEATHWITHDIGNITYACT/Documents/year27.pdf" TargetMode="External"/><Relationship Id="rId412" Type="http://schemas.openxmlformats.org/officeDocument/2006/relationships/hyperlink" Target="https://doi.org/10.1080/13607863.2020.1870205" TargetMode="External"/><Relationship Id="rId107" Type="http://schemas.openxmlformats.org/officeDocument/2006/relationships/hyperlink" Target="https://europepmc.org/article/med/33395663" TargetMode="External"/><Relationship Id="rId289" Type="http://schemas.openxmlformats.org/officeDocument/2006/relationships/hyperlink" Target="https://www.sciencedirect.com/science/article/pii/S0738399123002628" TargetMode="External"/><Relationship Id="rId11" Type="http://schemas.openxmlformats.org/officeDocument/2006/relationships/hyperlink" Target="https://jme.bmj.com/content/34/8/636.short" TargetMode="External"/><Relationship Id="rId53" Type="http://schemas.openxmlformats.org/officeDocument/2006/relationships/hyperlink" Target="https://www.taylorfrancis.com/chapters/edit/10.4324/9781315258447-35/voluntary-active-euthanasia-dan-brock" TargetMode="External"/><Relationship Id="rId149" Type="http://schemas.openxmlformats.org/officeDocument/2006/relationships/hyperlink" Target="https://repository.umi.ac.id/6269/" TargetMode="External"/><Relationship Id="rId314" Type="http://schemas.openxmlformats.org/officeDocument/2006/relationships/hyperlink" Target="https://doi.org/10.1177/26323524251318044" TargetMode="External"/><Relationship Id="rId356" Type="http://schemas.openxmlformats.org/officeDocument/2006/relationships/hyperlink" Target="https://europepmc.org/article/med/34798415" TargetMode="External"/><Relationship Id="rId398" Type="http://schemas.openxmlformats.org/officeDocument/2006/relationships/hyperlink" Target="https://academic.oup.com/eurpub/article-abstract/22/1/19/485407" TargetMode="External"/><Relationship Id="rId95" Type="http://schemas.openxmlformats.org/officeDocument/2006/relationships/hyperlink" Target="https://www.ohchr.org/en/instruments-mechanisms/instruments/international-covenant-civil-and-political-rights" TargetMode="External"/><Relationship Id="rId160" Type="http://schemas.openxmlformats.org/officeDocument/2006/relationships/hyperlink" Target="https://www.cambridge.org/core/journals/cambridge-quarterly-of-healthcare-ethics/article/should-the-dutch-law-on-euthanasia-be-expanded-to-include-children/A41751232DBEF2EF8DC32998BB3E2C99" TargetMode="External"/><Relationship Id="rId216" Type="http://schemas.openxmlformats.org/officeDocument/2006/relationships/hyperlink" Target="https://doi.org/10.1186/s12875-019-1063-z" TargetMode="External"/><Relationship Id="rId423" Type="http://schemas.openxmlformats.org/officeDocument/2006/relationships/hyperlink" Target="https://journals.lww.com/jhpn/fulltext/2022/08000/Exploring_Hospice_Nurses__Viewpoints_on.8.aspx" TargetMode="External"/><Relationship Id="rId258" Type="http://schemas.openxmlformats.org/officeDocument/2006/relationships/hyperlink" Target="https://doi.org/10.1177/00243639251356676" TargetMode="External"/><Relationship Id="rId22" Type="http://schemas.openxmlformats.org/officeDocument/2006/relationships/hyperlink" Target="https://academic.oup.com/jmp/article-abstract/4/3/294/899452" TargetMode="External"/><Relationship Id="rId64" Type="http://schemas.openxmlformats.org/officeDocument/2006/relationships/hyperlink" Target="https://doi.org/10.1177/0825859788004001-232" TargetMode="External"/><Relationship Id="rId118" Type="http://schemas.openxmlformats.org/officeDocument/2006/relationships/hyperlink" Target="https://heinonline.org/hol-cgi-bin/get_pdf.cgi?handle=hein.journals/bcic35&amp;section=13" TargetMode="External"/><Relationship Id="rId325" Type="http://schemas.openxmlformats.org/officeDocument/2006/relationships/hyperlink" Target="https://heinonline.org/hol-cgi-bin/get_pdf.cgi?handle=hein.journals/rebiod58&amp;section=11" TargetMode="External"/><Relationship Id="rId367" Type="http://schemas.openxmlformats.org/officeDocument/2006/relationships/hyperlink" Target="https://www.sciencedirect.com/science/article/pii/S0738399123002628" TargetMode="External"/><Relationship Id="rId171" Type="http://schemas.openxmlformats.org/officeDocument/2006/relationships/hyperlink" Target="https://doi.org/10.1007/s11019-010-9265-0" TargetMode="External"/><Relationship Id="rId227" Type="http://schemas.openxmlformats.org/officeDocument/2006/relationships/hyperlink" Target="https://wetten.overheid.nl/BWBR0012410/2021-10-01" TargetMode="External"/><Relationship Id="rId269" Type="http://schemas.openxmlformats.org/officeDocument/2006/relationships/hyperlink" Target="https://hudoc.echr.coe.int/eng" TargetMode="External"/><Relationship Id="rId33" Type="http://schemas.openxmlformats.org/officeDocument/2006/relationships/hyperlink" Target="https://doi.org/10.1111/j.1748-720X.2012.00647.x" TargetMode="External"/><Relationship Id="rId129" Type="http://schemas.openxmlformats.org/officeDocument/2006/relationships/hyperlink" Target="https://doi.org/10.48550/arXiv.2203.05794" TargetMode="External"/><Relationship Id="rId280" Type="http://schemas.openxmlformats.org/officeDocument/2006/relationships/hyperlink" Target="https://doi.org/10.1007/s11135-024-02022-5" TargetMode="External"/><Relationship Id="rId336" Type="http://schemas.openxmlformats.org/officeDocument/2006/relationships/hyperlink" Target="https://journals.lww.com/lww-medicalcare/fulltext/2010/02000/The_Work_Limitations_Questionnaire.15.aspx" TargetMode="External"/><Relationship Id="rId75" Type="http://schemas.openxmlformats.org/officeDocument/2006/relationships/hyperlink" Target="https://doi.org/10.1080/15265161.2023.2265265" TargetMode="External"/><Relationship Id="rId140" Type="http://schemas.openxmlformats.org/officeDocument/2006/relationships/hyperlink" Target="https://doi.org/10.1007/s11192-021-03934-x" TargetMode="External"/><Relationship Id="rId182" Type="http://schemas.openxmlformats.org/officeDocument/2006/relationships/hyperlink" Target="https://europepmc.org/article/med/34798415" TargetMode="External"/><Relationship Id="rId378" Type="http://schemas.openxmlformats.org/officeDocument/2006/relationships/hyperlink" Target="https://www.thelancet.com/journals/lancet/article/PIIS0140-6736(12)61034-4/abstract" TargetMode="External"/><Relationship Id="rId403" Type="http://schemas.openxmlformats.org/officeDocument/2006/relationships/hyperlink" Target="https://doi.org/10.1163/25892525-bja10030" TargetMode="External"/><Relationship Id="rId6" Type="http://schemas.openxmlformats.org/officeDocument/2006/relationships/hyperlink" Target="https://doi.org/10.3390/healthcare12060626" TargetMode="External"/><Relationship Id="rId238" Type="http://schemas.openxmlformats.org/officeDocument/2006/relationships/hyperlink" Target="https://diariodarepublica.pt/dr/detalhe/lei/22-2023-213498831?utm_source=" TargetMode="External"/><Relationship Id="rId291" Type="http://schemas.openxmlformats.org/officeDocument/2006/relationships/hyperlink" Target="https://www.sciencedirect.com/science/article/pii/S2352552525000131" TargetMode="External"/><Relationship Id="rId305" Type="http://schemas.openxmlformats.org/officeDocument/2006/relationships/hyperlink" Target="https://www.thelancet.com/journals/lancet/article/PIIS0140-6736(12)61034-4/abstract" TargetMode="External"/><Relationship Id="rId347" Type="http://schemas.openxmlformats.org/officeDocument/2006/relationships/hyperlink" Target="https://academic.oup.com/eurpub/article-abstract/22/1/19/485407" TargetMode="External"/><Relationship Id="rId44" Type="http://schemas.openxmlformats.org/officeDocument/2006/relationships/hyperlink" Target="https://pmc.ncbi.nlm.nih.gov/articles/PMC10074264/" TargetMode="External"/><Relationship Id="rId86" Type="http://schemas.openxmlformats.org/officeDocument/2006/relationships/hyperlink" Target="https://doi.org/10.1056/NEJMp058062" TargetMode="External"/><Relationship Id="rId151" Type="http://schemas.openxmlformats.org/officeDocument/2006/relationships/hyperlink" Target="https://hrcak.srce.hr/237864" TargetMode="External"/><Relationship Id="rId389" Type="http://schemas.openxmlformats.org/officeDocument/2006/relationships/hyperlink" Target="https://adc.bmj.com/content/96/10/948" TargetMode="External"/><Relationship Id="rId193" Type="http://schemas.openxmlformats.org/officeDocument/2006/relationships/hyperlink" Target="https://doi.org/10.1016/j.gaceta.2024.102373" TargetMode="External"/><Relationship Id="rId207" Type="http://schemas.openxmlformats.org/officeDocument/2006/relationships/hyperlink" Target="https://www.frontiersin.org/articles/10.3389/fpsyt.2022.933748/full" TargetMode="External"/><Relationship Id="rId249" Type="http://schemas.openxmlformats.org/officeDocument/2006/relationships/hyperlink" Target="https://end-of-life.qut.edu.au/assisteddying?utm" TargetMode="External"/><Relationship Id="rId414" Type="http://schemas.openxmlformats.org/officeDocument/2006/relationships/hyperlink" Target="https://heinonline.org/hol-cgi-bin/get_pdf.cgi?handle=hein.journals/rebiod58&amp;section=11" TargetMode="External"/><Relationship Id="rId13" Type="http://schemas.openxmlformats.org/officeDocument/2006/relationships/hyperlink" Target="https://doi.org/10.2190/1HPQ-G1GQ-TWVB-BWW5" TargetMode="External"/><Relationship Id="rId109" Type="http://schemas.openxmlformats.org/officeDocument/2006/relationships/hyperlink" Target="https://derechoamorir.org/wp-content/uploads/2018/07/years30.pdf" TargetMode="External"/><Relationship Id="rId260" Type="http://schemas.openxmlformats.org/officeDocument/2006/relationships/hyperlink" Target="https://doi.org/10.1371/journal.pone.0326142" TargetMode="External"/><Relationship Id="rId316" Type="http://schemas.openxmlformats.org/officeDocument/2006/relationships/hyperlink" Target="https://www.sciencedirect.com/science/article/pii/S0885392410006937" TargetMode="External"/><Relationship Id="rId55" Type="http://schemas.openxmlformats.org/officeDocument/2006/relationships/hyperlink" Target="https://doi.org/10.1056/NEJMp058062" TargetMode="External"/><Relationship Id="rId97" Type="http://schemas.openxmlformats.org/officeDocument/2006/relationships/hyperlink" Target="https://www.degruyterbrill.com/document/doi/10.7556/jaoa.2001.101.10.616/html" TargetMode="External"/><Relationship Id="rId120" Type="http://schemas.openxmlformats.org/officeDocument/2006/relationships/hyperlink" Target="https://www.ohchr.org/en/instruments-mechanisms/instruments/international-covenant-civil-and-political-rights" TargetMode="External"/><Relationship Id="rId358" Type="http://schemas.openxmlformats.org/officeDocument/2006/relationships/hyperlink" Target="https://doi.org/10.1177/0969733017720850" TargetMode="External"/><Relationship Id="rId162" Type="http://schemas.openxmlformats.org/officeDocument/2006/relationships/hyperlink" Target="https://jme.bmj.com/content/41/2/145.short" TargetMode="External"/><Relationship Id="rId218" Type="http://schemas.openxmlformats.org/officeDocument/2006/relationships/hyperlink" Target="https://lrkt.lt/lt/teismo-aktai/paieska/135/ta385/content" TargetMode="External"/><Relationship Id="rId425" Type="http://schemas.openxmlformats.org/officeDocument/2006/relationships/hyperlink" Target="https://jme.bmj.com/content/38/1/35.short" TargetMode="External"/><Relationship Id="rId271" Type="http://schemas.openxmlformats.org/officeDocument/2006/relationships/hyperlink" Target="https://www.cambridge.org/core/journals/canadian-journal-of-law-and-jurisprudence/article/legal-positivism-and-the-moral-origins-of-legal-systems/CDBDD99E35D63DD479026211F39D6FC0" TargetMode="External"/><Relationship Id="rId24" Type="http://schemas.openxmlformats.org/officeDocument/2006/relationships/hyperlink" Target="https://jme.bmj.com/content/22/5/309.short" TargetMode="External"/><Relationship Id="rId66" Type="http://schemas.openxmlformats.org/officeDocument/2006/relationships/hyperlink" Target="https://heinonline.org/hol-cgi-bin/get_pdf.cgi?handle=hein.journals/ijlmhs27&amp;section=39" TargetMode="External"/><Relationship Id="rId131" Type="http://schemas.openxmlformats.org/officeDocument/2006/relationships/hyperlink" Target="https://doi.org/10.1096/fj.07-9492LSF" TargetMode="External"/><Relationship Id="rId327" Type="http://schemas.openxmlformats.org/officeDocument/2006/relationships/hyperlink" Target="https://dialnet.unirioja.es/servlet/articulo?codigo=9239552" TargetMode="External"/><Relationship Id="rId369" Type="http://schemas.openxmlformats.org/officeDocument/2006/relationships/hyperlink" Target="https://www.thelancet.com/journals/lancet/article/PIIS0140-6736(12)61034-4/abstract" TargetMode="External"/><Relationship Id="rId173" Type="http://schemas.openxmlformats.org/officeDocument/2006/relationships/hyperlink" Target="https://www.sciencedirect.com/science/article/pii/S088539241500158X" TargetMode="External"/><Relationship Id="rId229" Type="http://schemas.openxmlformats.org/officeDocument/2006/relationships/hyperlink" Target="https://wetten.overheid.nl/BWBR0012410/2021-10-01" TargetMode="External"/><Relationship Id="rId380" Type="http://schemas.openxmlformats.org/officeDocument/2006/relationships/hyperlink" Target="https://europepmc.org/article/med/33873137" TargetMode="External"/><Relationship Id="rId240" Type="http://schemas.openxmlformats.org/officeDocument/2006/relationships/hyperlink" Target="https://www.cortecostituzionale.it/actionSchedaPronuncia.do?param_ecli=ECLI%3AIT%3ACOST%3A2019%3A242&amp;utm_source=" TargetMode="External"/><Relationship Id="rId35" Type="http://schemas.openxmlformats.org/officeDocument/2006/relationships/hyperlink" Target="https://philpapers.org/rec/HORTSO-12" TargetMode="External"/><Relationship Id="rId77" Type="http://schemas.openxmlformats.org/officeDocument/2006/relationships/hyperlink" Target="https://jme.bmj.com/content/33/10/591.short" TargetMode="External"/><Relationship Id="rId100" Type="http://schemas.openxmlformats.org/officeDocument/2006/relationships/hyperlink" Target="https://www.ceeol.com/search/article-detail?id=1131037" TargetMode="External"/><Relationship Id="rId282" Type="http://schemas.openxmlformats.org/officeDocument/2006/relationships/hyperlink" Target="https://www.into.ie/app/uploads/2019/10/GDPR_FAQ.pdf" TargetMode="External"/><Relationship Id="rId338" Type="http://schemas.openxmlformats.org/officeDocument/2006/relationships/hyperlink" Target="https://journals.lww.com/jhpn/fulltext/2022/08000/Exploring_Hospice_Nurses__Viewpoints_on.8.aspx" TargetMode="External"/><Relationship Id="rId8" Type="http://schemas.openxmlformats.org/officeDocument/2006/relationships/hyperlink" Target="https://doi.org/10.1007/978-3-031-25315-7" TargetMode="External"/><Relationship Id="rId142" Type="http://schemas.openxmlformats.org/officeDocument/2006/relationships/hyperlink" Target="https://ese.arphahub.com/article/51987/download/pdf/" TargetMode="External"/><Relationship Id="rId184" Type="http://schemas.openxmlformats.org/officeDocument/2006/relationships/hyperlink" Target="https://repository.umi.ac.id/6269/" TargetMode="External"/><Relationship Id="rId391" Type="http://schemas.openxmlformats.org/officeDocument/2006/relationships/hyperlink" Target="https://www.sciencedirect.com/science/article/pii/S0885392411001540" TargetMode="External"/><Relationship Id="rId405" Type="http://schemas.openxmlformats.org/officeDocument/2006/relationships/hyperlink" Target="https://doi.org/10.1177/14777509241283314" TargetMode="External"/><Relationship Id="rId251" Type="http://schemas.openxmlformats.org/officeDocument/2006/relationships/hyperlink" Target="https://zenit.org/2024/11/27/colombian-constitutional-court-expands-euthanasia-access-amid-growing-controversy/?utm" TargetMode="External"/><Relationship Id="rId46" Type="http://schemas.openxmlformats.org/officeDocument/2006/relationships/hyperlink" Target="https://pmc.ncbi.nlm.nih.gov/articles/PMC10074264/" TargetMode="External"/><Relationship Id="rId293" Type="http://schemas.openxmlformats.org/officeDocument/2006/relationships/hyperlink" Target="https://doi.org/10.1177/0272989X10392379" TargetMode="External"/><Relationship Id="rId307" Type="http://schemas.openxmlformats.org/officeDocument/2006/relationships/hyperlink" Target="https://adc.bmj.com/content/96/10/948" TargetMode="External"/><Relationship Id="rId349" Type="http://schemas.openxmlformats.org/officeDocument/2006/relationships/hyperlink" Target="https://doi.org/10.1007/s11673-016-9705-5" TargetMode="External"/><Relationship Id="rId88" Type="http://schemas.openxmlformats.org/officeDocument/2006/relationships/hyperlink" Target="https://researchportal.vub.be/en/publications/palliative-care-development-in-countries-with-a-euthanasia-law-re" TargetMode="External"/><Relationship Id="rId111" Type="http://schemas.openxmlformats.org/officeDocument/2006/relationships/hyperlink" Target="https://doi.org/10.1056/nejm200202073460624" TargetMode="External"/><Relationship Id="rId153" Type="http://schemas.openxmlformats.org/officeDocument/2006/relationships/hyperlink" Target="https://www.sciencedirect.com/science/article/pii/S0885392410006937" TargetMode="External"/><Relationship Id="rId195" Type="http://schemas.openxmlformats.org/officeDocument/2006/relationships/hyperlink" Target="https://www.cambridge.org/core/journals/cambridge-quarterly-of-healthcare-ethics/article/communicating-concerns/5B8D23A699D5519D431EFED7FE342B53" TargetMode="External"/><Relationship Id="rId209" Type="http://schemas.openxmlformats.org/officeDocument/2006/relationships/hyperlink" Target="https://www.cmaj.ca/content/182/9/895.short" TargetMode="External"/><Relationship Id="rId360" Type="http://schemas.openxmlformats.org/officeDocument/2006/relationships/hyperlink" Target="https://journals.lww.com/lww-medicalcare/fulltext/2010/02000/The_Work_Limitations_Questionnaire.15.aspx" TargetMode="External"/><Relationship Id="rId416" Type="http://schemas.openxmlformats.org/officeDocument/2006/relationships/hyperlink" Target="https://heinonline.org/hol-cgi-bin/get_pdf.cgi?handle=hein.journals/swales39&amp;section=5" TargetMode="External"/><Relationship Id="rId220" Type="http://schemas.openxmlformats.org/officeDocument/2006/relationships/hyperlink" Target="https://doi.org/10.3389/fpsyt.2024.1507790" TargetMode="External"/><Relationship Id="rId15" Type="http://schemas.openxmlformats.org/officeDocument/2006/relationships/hyperlink" Target="https://www.un.org/en/about-us/universal-declaration-of-human-rights" TargetMode="External"/><Relationship Id="rId57" Type="http://schemas.openxmlformats.org/officeDocument/2006/relationships/hyperlink" Target="https://ro.uow.edu.au/ndownloader/files/50351955/1" TargetMode="External"/><Relationship Id="rId262" Type="http://schemas.openxmlformats.org/officeDocument/2006/relationships/hyperlink" Target="https://laws-lois.justice.gc.ca/eng/acts/c-46/section-241.html?utm" TargetMode="External"/><Relationship Id="rId318" Type="http://schemas.openxmlformats.org/officeDocument/2006/relationships/hyperlink" Target="https://www.sciencedirect.com/science/article/pii/S0160252724000104" TargetMode="External"/><Relationship Id="rId99" Type="http://schemas.openxmlformats.org/officeDocument/2006/relationships/hyperlink" Target="https://www.ohchr.org/en/instruments-mechanisms/instruments/international-covenant-civil-and-political-rights" TargetMode="External"/><Relationship Id="rId122" Type="http://schemas.openxmlformats.org/officeDocument/2006/relationships/hyperlink" Target="https://doi.org/10.1159/000551387" TargetMode="External"/><Relationship Id="rId164" Type="http://schemas.openxmlformats.org/officeDocument/2006/relationships/hyperlink" Target="https://jme.bmj.com/content/38/5/274.short" TargetMode="External"/><Relationship Id="rId371" Type="http://schemas.openxmlformats.org/officeDocument/2006/relationships/hyperlink" Target="https://doi.org/10.1055/s-0038-1636952" TargetMode="External"/><Relationship Id="rId427" Type="http://schemas.openxmlformats.org/officeDocument/2006/relationships/hyperlink" Target="https://doi.org/10.1111/apa.13620" TargetMode="External"/><Relationship Id="rId26" Type="http://schemas.openxmlformats.org/officeDocument/2006/relationships/hyperlink" Target="https://www.taylorfrancis.com/books/mono/10.4324/9781032658490/african-ethics-death-motsamai-molefe-elphus-muade" TargetMode="External"/><Relationship Id="rId231" Type="http://schemas.openxmlformats.org/officeDocument/2006/relationships/hyperlink" Target="https://www.ejustice.just.fgov.be/cgi/article_body.pl?language=nl&amp;caller=summary&amp;pub_date=2002-06-22&amp;numac=2002009590" TargetMode="External"/><Relationship Id="rId273" Type="http://schemas.openxmlformats.org/officeDocument/2006/relationships/hyperlink" Target="https://doi.org/10.1177/16094069241244856" TargetMode="External"/><Relationship Id="rId329" Type="http://schemas.openxmlformats.org/officeDocument/2006/relationships/hyperlink" Target="https://doi.org/10.1177/26323524251318044" TargetMode="External"/><Relationship Id="rId68" Type="http://schemas.openxmlformats.org/officeDocument/2006/relationships/hyperlink" Target="https://doi.org/10.1177/0141076818803452" TargetMode="External"/><Relationship Id="rId133" Type="http://schemas.openxmlformats.org/officeDocument/2006/relationships/hyperlink" Target="https://doi.org/10.1007/s11192-021-03948-5" TargetMode="External"/><Relationship Id="rId175" Type="http://schemas.openxmlformats.org/officeDocument/2006/relationships/hyperlink" Target="https://www.cmaj.ca/content/182/9/895.short" TargetMode="External"/><Relationship Id="rId340" Type="http://schemas.openxmlformats.org/officeDocument/2006/relationships/hyperlink" Target="https://journals.lww.com/lww-medicalcare/fulltext/2010/02000/The_Work_Limitations_Questionnaire.15.aspx" TargetMode="External"/><Relationship Id="rId200" Type="http://schemas.openxmlformats.org/officeDocument/2006/relationships/hyperlink" Target="https://doi.org/10.1007/s11673-016-9705-5" TargetMode="External"/><Relationship Id="rId382" Type="http://schemas.openxmlformats.org/officeDocument/2006/relationships/hyperlink" Target="https://doi.org/10.1186/s12875-019-1063-z" TargetMode="External"/><Relationship Id="rId242" Type="http://schemas.openxmlformats.org/officeDocument/2006/relationships/hyperlink" Target="https://www.fedlex.admin.ch/eli/cc/54/757_781_799/de?utm" TargetMode="External"/><Relationship Id="rId284" Type="http://schemas.openxmlformats.org/officeDocument/2006/relationships/hyperlink" Target="https://doi.org/10.1111/nhs.12048" TargetMode="External"/><Relationship Id="rId37" Type="http://schemas.openxmlformats.org/officeDocument/2006/relationships/hyperlink" Target="https://www.ccne-ethique.fr/fr/publications/avis-139-questions-ethiques-relatives-aux-situations-de-fin-de-vie-autonomie-et" TargetMode="External"/><Relationship Id="rId79" Type="http://schemas.openxmlformats.org/officeDocument/2006/relationships/hyperlink" Target="https://www.sciencedirect.com/science/article/pii/S0035378716301254" TargetMode="External"/><Relationship Id="rId102" Type="http://schemas.openxmlformats.org/officeDocument/2006/relationships/hyperlink" Target="https://europepmc.org/article/med/33395663" TargetMode="External"/><Relationship Id="rId144" Type="http://schemas.openxmlformats.org/officeDocument/2006/relationships/hyperlink" Target="https://doi.org/10.1057/s41270-021-00142-7" TargetMode="External"/><Relationship Id="rId90" Type="http://schemas.openxmlformats.org/officeDocument/2006/relationships/hyperlink" Target="https://www.un.org/en/about-us/universal-declaration-of-human-rights" TargetMode="External"/><Relationship Id="rId186" Type="http://schemas.openxmlformats.org/officeDocument/2006/relationships/hyperlink" Target="https://journals.lww.com/lww-medicalcare/fulltext/2010/02000/The_Work_Limitations_Questionnaire.15.aspx" TargetMode="External"/><Relationship Id="rId351" Type="http://schemas.openxmlformats.org/officeDocument/2006/relationships/hyperlink" Target="https://adc.bmj.com/content/96/10/948" TargetMode="External"/><Relationship Id="rId393" Type="http://schemas.openxmlformats.org/officeDocument/2006/relationships/hyperlink" Target="https://www.sciencedirect.com/science/article/pii/S0168851010001934" TargetMode="External"/><Relationship Id="rId407" Type="http://schemas.openxmlformats.org/officeDocument/2006/relationships/hyperlink" Target="https://doi.org/10.1186/1472-6939-14-11" TargetMode="External"/><Relationship Id="rId211" Type="http://schemas.openxmlformats.org/officeDocument/2006/relationships/hyperlink" Target="https://journals.plos.org/plosone/article?id=10.1371/journal.pone.0299049" TargetMode="External"/><Relationship Id="rId253" Type="http://schemas.openxmlformats.org/officeDocument/2006/relationships/hyperlink" Target="https://www.refworld.org/legal/legislation/natlegbod/2014/es/104133?utm" TargetMode="External"/><Relationship Id="rId295" Type="http://schemas.openxmlformats.org/officeDocument/2006/relationships/hyperlink" Target="https://doi.org/10.1101/2024.10.16.24315619" TargetMode="External"/><Relationship Id="rId309" Type="http://schemas.openxmlformats.org/officeDocument/2006/relationships/hyperlink" Target="https://zaguan.unizar.es/record/151472" TargetMode="External"/><Relationship Id="rId48" Type="http://schemas.openxmlformats.org/officeDocument/2006/relationships/hyperlink" Target="https://academic.oup.com/jcs/article-abstract/46/4/787/783219" TargetMode="External"/><Relationship Id="rId113" Type="http://schemas.openxmlformats.org/officeDocument/2006/relationships/hyperlink" Target="https://doi.org/10.7326/m17-0938" TargetMode="External"/><Relationship Id="rId320" Type="http://schemas.openxmlformats.org/officeDocument/2006/relationships/hyperlink" Target="https://doi.org/10.1186/s12910-024-01111-2" TargetMode="External"/><Relationship Id="rId155" Type="http://schemas.openxmlformats.org/officeDocument/2006/relationships/hyperlink" Target="https://doi.org/10.1007/s11673-016-9705-5" TargetMode="External"/><Relationship Id="rId197" Type="http://schemas.openxmlformats.org/officeDocument/2006/relationships/hyperlink" Target="https://doi.org/10.1177/0969733017720850" TargetMode="External"/><Relationship Id="rId362" Type="http://schemas.openxmlformats.org/officeDocument/2006/relationships/hyperlink" Target="https://www.thelancet.com/journals/lancet/article/PIIS0140-6736(12)61034-4/abstract" TargetMode="External"/><Relationship Id="rId418" Type="http://schemas.openxmlformats.org/officeDocument/2006/relationships/hyperlink" Target="https://doi.org/10.1016/j.gaceta.2024.102373" TargetMode="External"/><Relationship Id="rId222" Type="http://schemas.openxmlformats.org/officeDocument/2006/relationships/hyperlink" Target="https://e-seimas.lrs.lt/portal/legalAct/lt/TAP/447e4060bb5011e4a939cd67303e5a1f?positionInSearchResults=0&amp;searchModelUUID=c9f16a4b-903e-48bd-a23d-c616e0e1b6da" TargetMode="External"/><Relationship Id="rId264" Type="http://schemas.openxmlformats.org/officeDocument/2006/relationships/hyperlink" Target="https://wfrtds.org/dutch-law-on-termination-of-life-on-request-and-assisted-suicide-complete-text/?utm" TargetMode="External"/><Relationship Id="rId17" Type="http://schemas.openxmlformats.org/officeDocument/2006/relationships/hyperlink" Target="https://heinonline.org/hol-cgi-bin/get_pdf.cgi?handle=hein.journals/ejls12&amp;section=22" TargetMode="External"/><Relationship Id="rId59" Type="http://schemas.openxmlformats.org/officeDocument/2006/relationships/hyperlink" Target="https://spcare.bmj.com/content/15/4/423.abstract" TargetMode="External"/><Relationship Id="rId124" Type="http://schemas.openxmlformats.org/officeDocument/2006/relationships/hyperlink" Target="https://doi.org/10.1016/j.tfp.2025.100877" TargetMode="External"/><Relationship Id="rId70" Type="http://schemas.openxmlformats.org/officeDocument/2006/relationships/hyperlink" Target="https://www.ohchr.org/en/instruments-mechanisms/instruments/international-covenant-civil-and-political-rights" TargetMode="External"/><Relationship Id="rId166" Type="http://schemas.openxmlformats.org/officeDocument/2006/relationships/hyperlink" Target="https://www.frontiersin.org/articles/10.3389/fpsyt.2022.1050086/full" TargetMode="External"/><Relationship Id="rId331" Type="http://schemas.openxmlformats.org/officeDocument/2006/relationships/hyperlink" Target="https://www.thelancet.com/journals/lancet/article/PIIS0140-6736(12)61034-4/abstract" TargetMode="External"/><Relationship Id="rId373" Type="http://schemas.openxmlformats.org/officeDocument/2006/relationships/hyperlink" Target="https://www.cmaj.ca/content/182/9/895.short" TargetMode="External"/><Relationship Id="rId429" Type="http://schemas.openxmlformats.org/officeDocument/2006/relationships/hyperlink" Target="https://doi.org/10.1186/s12875-019-1063-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2A74E743509FAC43976D8C5EF8C2118E" ma:contentTypeVersion="11" ma:contentTypeDescription="Izveidot jaunu dokumentu." ma:contentTypeScope="" ma:versionID="7b8eec33cc8609c21499aa6edaaf273d">
  <xsd:schema xmlns:xsd="http://www.w3.org/2001/XMLSchema" xmlns:xs="http://www.w3.org/2001/XMLSchema" xmlns:p="http://schemas.microsoft.com/office/2006/metadata/properties" xmlns:ns2="cf671cdd-c684-4a9c-b484-c183283019e1" xmlns:ns3="384b24ba-e324-4234-864b-1ac14dfe11c3" targetNamespace="http://schemas.microsoft.com/office/2006/metadata/properties" ma:root="true" ma:fieldsID="b2c519efca62bb8235b2c9e2e4c96f76" ns2:_="" ns3:_="">
    <xsd:import namespace="cf671cdd-c684-4a9c-b484-c183283019e1"/>
    <xsd:import namespace="384b24ba-e324-4234-864b-1ac14dfe11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71cdd-c684-4a9c-b484-c18328301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ttēlu atzīmes" ma:readOnly="false" ma:fieldId="{5cf76f15-5ced-4ddc-b409-7134ff3c332f}" ma:taxonomyMulti="true" ma:sspId="56512b98-2fd7-49e6-b107-3b556ba2438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4b24ba-e324-4234-864b-1ac14dfe11c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ba0213-0b06-4fdb-994d-e8a096872146}" ma:internalName="TaxCatchAll" ma:showField="CatchAllData" ma:web="384b24ba-e324-4234-864b-1ac14dfe11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671cdd-c684-4a9c-b484-c183283019e1">
      <Terms xmlns="http://schemas.microsoft.com/office/infopath/2007/PartnerControls"/>
    </lcf76f155ced4ddcb4097134ff3c332f>
    <TaxCatchAll xmlns="384b24ba-e324-4234-864b-1ac14dfe11c3" xsi:nil="true"/>
  </documentManagement>
</p:properties>
</file>

<file path=customXml/itemProps1.xml><?xml version="1.0" encoding="utf-8"?>
<ds:datastoreItem xmlns:ds="http://schemas.openxmlformats.org/officeDocument/2006/customXml" ds:itemID="{03CC48BE-D5A9-44F9-BEEF-F2F93290C917}">
  <ds:schemaRefs>
    <ds:schemaRef ds:uri="http://schemas.openxmlformats.org/officeDocument/2006/bibliography"/>
  </ds:schemaRefs>
</ds:datastoreItem>
</file>

<file path=customXml/itemProps2.xml><?xml version="1.0" encoding="utf-8"?>
<ds:datastoreItem xmlns:ds="http://schemas.openxmlformats.org/officeDocument/2006/customXml" ds:itemID="{9FDF4348-FA27-4965-B014-F05783857380}"/>
</file>

<file path=customXml/itemProps3.xml><?xml version="1.0" encoding="utf-8"?>
<ds:datastoreItem xmlns:ds="http://schemas.openxmlformats.org/officeDocument/2006/customXml" ds:itemID="{22E39A27-C9F8-487C-869F-C1944FED39FA}"/>
</file>

<file path=customXml/itemProps4.xml><?xml version="1.0" encoding="utf-8"?>
<ds:datastoreItem xmlns:ds="http://schemas.openxmlformats.org/officeDocument/2006/customXml" ds:itemID="{4E3E0F60-7C93-4FEE-A4B1-784F215B7EE8}"/>
</file>

<file path=docProps/app.xml><?xml version="1.0" encoding="utf-8"?>
<Properties xmlns="http://schemas.openxmlformats.org/officeDocument/2006/extended-properties" xmlns:vt="http://schemas.openxmlformats.org/officeDocument/2006/docPropsVTypes">
  <Template>Normal</Template>
  <TotalTime>48</TotalTime>
  <Pages>195</Pages>
  <Words>73830</Words>
  <Characters>420837</Characters>
  <Application>Microsoft Office Word</Application>
  <DocSecurity>0</DocSecurity>
  <Lines>3506</Lines>
  <Paragraphs>987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493680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Abdellah saoualih</dc:creator>
  <cp:keywords/>
  <dc:description/>
  <cp:lastModifiedBy>Dalia Perkumienė</cp:lastModifiedBy>
  <cp:revision>3</cp:revision>
  <cp:lastPrinted>2025-09-30T10:14:00Z</cp:lastPrinted>
  <dcterms:created xsi:type="dcterms:W3CDTF">2026-04-01T13:34:00Z</dcterms:created>
  <dcterms:modified xsi:type="dcterms:W3CDTF">2026-04-01T14:31:00Z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e68092-05df-4271-8e3e-b2a4c82ba797_Enabled">
    <vt:lpwstr>true</vt:lpwstr>
  </property>
  <property fmtid="{D5CDD505-2E9C-101B-9397-08002B2CF9AE}" pid="3" name="MSIP_Label_19e68092-05df-4271-8e3e-b2a4c82ba797_SetDate">
    <vt:lpwstr>2025-12-21T22:19:15Z</vt:lpwstr>
  </property>
  <property fmtid="{D5CDD505-2E9C-101B-9397-08002B2CF9AE}" pid="4" name="MSIP_Label_19e68092-05df-4271-8e3e-b2a4c82ba797_Method">
    <vt:lpwstr>Standard</vt:lpwstr>
  </property>
  <property fmtid="{D5CDD505-2E9C-101B-9397-08002B2CF9AE}" pid="5" name="MSIP_Label_19e68092-05df-4271-8e3e-b2a4c82ba797_Name">
    <vt:lpwstr>Amazon Confidential</vt:lpwstr>
  </property>
  <property fmtid="{D5CDD505-2E9C-101B-9397-08002B2CF9AE}" pid="6" name="MSIP_Label_19e68092-05df-4271-8e3e-b2a4c82ba797_SiteId">
    <vt:lpwstr>5280104a-472d-4538-9ccf-1e1d0efe8b1b</vt:lpwstr>
  </property>
  <property fmtid="{D5CDD505-2E9C-101B-9397-08002B2CF9AE}" pid="7" name="MSIP_Label_19e68092-05df-4271-8e3e-b2a4c82ba797_ActionId">
    <vt:lpwstr>26718fff-bbdc-4be7-a402-14547b2dda3c</vt:lpwstr>
  </property>
  <property fmtid="{D5CDD505-2E9C-101B-9397-08002B2CF9AE}" pid="8" name="MSIP_Label_19e68092-05df-4271-8e3e-b2a4c82ba797_ContentBits">
    <vt:lpwstr>0</vt:lpwstr>
  </property>
  <property fmtid="{D5CDD505-2E9C-101B-9397-08002B2CF9AE}" pid="9" name="MSIP_Label_19e68092-05df-4271-8e3e-b2a4c82ba797_Tag">
    <vt:lpwstr>10, 3, 0, 1</vt:lpwstr>
  </property>
  <property fmtid="{D5CDD505-2E9C-101B-9397-08002B2CF9AE}" pid="10" name="ContentTypeId">
    <vt:lpwstr>0x0101002A74E743509FAC43976D8C5EF8C2118E</vt:lpwstr>
  </property>
</Properties>
</file>